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N/>
        <w:bidi w:val="0"/>
        <w:adjustRightInd/>
        <w:snapToGrid/>
        <w:spacing w:line="560" w:lineRule="exact"/>
        <w:rPr>
          <w:rFonts w:ascii="文星书宋" w:hAnsi="文星书宋" w:eastAsia="黑体" w:cs="楷体_GB2312"/>
          <w:color w:val="auto"/>
          <w:sz w:val="24"/>
          <w:szCs w:val="24"/>
        </w:rPr>
      </w:pPr>
      <w:r>
        <w:rPr>
          <w:rFonts w:hint="eastAsia" w:ascii="黑体" w:eastAsia="黑体" w:cs="楷体_GB2312"/>
          <w:color w:val="auto"/>
          <w:sz w:val="24"/>
          <w:szCs w:val="24"/>
        </w:rPr>
        <w:t>市政府第</w:t>
      </w:r>
      <w:r>
        <w:rPr>
          <w:rFonts w:ascii="黑体" w:eastAsia="黑体" w:cs="楷体_GB2312"/>
          <w:color w:val="auto"/>
          <w:sz w:val="24"/>
          <w:szCs w:val="24"/>
        </w:rPr>
        <w:t>86</w:t>
      </w:r>
      <w:r>
        <w:rPr>
          <w:rFonts w:hint="eastAsia" w:ascii="黑体" w:eastAsia="黑体" w:cs="楷体_GB2312"/>
          <w:color w:val="auto"/>
          <w:sz w:val="24"/>
          <w:szCs w:val="24"/>
        </w:rPr>
        <w:t>次常务会议材料</w:t>
      </w:r>
    </w:p>
    <w:p>
      <w:pPr>
        <w:keepNext w:val="0"/>
        <w:keepLines w:val="0"/>
        <w:pageBreakBefore w:val="0"/>
        <w:widowControl w:val="0"/>
        <w:kinsoku/>
        <w:wordWrap/>
        <w:overflowPunct/>
        <w:topLinePunct w:val="0"/>
        <w:autoSpaceDN/>
        <w:bidi w:val="0"/>
        <w:adjustRightInd/>
        <w:snapToGrid/>
        <w:spacing w:line="560" w:lineRule="exact"/>
        <w:jc w:val="center"/>
        <w:rPr>
          <w:rFonts w:hint="eastAsia" w:ascii="文星书宋" w:hAnsi="文星书宋" w:eastAsia="黑体" w:cs="楷体_GB2312"/>
          <w:color w:val="auto"/>
          <w:sz w:val="24"/>
          <w:szCs w:val="24"/>
          <w:lang w:eastAsia="zh-CN"/>
        </w:rPr>
      </w:pPr>
      <w:r>
        <w:rPr>
          <w:rFonts w:hint="eastAsia" w:ascii="黑体" w:eastAsia="黑体" w:cs="楷体_GB2312"/>
          <w:color w:val="auto"/>
          <w:sz w:val="24"/>
          <w:szCs w:val="24"/>
          <w:lang w:val="en-US" w:eastAsia="zh-CN"/>
        </w:rPr>
        <w:t xml:space="preserve">                                                       </w:t>
      </w:r>
      <w:r>
        <w:rPr>
          <w:rFonts w:hint="eastAsia" w:ascii="黑体" w:eastAsia="黑体" w:cs="楷体_GB2312"/>
          <w:color w:val="auto"/>
          <w:sz w:val="24"/>
          <w:szCs w:val="24"/>
        </w:rPr>
        <w:t>审核人：</w:t>
      </w:r>
      <w:r>
        <w:rPr>
          <w:rFonts w:hint="eastAsia" w:ascii="黑体" w:eastAsia="黑体" w:cs="楷体_GB2312"/>
          <w:color w:val="auto"/>
          <w:sz w:val="24"/>
          <w:szCs w:val="24"/>
          <w:lang w:eastAsia="zh-CN"/>
        </w:rPr>
        <w:t>杨曙光</w:t>
      </w:r>
    </w:p>
    <w:p>
      <w:pPr>
        <w:keepNext w:val="0"/>
        <w:keepLines w:val="0"/>
        <w:pageBreakBefore w:val="0"/>
        <w:widowControl w:val="0"/>
        <w:kinsoku/>
        <w:wordWrap/>
        <w:overflowPunct/>
        <w:topLinePunct w:val="0"/>
        <w:autoSpaceDN/>
        <w:bidi w:val="0"/>
        <w:adjustRightInd/>
        <w:snapToGrid/>
        <w:spacing w:line="560" w:lineRule="exact"/>
        <w:jc w:val="right"/>
        <w:rPr>
          <w:rFonts w:hint="eastAsia" w:ascii="文星书宋" w:hAnsi="文星书宋" w:eastAsia="黑体" w:cs="宋体"/>
          <w:color w:val="auto"/>
          <w:sz w:val="32"/>
          <w:szCs w:val="32"/>
        </w:rPr>
      </w:pPr>
      <w:r>
        <w:rPr>
          <w:rFonts w:hint="eastAsia" w:ascii="黑体" w:eastAsia="黑体" w:cs="楷体_GB2312"/>
          <w:color w:val="auto"/>
          <w:sz w:val="24"/>
          <w:szCs w:val="24"/>
        </w:rPr>
        <w:t>汇报人：程治敏</w:t>
      </w:r>
    </w:p>
    <w:p>
      <w:pPr>
        <w:keepNext w:val="0"/>
        <w:keepLines w:val="0"/>
        <w:pageBreakBefore w:val="0"/>
        <w:widowControl w:val="0"/>
        <w:kinsoku/>
        <w:wordWrap/>
        <w:overflowPunct/>
        <w:topLinePunct w:val="0"/>
        <w:autoSpaceDN/>
        <w:bidi w:val="0"/>
        <w:adjustRightInd/>
        <w:snapToGrid/>
        <w:spacing w:line="560" w:lineRule="exact"/>
        <w:ind w:left="-420" w:leftChars="-200" w:right="-420" w:rightChars="-200"/>
        <w:jc w:val="center"/>
        <w:rPr>
          <w:rFonts w:hint="eastAsia" w:ascii="方正小标宋简体" w:eastAsia="方正小标宋简体"/>
          <w:color w:val="auto"/>
          <w:sz w:val="44"/>
          <w:szCs w:val="44"/>
        </w:rPr>
      </w:pPr>
    </w:p>
    <w:p>
      <w:pPr>
        <w:keepNext w:val="0"/>
        <w:keepLines w:val="0"/>
        <w:pageBreakBefore w:val="0"/>
        <w:widowControl w:val="0"/>
        <w:kinsoku/>
        <w:wordWrap/>
        <w:overflowPunct/>
        <w:topLinePunct w:val="0"/>
        <w:autoSpaceDN/>
        <w:bidi w:val="0"/>
        <w:adjustRightInd/>
        <w:snapToGrid/>
        <w:spacing w:line="560" w:lineRule="exact"/>
        <w:ind w:left="-420" w:leftChars="-200" w:right="-420" w:rightChars="-200"/>
        <w:jc w:val="center"/>
        <w:rPr>
          <w:rFonts w:ascii="方正小标宋简体" w:eastAsia="方正小标宋简体"/>
          <w:color w:val="auto"/>
          <w:sz w:val="44"/>
          <w:szCs w:val="44"/>
        </w:rPr>
      </w:pPr>
      <w:r>
        <w:rPr>
          <w:rFonts w:hint="eastAsia" w:ascii="方正小标宋简体" w:eastAsia="方正小标宋简体"/>
          <w:color w:val="auto"/>
          <w:sz w:val="44"/>
          <w:szCs w:val="44"/>
        </w:rPr>
        <w:t>南阳市金融工作局</w:t>
      </w:r>
    </w:p>
    <w:p>
      <w:pPr>
        <w:pStyle w:val="11"/>
        <w:keepNext w:val="0"/>
        <w:keepLines w:val="0"/>
        <w:pageBreakBefore w:val="0"/>
        <w:kinsoku/>
        <w:wordWrap/>
        <w:overflowPunct/>
        <w:topLinePunct w:val="0"/>
        <w:autoSpaceDN/>
        <w:bidi w:val="0"/>
        <w:adjustRightInd/>
        <w:snapToGrid/>
        <w:spacing w:line="56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t>关于《南阳市企业上市三年倍增行动</w:t>
      </w:r>
    </w:p>
    <w:p>
      <w:pPr>
        <w:pStyle w:val="11"/>
        <w:keepNext w:val="0"/>
        <w:keepLines w:val="0"/>
        <w:pageBreakBefore w:val="0"/>
        <w:kinsoku/>
        <w:wordWrap/>
        <w:overflowPunct/>
        <w:topLinePunct w:val="0"/>
        <w:autoSpaceDN/>
        <w:bidi w:val="0"/>
        <w:adjustRightInd/>
        <w:snapToGrid/>
        <w:spacing w:line="560" w:lineRule="exact"/>
        <w:jc w:val="center"/>
        <w:rPr>
          <w:rFonts w:ascii="方正小标宋简体" w:eastAsia="方正小标宋简体"/>
          <w:color w:val="auto"/>
          <w:sz w:val="44"/>
          <w:szCs w:val="44"/>
        </w:rPr>
      </w:pPr>
      <w:r>
        <w:rPr>
          <w:rFonts w:hint="eastAsia" w:ascii="方正小标宋简体" w:eastAsia="方正小标宋简体"/>
          <w:color w:val="auto"/>
          <w:sz w:val="44"/>
          <w:szCs w:val="44"/>
        </w:rPr>
        <w:t>实施方案》的起草说明</w:t>
      </w:r>
    </w:p>
    <w:p>
      <w:pPr>
        <w:pStyle w:val="2"/>
        <w:keepNext w:val="0"/>
        <w:keepLines w:val="0"/>
        <w:pageBreakBefore w:val="0"/>
        <w:widowControl w:val="0"/>
        <w:kinsoku/>
        <w:wordWrap/>
        <w:overflowPunct/>
        <w:topLinePunct w:val="0"/>
        <w:autoSpaceDN/>
        <w:bidi w:val="0"/>
        <w:adjustRightInd/>
        <w:snapToGrid/>
        <w:spacing w:after="0" w:line="560" w:lineRule="exact"/>
        <w:rPr>
          <w:color w:val="auto"/>
        </w:rPr>
      </w:pPr>
    </w:p>
    <w:p>
      <w:pPr>
        <w:keepNext w:val="0"/>
        <w:keepLines w:val="0"/>
        <w:pageBreakBefore w:val="0"/>
        <w:widowControl w:val="0"/>
        <w:kinsoku/>
        <w:wordWrap/>
        <w:overflowPunct/>
        <w:topLinePunct w:val="0"/>
        <w:autoSpaceDN/>
        <w:bidi w:val="0"/>
        <w:adjustRightInd/>
        <w:snapToGrid/>
        <w:spacing w:line="560" w:lineRule="exact"/>
        <w:ind w:firstLine="640" w:firstLineChars="200"/>
        <w:textAlignment w:val="baseline"/>
        <w:rPr>
          <w:rFonts w:ascii="仿宋_GB2312" w:eastAsia="仿宋_GB2312"/>
          <w:color w:val="auto"/>
          <w:sz w:val="32"/>
          <w:szCs w:val="32"/>
        </w:rPr>
      </w:pPr>
      <w:r>
        <w:rPr>
          <w:rFonts w:hint="eastAsia" w:ascii="仿宋_GB2312" w:eastAsia="仿宋_GB2312"/>
          <w:color w:val="auto"/>
          <w:sz w:val="32"/>
          <w:szCs w:val="32"/>
        </w:rPr>
        <w:t>按照会议安排，现将《南阳市企业上市三年倍增行动实施方案》（以下简称</w:t>
      </w:r>
      <w:r>
        <w:rPr>
          <w:rFonts w:hint="eastAsia" w:ascii="仿宋_GB2312" w:eastAsia="仿宋_GB2312"/>
          <w:color w:val="auto"/>
          <w:sz w:val="32"/>
          <w:szCs w:val="32"/>
          <w:lang w:eastAsia="zh-CN"/>
        </w:rPr>
        <w:t>《</w:t>
      </w:r>
      <w:r>
        <w:rPr>
          <w:rFonts w:hint="eastAsia" w:ascii="仿宋_GB2312" w:eastAsia="仿宋_GB2312"/>
          <w:color w:val="auto"/>
          <w:sz w:val="32"/>
          <w:szCs w:val="32"/>
        </w:rPr>
        <w:t>实施方案</w:t>
      </w:r>
      <w:r>
        <w:rPr>
          <w:rFonts w:hint="eastAsia" w:ascii="仿宋_GB2312" w:eastAsia="仿宋_GB2312"/>
          <w:color w:val="auto"/>
          <w:sz w:val="32"/>
          <w:szCs w:val="32"/>
          <w:lang w:eastAsia="zh-CN"/>
        </w:rPr>
        <w:t>》</w:t>
      </w:r>
      <w:r>
        <w:rPr>
          <w:rFonts w:hint="eastAsia" w:ascii="仿宋_GB2312" w:eastAsia="仿宋_GB2312"/>
          <w:color w:val="auto"/>
          <w:sz w:val="32"/>
          <w:szCs w:val="32"/>
        </w:rPr>
        <w:t>）的起草情况汇报如下：</w:t>
      </w:r>
    </w:p>
    <w:p>
      <w:pPr>
        <w:keepNext w:val="0"/>
        <w:keepLines w:val="0"/>
        <w:pageBreakBefore w:val="0"/>
        <w:widowControl w:val="0"/>
        <w:kinsoku/>
        <w:wordWrap/>
        <w:overflowPunct/>
        <w:topLinePunct w:val="0"/>
        <w:autoSpaceDN/>
        <w:bidi w:val="0"/>
        <w:adjustRightInd/>
        <w:snapToGrid/>
        <w:spacing w:line="560" w:lineRule="exact"/>
        <w:ind w:firstLine="640" w:firstLineChars="200"/>
        <w:rPr>
          <w:rFonts w:ascii="仿宋_GB2312" w:eastAsia="仿宋_GB2312"/>
          <w:color w:val="auto"/>
          <w:sz w:val="32"/>
          <w:szCs w:val="32"/>
        </w:rPr>
      </w:pPr>
      <w:r>
        <w:rPr>
          <w:rFonts w:hint="eastAsia" w:ascii="黑体" w:eastAsia="黑体"/>
          <w:color w:val="auto"/>
          <w:sz w:val="32"/>
          <w:szCs w:val="32"/>
        </w:rPr>
        <w:t>一、起草背景</w:t>
      </w:r>
    </w:p>
    <w:p>
      <w:pPr>
        <w:keepNext w:val="0"/>
        <w:keepLines w:val="0"/>
        <w:pageBreakBefore w:val="0"/>
        <w:widowControl w:val="0"/>
        <w:kinsoku/>
        <w:wordWrap/>
        <w:overflowPunct/>
        <w:topLinePunct w:val="0"/>
        <w:autoSpaceDN/>
        <w:bidi w:val="0"/>
        <w:adjustRightInd/>
        <w:snapToGrid/>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为抢抓重大政策机遇，</w:t>
      </w:r>
      <w:r>
        <w:rPr>
          <w:rStyle w:val="9"/>
          <w:rFonts w:hint="eastAsia" w:ascii="仿宋_GB2312" w:eastAsia="仿宋_GB2312" w:cs="仿宋"/>
          <w:color w:val="auto"/>
          <w:sz w:val="32"/>
          <w:szCs w:val="32"/>
        </w:rPr>
        <w:t>助推我市高水平建设省域副中心城市，</w:t>
      </w:r>
      <w:r>
        <w:rPr>
          <w:rFonts w:hint="eastAsia" w:ascii="仿宋_GB2312" w:eastAsia="仿宋_GB2312"/>
          <w:color w:val="auto"/>
          <w:sz w:val="32"/>
          <w:szCs w:val="32"/>
        </w:rPr>
        <w:t>按照</w:t>
      </w:r>
      <w:r>
        <w:rPr>
          <w:rFonts w:hint="eastAsia" w:ascii="仿宋_GB2312" w:eastAsia="仿宋_GB2312"/>
          <w:color w:val="auto"/>
          <w:sz w:val="32"/>
          <w:szCs w:val="32"/>
          <w:lang w:eastAsia="zh-CN"/>
        </w:rPr>
        <w:t>市委市政府主要</w:t>
      </w:r>
      <w:r>
        <w:rPr>
          <w:rFonts w:hint="eastAsia" w:ascii="仿宋_GB2312" w:eastAsia="仿宋_GB2312"/>
          <w:color w:val="auto"/>
          <w:sz w:val="32"/>
          <w:szCs w:val="32"/>
        </w:rPr>
        <w:t>领导指示精神，市金融工作局在参照《河南省人民政府办公厅关于印发河南省推进企业上市五年倍增行动实施方案的通知》（豫政办〔2022〕61号）的基础上，结合我市实际，牵头拟定了该《实施方案》。</w:t>
      </w:r>
    </w:p>
    <w:p>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contextualSpacing/>
        <w:rPr>
          <w:rFonts w:ascii="黑体" w:eastAsia="黑体"/>
          <w:color w:val="auto"/>
          <w:sz w:val="32"/>
          <w:szCs w:val="32"/>
        </w:rPr>
      </w:pPr>
      <w:r>
        <w:rPr>
          <w:rFonts w:hint="eastAsia" w:ascii="黑体" w:eastAsia="黑体"/>
          <w:color w:val="auto"/>
          <w:sz w:val="32"/>
          <w:szCs w:val="32"/>
        </w:rPr>
        <w:t>二、起草依据</w:t>
      </w:r>
    </w:p>
    <w:p>
      <w:pPr>
        <w:keepNext w:val="0"/>
        <w:keepLines w:val="0"/>
        <w:pageBreakBefore w:val="0"/>
        <w:widowControl w:val="0"/>
        <w:numPr>
          <w:ilvl w:val="0"/>
          <w:numId w:val="1"/>
        </w:numPr>
        <w:shd w:val="clear" w:color="auto" w:fill="FFFFFF"/>
        <w:kinsoku/>
        <w:wordWrap/>
        <w:overflowPunct/>
        <w:topLinePunct w:val="0"/>
        <w:autoSpaceDN/>
        <w:bidi w:val="0"/>
        <w:adjustRightInd/>
        <w:snapToGrid/>
        <w:spacing w:line="560" w:lineRule="exact"/>
        <w:ind w:left="-10" w:firstLine="640"/>
        <w:contextualSpacing/>
        <w:jc w:val="left"/>
        <w:rPr>
          <w:rFonts w:ascii="楷体" w:eastAsia="楷体" w:cs="Times New Roman"/>
          <w:b/>
          <w:bCs/>
          <w:color w:val="auto"/>
          <w:kern w:val="2"/>
          <w:sz w:val="32"/>
          <w:szCs w:val="32"/>
          <w:lang w:val="en-US" w:eastAsia="zh-CN" w:bidi="ar-SA"/>
        </w:rPr>
      </w:pPr>
      <w:r>
        <w:rPr>
          <w:rFonts w:hint="eastAsia" w:ascii="楷体" w:eastAsia="楷体" w:cs="Times New Roman"/>
          <w:b/>
          <w:bCs/>
          <w:color w:val="auto"/>
          <w:kern w:val="2"/>
          <w:sz w:val="32"/>
          <w:szCs w:val="32"/>
          <w:lang w:val="en-US" w:eastAsia="zh-CN" w:bidi="ar-SA"/>
        </w:rPr>
        <w:t>文件依据</w:t>
      </w:r>
    </w:p>
    <w:p>
      <w:pPr>
        <w:pStyle w:val="2"/>
        <w:keepNext w:val="0"/>
        <w:keepLines w:val="0"/>
        <w:pageBreakBefore w:val="0"/>
        <w:widowControl w:val="0"/>
        <w:kinsoku/>
        <w:wordWrap/>
        <w:overflowPunct/>
        <w:topLinePunct w:val="0"/>
        <w:autoSpaceDN/>
        <w:bidi w:val="0"/>
        <w:adjustRightInd/>
        <w:snapToGrid/>
        <w:spacing w:after="0"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1.《</w:t>
      </w:r>
      <w:r>
        <w:rPr>
          <w:rFonts w:ascii="仿宋_GB2312" w:eastAsia="仿宋_GB2312"/>
          <w:color w:val="auto"/>
          <w:sz w:val="32"/>
          <w:szCs w:val="32"/>
        </w:rPr>
        <w:t>河南省人民政府办公厅关于印发河南省推进企业上市五年倍增行动实施方案的通知</w:t>
      </w:r>
      <w:r>
        <w:rPr>
          <w:rFonts w:hint="eastAsia" w:ascii="仿宋_GB2312" w:eastAsia="仿宋_GB2312"/>
          <w:color w:val="auto"/>
          <w:sz w:val="32"/>
          <w:szCs w:val="32"/>
        </w:rPr>
        <w:t>》（</w:t>
      </w:r>
      <w:r>
        <w:rPr>
          <w:rFonts w:ascii="仿宋_GB2312" w:eastAsia="仿宋_GB2312"/>
          <w:color w:val="auto"/>
          <w:sz w:val="32"/>
          <w:szCs w:val="32"/>
        </w:rPr>
        <w:t>豫政办〔2022〕61号</w:t>
      </w:r>
      <w:r>
        <w:rPr>
          <w:rFonts w:hint="eastAsia" w:ascii="仿宋_GB2312" w:eastAsia="仿宋_GB2312"/>
          <w:color w:val="auto"/>
          <w:sz w:val="32"/>
          <w:szCs w:val="32"/>
        </w:rPr>
        <w:t>）2.《洛阳市资本市场发展专项奖补办法》(洛政办〔2022〕7号)</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3.《新乡市企业上市实施方案》（新企服〔2022〕1号）</w:t>
      </w:r>
      <w:r>
        <w:rPr>
          <w:rFonts w:hint="eastAsia" w:ascii="仿宋_GB2312" w:eastAsia="仿宋_GB2312"/>
          <w:color w:val="auto"/>
          <w:sz w:val="32"/>
          <w:szCs w:val="32"/>
          <w:lang w:eastAsia="zh-CN"/>
        </w:rPr>
        <w:t>；</w:t>
      </w:r>
    </w:p>
    <w:p>
      <w:pPr>
        <w:pStyle w:val="2"/>
        <w:keepNext w:val="0"/>
        <w:keepLines w:val="0"/>
        <w:pageBreakBefore w:val="0"/>
        <w:widowControl w:val="0"/>
        <w:kinsoku/>
        <w:wordWrap/>
        <w:overflowPunct/>
        <w:topLinePunct w:val="0"/>
        <w:autoSpaceDN/>
        <w:bidi w:val="0"/>
        <w:adjustRightInd/>
        <w:snapToGrid/>
        <w:spacing w:after="0" w:line="560" w:lineRule="exact"/>
        <w:ind w:left="0" w:firstLine="0" w:firstLineChars="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.《南阳市人民政府关于印发南阳市企业上市倍增计划的通知》（宛政〔2021〕13号）</w:t>
      </w:r>
      <w:r>
        <w:rPr>
          <w:rFonts w:hint="eastAsia" w:ascii="仿宋_GB2312" w:eastAsia="仿宋_GB2312"/>
          <w:color w:val="auto"/>
          <w:sz w:val="32"/>
          <w:szCs w:val="32"/>
          <w:lang w:eastAsia="zh-CN"/>
        </w:rPr>
        <w:t>。</w:t>
      </w:r>
    </w:p>
    <w:p>
      <w:pPr>
        <w:pStyle w:val="2"/>
        <w:keepNext w:val="0"/>
        <w:keepLines w:val="0"/>
        <w:pageBreakBefore w:val="0"/>
        <w:widowControl w:val="0"/>
        <w:kinsoku/>
        <w:wordWrap/>
        <w:overflowPunct/>
        <w:topLinePunct w:val="0"/>
        <w:autoSpaceDN/>
        <w:bidi w:val="0"/>
        <w:adjustRightInd/>
        <w:snapToGrid/>
        <w:spacing w:after="0" w:line="560" w:lineRule="exact"/>
        <w:ind w:firstLine="0" w:firstLineChars="0"/>
        <w:rPr>
          <w:rFonts w:ascii="楷体" w:eastAsia="楷体"/>
          <w:b/>
          <w:bCs/>
          <w:color w:val="auto"/>
          <w:sz w:val="32"/>
          <w:szCs w:val="32"/>
        </w:rPr>
      </w:pPr>
      <w:r>
        <w:rPr>
          <w:rFonts w:hint="eastAsia" w:ascii="楷体" w:eastAsia="楷体"/>
          <w:b/>
          <w:bCs/>
          <w:color w:val="auto"/>
          <w:sz w:val="32"/>
          <w:szCs w:val="32"/>
        </w:rPr>
        <w:t xml:space="preserve"> </w:t>
      </w:r>
      <w:r>
        <w:rPr>
          <w:rFonts w:ascii="楷体" w:eastAsia="楷体"/>
          <w:b/>
          <w:bCs/>
          <w:color w:val="auto"/>
          <w:sz w:val="32"/>
          <w:szCs w:val="32"/>
        </w:rPr>
        <w:t xml:space="preserve">   </w:t>
      </w:r>
      <w:r>
        <w:rPr>
          <w:rFonts w:hint="eastAsia" w:ascii="楷体" w:eastAsia="楷体"/>
          <w:b/>
          <w:bCs/>
          <w:color w:val="auto"/>
          <w:sz w:val="32"/>
          <w:szCs w:val="32"/>
        </w:rPr>
        <w:t>（二）与原有政策区别之处</w:t>
      </w:r>
    </w:p>
    <w:p>
      <w:pPr>
        <w:keepNext w:val="0"/>
        <w:keepLines w:val="0"/>
        <w:pageBreakBefore w:val="0"/>
        <w:widowControl w:val="0"/>
        <w:kinsoku/>
        <w:wordWrap/>
        <w:overflowPunct/>
        <w:topLinePunct w:val="0"/>
        <w:autoSpaceDN/>
        <w:bidi w:val="0"/>
        <w:adjustRightInd/>
        <w:snapToGrid/>
        <w:spacing w:line="56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一是调整奖励范围。</w:t>
      </w:r>
      <w:r>
        <w:rPr>
          <w:rFonts w:hint="eastAsia" w:ascii="仿宋_GB2312" w:eastAsia="仿宋_GB2312"/>
          <w:color w:val="auto"/>
          <w:sz w:val="32"/>
          <w:szCs w:val="32"/>
        </w:rPr>
        <w:t>北京证券交易所2021年9月设立，新三板精选层同时取消</w:t>
      </w:r>
      <w:r>
        <w:rPr>
          <w:rFonts w:hint="eastAsia" w:ascii="仿宋_GB2312" w:eastAsia="仿宋_GB2312"/>
          <w:color w:val="auto"/>
          <w:sz w:val="32"/>
          <w:szCs w:val="32"/>
          <w:lang w:eastAsia="zh-CN"/>
        </w:rPr>
        <w:t>。</w:t>
      </w:r>
      <w:r>
        <w:rPr>
          <w:rFonts w:hint="eastAsia" w:ascii="仿宋_GB2312" w:eastAsia="仿宋_GB2312"/>
          <w:b w:val="0"/>
          <w:bCs/>
          <w:color w:val="auto"/>
          <w:sz w:val="32"/>
          <w:szCs w:val="32"/>
          <w:lang w:val="en-US" w:eastAsia="zh-CN"/>
        </w:rPr>
        <w:t>我市</w:t>
      </w:r>
      <w:r>
        <w:rPr>
          <w:rFonts w:hint="eastAsia" w:ascii="仿宋_GB2312" w:eastAsia="仿宋_GB2312"/>
          <w:color w:val="auto"/>
          <w:sz w:val="32"/>
          <w:szCs w:val="32"/>
        </w:rPr>
        <w:t>原</w:t>
      </w:r>
      <w:r>
        <w:rPr>
          <w:rFonts w:hint="eastAsia" w:ascii="仿宋_GB2312" w:eastAsia="仿宋_GB2312"/>
          <w:color w:val="auto"/>
          <w:sz w:val="32"/>
          <w:szCs w:val="32"/>
          <w:lang w:val="en-US" w:eastAsia="zh-CN"/>
        </w:rPr>
        <w:t>有的</w:t>
      </w:r>
      <w:r>
        <w:rPr>
          <w:rFonts w:hint="eastAsia" w:ascii="仿宋_GB2312" w:eastAsia="仿宋_GB2312"/>
          <w:color w:val="auto"/>
          <w:sz w:val="32"/>
          <w:szCs w:val="32"/>
        </w:rPr>
        <w:t>企业上市</w:t>
      </w:r>
      <w:r>
        <w:rPr>
          <w:rFonts w:hint="eastAsia" w:ascii="仿宋_GB2312" w:eastAsia="仿宋_GB2312"/>
          <w:color w:val="auto"/>
          <w:sz w:val="32"/>
          <w:szCs w:val="32"/>
          <w:lang w:val="en-US" w:eastAsia="zh-CN"/>
        </w:rPr>
        <w:t>扶持政策</w:t>
      </w:r>
      <w:r>
        <w:rPr>
          <w:rFonts w:hint="eastAsia" w:ascii="仿宋_GB2312" w:eastAsia="仿宋_GB2312"/>
          <w:color w:val="auto"/>
          <w:sz w:val="32"/>
          <w:szCs w:val="32"/>
        </w:rPr>
        <w:t>于2021年8月出台，未包含对北交所上市企业</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奖励</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为调动企业在北交所上市的积极性，</w:t>
      </w:r>
      <w:r>
        <w:rPr>
          <w:rFonts w:hint="eastAsia" w:ascii="仿宋_GB2312" w:eastAsia="仿宋_GB2312"/>
          <w:color w:val="auto"/>
          <w:sz w:val="32"/>
          <w:szCs w:val="32"/>
        </w:rPr>
        <w:t>《实施方案》</w:t>
      </w:r>
      <w:r>
        <w:rPr>
          <w:rFonts w:hint="eastAsia" w:ascii="仿宋_GB2312" w:eastAsia="仿宋_GB2312"/>
          <w:color w:val="auto"/>
          <w:sz w:val="32"/>
          <w:szCs w:val="32"/>
          <w:lang w:val="en-US" w:eastAsia="zh-CN"/>
        </w:rPr>
        <w:t>将</w:t>
      </w:r>
      <w:r>
        <w:rPr>
          <w:rFonts w:hint="eastAsia" w:ascii="仿宋_GB2312" w:eastAsia="仿宋_GB2312"/>
          <w:color w:val="auto"/>
          <w:sz w:val="32"/>
          <w:szCs w:val="32"/>
        </w:rPr>
        <w:t>北交所上市</w:t>
      </w:r>
      <w:r>
        <w:rPr>
          <w:rFonts w:hint="eastAsia" w:ascii="仿宋_GB2312" w:eastAsia="仿宋_GB2312"/>
          <w:color w:val="auto"/>
          <w:sz w:val="32"/>
          <w:szCs w:val="32"/>
          <w:lang w:val="en-US" w:eastAsia="zh-CN"/>
        </w:rPr>
        <w:t>一并列入奖励范围，</w:t>
      </w:r>
      <w:r>
        <w:rPr>
          <w:rFonts w:hint="eastAsia" w:ascii="仿宋_GB2312" w:eastAsia="仿宋_GB2312"/>
          <w:color w:val="auto"/>
          <w:sz w:val="32"/>
          <w:szCs w:val="32"/>
        </w:rPr>
        <w:t>奖励</w:t>
      </w:r>
      <w:r>
        <w:rPr>
          <w:rFonts w:hint="eastAsia" w:ascii="仿宋_GB2312" w:eastAsia="仿宋_GB2312"/>
          <w:color w:val="auto"/>
          <w:sz w:val="32"/>
          <w:szCs w:val="32"/>
          <w:lang w:val="en-US" w:eastAsia="zh-CN"/>
        </w:rPr>
        <w:t>额度</w:t>
      </w:r>
      <w:r>
        <w:rPr>
          <w:rFonts w:hint="eastAsia" w:ascii="仿宋_GB2312" w:eastAsia="仿宋_GB2312"/>
          <w:color w:val="auto"/>
          <w:sz w:val="32"/>
          <w:szCs w:val="32"/>
        </w:rPr>
        <w:t>600万元</w:t>
      </w:r>
      <w:r>
        <w:rPr>
          <w:rFonts w:hint="eastAsia" w:ascii="仿宋_GB2312" w:eastAsia="仿宋_GB2312"/>
          <w:color w:val="auto"/>
          <w:sz w:val="32"/>
          <w:szCs w:val="32"/>
          <w:lang w:eastAsia="zh-CN"/>
        </w:rPr>
        <w:t>，</w:t>
      </w:r>
      <w:r>
        <w:rPr>
          <w:rFonts w:hint="eastAsia" w:ascii="仿宋_GB2312" w:eastAsia="仿宋_GB2312"/>
          <w:color w:val="auto"/>
          <w:sz w:val="32"/>
          <w:szCs w:val="32"/>
        </w:rPr>
        <w:t>与沪、深证券交易所上市奖励一致，</w:t>
      </w:r>
      <w:r>
        <w:rPr>
          <w:rFonts w:hint="eastAsia" w:ascii="仿宋_GB2312" w:eastAsia="仿宋_GB2312"/>
          <w:color w:val="auto"/>
          <w:sz w:val="32"/>
          <w:szCs w:val="32"/>
          <w:lang w:val="en-US" w:eastAsia="zh-CN"/>
        </w:rPr>
        <w:t>同时，</w:t>
      </w:r>
      <w:r>
        <w:rPr>
          <w:rFonts w:hint="eastAsia" w:ascii="仿宋_GB2312" w:eastAsia="仿宋_GB2312"/>
          <w:color w:val="auto"/>
          <w:sz w:val="32"/>
          <w:szCs w:val="32"/>
        </w:rPr>
        <w:t>取消精选层奖励。</w:t>
      </w:r>
    </w:p>
    <w:p>
      <w:pPr>
        <w:keepNext w:val="0"/>
        <w:keepLines w:val="0"/>
        <w:pageBreakBefore w:val="0"/>
        <w:widowControl w:val="0"/>
        <w:kinsoku/>
        <w:wordWrap/>
        <w:overflowPunct/>
        <w:topLinePunct w:val="0"/>
        <w:autoSpaceDN/>
        <w:bidi w:val="0"/>
        <w:adjustRightInd/>
        <w:snapToGrid/>
        <w:spacing w:line="560" w:lineRule="exact"/>
        <w:ind w:firstLine="643" w:firstLineChars="200"/>
        <w:rPr>
          <w:rStyle w:val="9"/>
          <w:rFonts w:ascii="仿宋_GB2312" w:eastAsia="仿宋_GB2312"/>
          <w:color w:val="auto"/>
          <w:sz w:val="32"/>
          <w:szCs w:val="32"/>
        </w:rPr>
      </w:pPr>
      <w:r>
        <w:rPr>
          <w:rFonts w:hint="eastAsia" w:ascii="仿宋_GB2312" w:eastAsia="仿宋_GB2312"/>
          <w:b/>
          <w:color w:val="auto"/>
          <w:sz w:val="32"/>
          <w:szCs w:val="32"/>
        </w:rPr>
        <w:t>二是调整奖励</w:t>
      </w:r>
      <w:r>
        <w:rPr>
          <w:rFonts w:hint="eastAsia" w:ascii="仿宋_GB2312" w:eastAsia="仿宋_GB2312"/>
          <w:b/>
          <w:color w:val="auto"/>
          <w:sz w:val="32"/>
          <w:szCs w:val="32"/>
          <w:lang w:val="en-US" w:eastAsia="zh-CN"/>
        </w:rPr>
        <w:t>时间节点</w:t>
      </w:r>
      <w:r>
        <w:rPr>
          <w:rFonts w:hint="eastAsia" w:ascii="仿宋_GB2312" w:eastAsia="仿宋_GB2312"/>
          <w:b/>
          <w:color w:val="auto"/>
          <w:sz w:val="32"/>
          <w:szCs w:val="32"/>
        </w:rPr>
        <w:t>。</w:t>
      </w:r>
      <w:r>
        <w:rPr>
          <w:rStyle w:val="9"/>
          <w:rFonts w:hint="eastAsia" w:ascii="仿宋_GB2312" w:eastAsia="仿宋_GB2312"/>
          <w:color w:val="auto"/>
          <w:sz w:val="32"/>
          <w:szCs w:val="32"/>
        </w:rPr>
        <w:t>参照</w:t>
      </w:r>
      <w:r>
        <w:rPr>
          <w:rStyle w:val="9"/>
          <w:rFonts w:hint="eastAsia" w:ascii="仿宋_GB2312" w:eastAsia="仿宋_GB2312"/>
          <w:color w:val="auto"/>
          <w:sz w:val="32"/>
          <w:szCs w:val="32"/>
          <w:lang w:val="en-US" w:eastAsia="zh-CN"/>
        </w:rPr>
        <w:t>河南省及</w:t>
      </w:r>
      <w:r>
        <w:rPr>
          <w:rStyle w:val="9"/>
          <w:rFonts w:hint="eastAsia" w:ascii="仿宋_GB2312" w:eastAsia="仿宋_GB2312"/>
          <w:color w:val="auto"/>
          <w:sz w:val="32"/>
          <w:szCs w:val="32"/>
        </w:rPr>
        <w:t>洛阳、新乡两地市</w:t>
      </w:r>
      <w:r>
        <w:rPr>
          <w:rStyle w:val="9"/>
          <w:rFonts w:hint="eastAsia" w:ascii="仿宋_GB2312" w:eastAsia="仿宋_GB2312"/>
          <w:color w:val="auto"/>
          <w:sz w:val="32"/>
          <w:szCs w:val="32"/>
          <w:lang w:val="en-US" w:eastAsia="zh-CN"/>
        </w:rPr>
        <w:t>扶持政策</w:t>
      </w:r>
      <w:r>
        <w:rPr>
          <w:rStyle w:val="9"/>
          <w:rFonts w:hint="eastAsia" w:ascii="仿宋_GB2312" w:eastAsia="仿宋_GB2312"/>
          <w:color w:val="auto"/>
          <w:sz w:val="32"/>
          <w:szCs w:val="32"/>
        </w:rPr>
        <w:t>，</w:t>
      </w:r>
      <w:r>
        <w:rPr>
          <w:rStyle w:val="9"/>
          <w:rFonts w:hint="eastAsia" w:ascii="仿宋_GB2312" w:eastAsia="仿宋_GB2312"/>
          <w:color w:val="auto"/>
          <w:sz w:val="32"/>
          <w:szCs w:val="32"/>
          <w:lang w:val="en-US" w:eastAsia="zh-CN"/>
        </w:rPr>
        <w:t>将</w:t>
      </w:r>
      <w:r>
        <w:rPr>
          <w:rFonts w:hint="eastAsia" w:ascii="仿宋_GB2312" w:eastAsia="仿宋_GB2312"/>
          <w:color w:val="auto"/>
          <w:sz w:val="32"/>
          <w:szCs w:val="32"/>
        </w:rPr>
        <w:t>企业境内上市</w:t>
      </w:r>
      <w:r>
        <w:rPr>
          <w:rFonts w:hint="eastAsia" w:ascii="仿宋_GB2312" w:eastAsia="仿宋_GB2312"/>
          <w:color w:val="auto"/>
          <w:sz w:val="32"/>
          <w:szCs w:val="32"/>
          <w:lang w:val="en-US" w:eastAsia="zh-CN"/>
        </w:rPr>
        <w:t>奖励</w:t>
      </w:r>
      <w:r>
        <w:rPr>
          <w:rFonts w:hint="eastAsia" w:ascii="仿宋_GB2312" w:eastAsia="仿宋_GB2312"/>
          <w:color w:val="auto"/>
          <w:sz w:val="32"/>
          <w:szCs w:val="32"/>
        </w:rPr>
        <w:t>调整为</w:t>
      </w:r>
      <w:r>
        <w:rPr>
          <w:rStyle w:val="9"/>
          <w:rFonts w:ascii="仿宋_GB2312" w:eastAsia="仿宋_GB2312"/>
          <w:color w:val="auto"/>
          <w:sz w:val="32"/>
          <w:szCs w:val="32"/>
        </w:rPr>
        <w:t>河南证监局辅导备案登记、中国证监会（</w:t>
      </w:r>
      <w:r>
        <w:rPr>
          <w:rStyle w:val="9"/>
          <w:rFonts w:hint="eastAsia" w:ascii="仿宋_GB2312" w:eastAsia="仿宋_GB2312"/>
          <w:color w:val="auto"/>
          <w:sz w:val="32"/>
          <w:szCs w:val="32"/>
          <w:lang w:eastAsia="zh-CN"/>
        </w:rPr>
        <w:t>或</w:t>
      </w:r>
      <w:r>
        <w:rPr>
          <w:rStyle w:val="9"/>
          <w:rFonts w:ascii="仿宋_GB2312" w:eastAsia="仿宋_GB2312"/>
          <w:color w:val="auto"/>
          <w:sz w:val="32"/>
          <w:szCs w:val="32"/>
        </w:rPr>
        <w:t>证券交易所）受理申报、上市交易三个</w:t>
      </w:r>
      <w:r>
        <w:rPr>
          <w:rStyle w:val="9"/>
          <w:rFonts w:hint="eastAsia" w:ascii="仿宋_GB2312" w:eastAsia="仿宋_GB2312"/>
          <w:color w:val="auto"/>
          <w:sz w:val="32"/>
          <w:szCs w:val="32"/>
        </w:rPr>
        <w:t>节点。一方面避免企业止步于股改阶段，</w:t>
      </w:r>
      <w:r>
        <w:rPr>
          <w:rStyle w:val="9"/>
          <w:rFonts w:hint="eastAsia" w:ascii="仿宋_GB2312" w:eastAsia="仿宋_GB2312"/>
          <w:color w:val="auto"/>
          <w:sz w:val="32"/>
          <w:szCs w:val="32"/>
          <w:lang w:val="en-US" w:eastAsia="zh-CN"/>
        </w:rPr>
        <w:t>出现政策套利；</w:t>
      </w:r>
      <w:r>
        <w:rPr>
          <w:rStyle w:val="9"/>
          <w:rFonts w:hint="eastAsia" w:ascii="仿宋_GB2312" w:eastAsia="仿宋_GB2312"/>
          <w:color w:val="auto"/>
          <w:sz w:val="32"/>
          <w:szCs w:val="32"/>
        </w:rPr>
        <w:t>另一方面也降低了</w:t>
      </w:r>
      <w:r>
        <w:rPr>
          <w:rStyle w:val="9"/>
          <w:rFonts w:hint="eastAsia" w:ascii="仿宋_GB2312" w:eastAsia="仿宋_GB2312"/>
          <w:color w:val="auto"/>
          <w:sz w:val="32"/>
          <w:szCs w:val="32"/>
          <w:lang w:val="en-US" w:eastAsia="zh-CN"/>
        </w:rPr>
        <w:t>企业上市前期的</w:t>
      </w:r>
      <w:r>
        <w:rPr>
          <w:rStyle w:val="9"/>
          <w:rFonts w:hint="eastAsia" w:ascii="仿宋_GB2312" w:eastAsia="仿宋_GB2312"/>
          <w:color w:val="auto"/>
          <w:sz w:val="32"/>
          <w:szCs w:val="32"/>
        </w:rPr>
        <w:t>财政压力。</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Style w:val="9"/>
          <w:rFonts w:hint="eastAsia" w:ascii="仿宋_GB2312" w:eastAsia="仿宋_GB2312" w:cs="Arial"/>
          <w:color w:val="auto"/>
          <w:sz w:val="32"/>
          <w:szCs w:val="32"/>
          <w:lang w:val="en-US" w:eastAsia="zh-CN" w:bidi="ar-SA"/>
        </w:rPr>
      </w:pPr>
      <w:r>
        <w:rPr>
          <w:rStyle w:val="9"/>
          <w:rFonts w:hint="eastAsia" w:ascii="仿宋_GB2312" w:eastAsia="仿宋_GB2312"/>
          <w:b/>
          <w:color w:val="auto"/>
          <w:sz w:val="32"/>
          <w:szCs w:val="32"/>
          <w:lang w:val="en-US" w:eastAsia="zh-CN"/>
        </w:rPr>
        <w:t>三</w:t>
      </w:r>
      <w:r>
        <w:rPr>
          <w:rStyle w:val="9"/>
          <w:rFonts w:ascii="仿宋_GB2312" w:eastAsia="仿宋_GB2312"/>
          <w:b/>
          <w:color w:val="auto"/>
          <w:sz w:val="32"/>
          <w:szCs w:val="32"/>
        </w:rPr>
        <w:t>是</w:t>
      </w:r>
      <w:r>
        <w:rPr>
          <w:rStyle w:val="9"/>
          <w:rFonts w:hint="eastAsia" w:ascii="仿宋_GB2312" w:eastAsia="仿宋_GB2312" w:cs="Arial"/>
          <w:b/>
          <w:bCs/>
          <w:color w:val="auto"/>
          <w:sz w:val="32"/>
          <w:szCs w:val="32"/>
          <w:lang w:val="en-US" w:eastAsia="zh-CN" w:bidi="ar-SA"/>
        </w:rPr>
        <w:t>调整申报方式和财政承担对象。</w:t>
      </w:r>
      <w:r>
        <w:rPr>
          <w:rStyle w:val="9"/>
          <w:rFonts w:hint="eastAsia" w:ascii="仿宋_GB2312" w:eastAsia="仿宋_GB2312" w:cs="Arial"/>
          <w:color w:val="auto"/>
          <w:sz w:val="32"/>
          <w:szCs w:val="32"/>
          <w:lang w:val="en-US" w:eastAsia="zh-CN" w:bidi="ar-SA"/>
        </w:rPr>
        <w:t>由于2022年起中央实行省直管县财政改革，规范统一核定省与市县共同财政事权支出责任分担比例。上市奖励由市财政全部承担调整为两级财政按受益比例承担。</w:t>
      </w:r>
    </w:p>
    <w:p>
      <w:pPr>
        <w:keepNext w:val="0"/>
        <w:keepLines w:val="0"/>
        <w:pageBreakBefore w:val="0"/>
        <w:widowControl w:val="0"/>
        <w:kinsoku/>
        <w:wordWrap/>
        <w:overflowPunct/>
        <w:topLinePunct w:val="0"/>
        <w:autoSpaceDN/>
        <w:bidi w:val="0"/>
        <w:adjustRightInd/>
        <w:snapToGrid/>
        <w:spacing w:line="560" w:lineRule="exact"/>
        <w:ind w:firstLine="643" w:firstLineChars="200"/>
        <w:rPr>
          <w:rStyle w:val="9"/>
          <w:rFonts w:ascii="仿宋_GB2312" w:eastAsia="仿宋_GB2312" w:cs="Arial"/>
          <w:color w:val="auto"/>
          <w:sz w:val="32"/>
          <w:szCs w:val="32"/>
          <w:lang w:val="en-US" w:eastAsia="zh-CN"/>
        </w:rPr>
      </w:pPr>
      <w:r>
        <w:rPr>
          <w:rStyle w:val="9"/>
          <w:rFonts w:hint="eastAsia" w:ascii="仿宋_GB2312" w:eastAsia="仿宋_GB2312"/>
          <w:b/>
          <w:color w:val="auto"/>
          <w:sz w:val="32"/>
          <w:szCs w:val="32"/>
          <w:lang w:val="en-US" w:eastAsia="zh-CN"/>
        </w:rPr>
        <w:t>四是调整税收支持政策。</w:t>
      </w:r>
      <w:r>
        <w:rPr>
          <w:rStyle w:val="9"/>
          <w:rFonts w:hint="eastAsia" w:ascii="仿宋_GB2312" w:eastAsia="仿宋_GB2312" w:cs="Arial"/>
          <w:color w:val="auto"/>
          <w:sz w:val="32"/>
          <w:szCs w:val="32"/>
          <w:lang w:val="en-US" w:eastAsia="zh-CN"/>
        </w:rPr>
        <w:t>对企业上市股改过程中因</w:t>
      </w:r>
      <w:r>
        <w:rPr>
          <w:rStyle w:val="12"/>
          <w:rFonts w:hint="eastAsia" w:ascii="仿宋_GB2312" w:eastAsia="仿宋_GB2312" w:cs="Calibri"/>
          <w:color w:val="auto"/>
          <w:sz w:val="32"/>
          <w:szCs w:val="32"/>
        </w:rPr>
        <w:t>转增注册资本、转让股权额</w:t>
      </w:r>
      <w:r>
        <w:rPr>
          <w:rStyle w:val="12"/>
          <w:rFonts w:hint="eastAsia" w:ascii="仿宋_GB2312" w:eastAsia="仿宋_GB2312" w:cs="Calibri"/>
          <w:color w:val="auto"/>
          <w:sz w:val="32"/>
          <w:szCs w:val="32"/>
          <w:lang w:val="en-US"/>
        </w:rPr>
        <w:t>等活动产生的</w:t>
      </w:r>
      <w:r>
        <w:rPr>
          <w:rStyle w:val="12"/>
          <w:rFonts w:hint="eastAsia" w:ascii="仿宋_GB2312" w:eastAsia="仿宋_GB2312" w:cs="Calibri"/>
          <w:color w:val="auto"/>
          <w:sz w:val="32"/>
          <w:szCs w:val="32"/>
        </w:rPr>
        <w:t>的个人所得税、</w:t>
      </w:r>
      <w:r>
        <w:rPr>
          <w:rStyle w:val="12"/>
          <w:rFonts w:hint="eastAsia" w:ascii="仿宋_GB2312" w:eastAsia="仿宋_GB2312" w:cs="Calibri"/>
          <w:color w:val="auto"/>
          <w:sz w:val="32"/>
          <w:szCs w:val="32"/>
          <w:lang w:val="en-US"/>
        </w:rPr>
        <w:t>企业所得税等</w:t>
      </w:r>
      <w:r>
        <w:rPr>
          <w:rStyle w:val="12"/>
          <w:rFonts w:hint="eastAsia" w:ascii="仿宋_GB2312" w:eastAsia="仿宋_GB2312" w:cs="Calibri"/>
          <w:color w:val="auto"/>
          <w:sz w:val="32"/>
          <w:szCs w:val="32"/>
        </w:rPr>
        <w:t>地方财政受益部分，由征收后全额奖励给企业</w:t>
      </w:r>
      <w:r>
        <w:rPr>
          <w:rStyle w:val="12"/>
          <w:rFonts w:hint="eastAsia" w:ascii="仿宋_GB2312" w:eastAsia="仿宋_GB2312" w:cs="Calibri"/>
          <w:color w:val="auto"/>
          <w:sz w:val="32"/>
          <w:szCs w:val="32"/>
          <w:lang w:val="en-US"/>
        </w:rPr>
        <w:t>调整为受益财政视财力给予相应的奖励。</w:t>
      </w:r>
    </w:p>
    <w:p>
      <w:pPr>
        <w:keepNext w:val="0"/>
        <w:keepLines w:val="0"/>
        <w:pageBreakBefore w:val="0"/>
        <w:widowControl w:val="0"/>
        <w:kinsoku/>
        <w:wordWrap/>
        <w:overflowPunct/>
        <w:topLinePunct w:val="0"/>
        <w:autoSpaceDN/>
        <w:bidi w:val="0"/>
        <w:adjustRightInd/>
        <w:snapToGrid/>
        <w:spacing w:line="560" w:lineRule="exact"/>
        <w:ind w:firstLine="643" w:firstLineChars="200"/>
        <w:rPr>
          <w:rFonts w:hint="eastAsia" w:eastAsia="等线"/>
          <w:color w:val="auto"/>
        </w:rPr>
      </w:pPr>
      <w:r>
        <w:rPr>
          <w:rStyle w:val="9"/>
          <w:rFonts w:hint="eastAsia" w:ascii="仿宋_GB2312" w:eastAsia="仿宋_GB2312"/>
          <w:b/>
          <w:color w:val="auto"/>
          <w:sz w:val="32"/>
          <w:szCs w:val="32"/>
          <w:lang w:val="en-US" w:eastAsia="zh-CN"/>
        </w:rPr>
        <w:t>五是</w:t>
      </w:r>
      <w:r>
        <w:rPr>
          <w:rStyle w:val="9"/>
          <w:rFonts w:ascii="仿宋_GB2312" w:eastAsia="仿宋_GB2312"/>
          <w:b/>
          <w:color w:val="auto"/>
          <w:sz w:val="32"/>
          <w:szCs w:val="32"/>
        </w:rPr>
        <w:t>加强企业上市</w:t>
      </w:r>
      <w:r>
        <w:rPr>
          <w:rStyle w:val="9"/>
          <w:rFonts w:hint="eastAsia" w:ascii="仿宋_GB2312" w:eastAsia="仿宋_GB2312"/>
          <w:b/>
          <w:color w:val="auto"/>
          <w:sz w:val="32"/>
          <w:szCs w:val="32"/>
          <w:lang w:val="en-US" w:eastAsia="zh-CN"/>
        </w:rPr>
        <w:t>目标</w:t>
      </w:r>
      <w:r>
        <w:rPr>
          <w:rStyle w:val="9"/>
          <w:rFonts w:ascii="仿宋_GB2312" w:eastAsia="仿宋_GB2312"/>
          <w:b/>
          <w:color w:val="auto"/>
          <w:sz w:val="32"/>
          <w:szCs w:val="32"/>
        </w:rPr>
        <w:t>考核</w:t>
      </w:r>
      <w:r>
        <w:rPr>
          <w:rStyle w:val="9"/>
          <w:rFonts w:hint="eastAsia" w:ascii="仿宋_GB2312" w:eastAsia="仿宋_GB2312"/>
          <w:b/>
          <w:color w:val="auto"/>
          <w:sz w:val="32"/>
          <w:szCs w:val="32"/>
          <w:lang w:val="en-US" w:eastAsia="zh-CN"/>
        </w:rPr>
        <w:t>问责</w:t>
      </w:r>
      <w:r>
        <w:rPr>
          <w:rStyle w:val="9"/>
          <w:rFonts w:ascii="仿宋_GB2312" w:eastAsia="仿宋_GB2312"/>
          <w:b/>
          <w:color w:val="auto"/>
          <w:sz w:val="32"/>
          <w:szCs w:val="32"/>
        </w:rPr>
        <w:t>。</w:t>
      </w:r>
      <w:r>
        <w:rPr>
          <w:rFonts w:hint="eastAsia" w:ascii="仿宋_GB2312" w:eastAsia="仿宋_GB2312"/>
          <w:color w:val="auto"/>
          <w:sz w:val="32"/>
          <w:szCs w:val="32"/>
          <w:lang w:val="en-US" w:eastAsia="zh-CN"/>
        </w:rPr>
        <w:t>按照市委市政府主要领导指示，</w:t>
      </w:r>
      <w:r>
        <w:rPr>
          <w:rStyle w:val="9"/>
          <w:rFonts w:hint="eastAsia" w:ascii="仿宋_GB2312" w:eastAsia="仿宋_GB2312"/>
          <w:color w:val="auto"/>
          <w:sz w:val="32"/>
          <w:szCs w:val="32"/>
        </w:rPr>
        <w:t>出台</w:t>
      </w:r>
      <w:r>
        <w:rPr>
          <w:rFonts w:hint="eastAsia" w:ascii="仿宋_GB2312" w:eastAsia="仿宋_GB2312"/>
          <w:color w:val="auto"/>
          <w:sz w:val="32"/>
          <w:szCs w:val="32"/>
        </w:rPr>
        <w:t>《南阳市加强企业上市挂牌工作考核办法》，提出</w:t>
      </w:r>
      <w:r>
        <w:rPr>
          <w:rFonts w:hint="eastAsia" w:ascii="仿宋_GB2312" w:eastAsia="仿宋_GB2312"/>
          <w:color w:val="auto"/>
          <w:sz w:val="32"/>
          <w:szCs w:val="32"/>
          <w:lang w:val="en-US" w:eastAsia="zh-CN"/>
        </w:rPr>
        <w:t>近3年企业上市</w:t>
      </w:r>
      <w:r>
        <w:rPr>
          <w:rFonts w:hint="eastAsia" w:ascii="仿宋_GB2312" w:eastAsia="仿宋_GB2312"/>
          <w:color w:val="auto"/>
          <w:sz w:val="32"/>
          <w:szCs w:val="32"/>
        </w:rPr>
        <w:t>目标任务</w:t>
      </w:r>
      <w:r>
        <w:rPr>
          <w:rFonts w:ascii="仿宋_GB2312" w:eastAsia="仿宋_GB2312"/>
          <w:color w:val="auto"/>
          <w:sz w:val="32"/>
          <w:szCs w:val="32"/>
        </w:rPr>
        <w:t>。</w:t>
      </w:r>
      <w:r>
        <w:rPr>
          <w:rFonts w:hint="eastAsia" w:ascii="仿宋_GB2312" w:eastAsia="仿宋_GB2312"/>
          <w:color w:val="auto"/>
          <w:sz w:val="32"/>
          <w:szCs w:val="32"/>
        </w:rPr>
        <w:t>对未完成年度目标任务的，对县</w:t>
      </w:r>
      <w:r>
        <w:rPr>
          <w:rFonts w:hint="eastAsia" w:ascii="仿宋_GB2312" w:eastAsia="仿宋_GB2312" w:cs="仿宋_GB2312"/>
          <w:color w:val="auto"/>
          <w:sz w:val="32"/>
          <w:szCs w:val="32"/>
        </w:rPr>
        <w:t>（市、区）</w:t>
      </w:r>
      <w:r>
        <w:rPr>
          <w:rFonts w:hint="eastAsia" w:ascii="仿宋_GB2312" w:eastAsia="仿宋_GB2312"/>
          <w:color w:val="auto"/>
          <w:sz w:val="32"/>
          <w:szCs w:val="32"/>
        </w:rPr>
        <w:t>政府（管委会）主要领导进行问责；连续两年未完成目标任务的，对县</w:t>
      </w:r>
      <w:r>
        <w:rPr>
          <w:rFonts w:hint="eastAsia" w:ascii="仿宋_GB2312" w:eastAsia="仿宋_GB2312" w:cs="仿宋_GB2312"/>
          <w:color w:val="auto"/>
          <w:sz w:val="32"/>
          <w:szCs w:val="32"/>
        </w:rPr>
        <w:t>（市、区）</w:t>
      </w:r>
      <w:r>
        <w:rPr>
          <w:rFonts w:hint="eastAsia" w:ascii="仿宋_GB2312" w:eastAsia="仿宋_GB2312"/>
          <w:color w:val="auto"/>
          <w:sz w:val="32"/>
          <w:szCs w:val="32"/>
        </w:rPr>
        <w:t>党委（党工委）主要领导进行问责。</w:t>
      </w:r>
    </w:p>
    <w:p>
      <w:pPr>
        <w:keepNext w:val="0"/>
        <w:keepLines w:val="0"/>
        <w:pageBreakBefore w:val="0"/>
        <w:widowControl w:val="0"/>
        <w:kinsoku/>
        <w:wordWrap/>
        <w:overflowPunct/>
        <w:topLinePunct w:val="0"/>
        <w:autoSpaceDN/>
        <w:bidi w:val="0"/>
        <w:adjustRightInd/>
        <w:snapToGrid/>
        <w:spacing w:line="560" w:lineRule="exact"/>
        <w:ind w:firstLine="640" w:firstLineChars="200"/>
        <w:rPr>
          <w:rFonts w:hint="eastAsia" w:ascii="黑体" w:eastAsia="黑体"/>
          <w:color w:val="auto"/>
          <w:sz w:val="32"/>
          <w:szCs w:val="32"/>
        </w:rPr>
      </w:pPr>
      <w:r>
        <w:rPr>
          <w:rFonts w:hint="eastAsia" w:ascii="黑体" w:eastAsia="黑体"/>
          <w:color w:val="auto"/>
          <w:sz w:val="32"/>
          <w:szCs w:val="32"/>
        </w:rPr>
        <w:t>三、文件的基本结构和主要内容</w:t>
      </w:r>
    </w:p>
    <w:p>
      <w:pPr>
        <w:pStyle w:val="2"/>
        <w:keepNext w:val="0"/>
        <w:keepLines w:val="0"/>
        <w:pageBreakBefore w:val="0"/>
        <w:widowControl w:val="0"/>
        <w:kinsoku/>
        <w:wordWrap/>
        <w:overflowPunct/>
        <w:topLinePunct w:val="0"/>
        <w:autoSpaceDN/>
        <w:bidi w:val="0"/>
        <w:adjustRightInd/>
        <w:snapToGrid/>
        <w:spacing w:after="0"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《实施方案》分</w:t>
      </w:r>
      <w:r>
        <w:rPr>
          <w:rFonts w:hint="eastAsia" w:ascii="仿宋_GB2312" w:eastAsia="仿宋_GB2312"/>
          <w:color w:val="auto"/>
          <w:sz w:val="32"/>
          <w:szCs w:val="32"/>
          <w:lang w:val="en-US" w:eastAsia="zh-CN"/>
        </w:rPr>
        <w:t>三</w:t>
      </w:r>
      <w:r>
        <w:rPr>
          <w:rFonts w:hint="eastAsia" w:ascii="仿宋_GB2312" w:eastAsia="仿宋_GB2312"/>
          <w:color w:val="auto"/>
          <w:sz w:val="32"/>
          <w:szCs w:val="32"/>
        </w:rPr>
        <w:t>个部分，一是总体要求，二是重点工作，三是保障措施。</w:t>
      </w:r>
    </w:p>
    <w:p>
      <w:pPr>
        <w:keepNext w:val="0"/>
        <w:keepLines w:val="0"/>
        <w:pageBreakBefore w:val="0"/>
        <w:widowControl w:val="0"/>
        <w:kinsoku/>
        <w:wordWrap/>
        <w:overflowPunct/>
        <w:topLinePunct w:val="0"/>
        <w:autoSpaceDN/>
        <w:bidi w:val="0"/>
        <w:adjustRightInd/>
        <w:snapToGrid/>
        <w:spacing w:line="560" w:lineRule="exact"/>
        <w:ind w:firstLine="643" w:firstLineChars="200"/>
        <w:rPr>
          <w:rFonts w:ascii="仿宋_GB2312" w:eastAsia="仿宋_GB2312"/>
          <w:color w:val="auto"/>
          <w:sz w:val="32"/>
          <w:szCs w:val="32"/>
        </w:rPr>
      </w:pPr>
      <w:r>
        <w:rPr>
          <w:rFonts w:hint="eastAsia" w:ascii="楷体" w:eastAsia="楷体"/>
          <w:b/>
          <w:bCs/>
          <w:color w:val="auto"/>
          <w:sz w:val="32"/>
          <w:szCs w:val="32"/>
        </w:rPr>
        <w:t>（一）总体要求。</w:t>
      </w:r>
      <w:r>
        <w:rPr>
          <w:rFonts w:hint="eastAsia" w:ascii="仿宋_GB2312" w:eastAsia="仿宋_GB2312"/>
          <w:b/>
          <w:color w:val="auto"/>
          <w:sz w:val="32"/>
          <w:szCs w:val="32"/>
        </w:rPr>
        <w:t>一是确定指导思想。二是明确工作目标。</w:t>
      </w:r>
      <w:r>
        <w:rPr>
          <w:rFonts w:hint="eastAsia" w:ascii="仿宋_GB2312" w:eastAsia="仿宋_GB2312"/>
          <w:color w:val="auto"/>
          <w:sz w:val="32"/>
          <w:szCs w:val="32"/>
        </w:rPr>
        <w:t>自2023年起，除鸭河工区、官庄工区、卧龙综合保税区外的15个县（市、区），每年分别新增1家上市企业、3家完成股份制改造后备企业和3家省定重点上市后备企业，邓州市等9个上市空白县</w:t>
      </w:r>
      <w:r>
        <w:rPr>
          <w:rFonts w:hint="eastAsia" w:ascii="仿宋_GB2312" w:eastAsia="仿宋_GB2312"/>
          <w:color w:val="auto"/>
          <w:sz w:val="32"/>
          <w:szCs w:val="32"/>
          <w:lang w:eastAsia="zh-CN"/>
        </w:rPr>
        <w:t>（市、区）</w:t>
      </w:r>
      <w:r>
        <w:rPr>
          <w:rFonts w:hint="eastAsia" w:ascii="仿宋_GB2312" w:eastAsia="仿宋_GB2312"/>
          <w:color w:val="auto"/>
          <w:sz w:val="32"/>
          <w:szCs w:val="32"/>
        </w:rPr>
        <w:t>实现</w:t>
      </w:r>
      <w:r>
        <w:rPr>
          <w:rStyle w:val="9"/>
          <w:rFonts w:hint="eastAsia" w:ascii="仿宋_GB2312" w:eastAsia="仿宋_GB2312"/>
          <w:color w:val="auto"/>
          <w:sz w:val="32"/>
          <w:szCs w:val="32"/>
        </w:rPr>
        <w:t>零的突破，</w:t>
      </w:r>
      <w:r>
        <w:rPr>
          <w:rFonts w:hint="eastAsia" w:ascii="仿宋_GB2312" w:eastAsia="仿宋_GB2312"/>
          <w:color w:val="auto"/>
          <w:sz w:val="32"/>
          <w:szCs w:val="32"/>
        </w:rPr>
        <w:t>卧龙区等6个县</w:t>
      </w:r>
      <w:r>
        <w:rPr>
          <w:rFonts w:hint="eastAsia" w:ascii="仿宋_GB2312" w:eastAsia="仿宋_GB2312"/>
          <w:color w:val="auto"/>
          <w:sz w:val="32"/>
          <w:szCs w:val="32"/>
          <w:lang w:eastAsia="zh-CN"/>
        </w:rPr>
        <w:t>（</w:t>
      </w:r>
      <w:r>
        <w:rPr>
          <w:rFonts w:hint="eastAsia" w:ascii="仿宋_GB2312" w:eastAsia="仿宋_GB2312"/>
          <w:color w:val="auto"/>
          <w:sz w:val="32"/>
          <w:szCs w:val="32"/>
        </w:rPr>
        <w:t>区</w:t>
      </w:r>
      <w:r>
        <w:rPr>
          <w:rFonts w:hint="eastAsia" w:ascii="仿宋_GB2312" w:eastAsia="仿宋_GB2312"/>
          <w:color w:val="auto"/>
          <w:sz w:val="32"/>
          <w:szCs w:val="32"/>
          <w:lang w:eastAsia="zh-CN"/>
        </w:rPr>
        <w:t>）</w:t>
      </w:r>
      <w:r>
        <w:rPr>
          <w:rFonts w:hint="eastAsia" w:ascii="仿宋_GB2312" w:eastAsia="仿宋_GB2312"/>
          <w:color w:val="auto"/>
          <w:sz w:val="32"/>
          <w:szCs w:val="32"/>
        </w:rPr>
        <w:t>实现上市公司数量增长</w:t>
      </w:r>
      <w:r>
        <w:rPr>
          <w:rFonts w:hint="eastAsia" w:ascii="楷体" w:eastAsia="楷体"/>
          <w:color w:val="auto"/>
          <w:sz w:val="32"/>
          <w:szCs w:val="32"/>
        </w:rPr>
        <w:t>。</w:t>
      </w:r>
    </w:p>
    <w:p>
      <w:pPr>
        <w:keepNext w:val="0"/>
        <w:keepLines w:val="0"/>
        <w:pageBreakBefore w:val="0"/>
        <w:widowControl w:val="0"/>
        <w:kinsoku/>
        <w:wordWrap/>
        <w:overflowPunct/>
        <w:topLinePunct w:val="0"/>
        <w:autoSpaceDN/>
        <w:bidi w:val="0"/>
        <w:adjustRightInd/>
        <w:snapToGrid/>
        <w:spacing w:line="560" w:lineRule="exact"/>
        <w:ind w:firstLine="482" w:firstLineChars="150"/>
        <w:rPr>
          <w:rFonts w:eastAsia="等线"/>
          <w:color w:val="auto"/>
        </w:rPr>
      </w:pPr>
      <w:r>
        <w:rPr>
          <w:rFonts w:hint="eastAsia" w:ascii="楷体" w:eastAsia="楷体"/>
          <w:b/>
          <w:bCs/>
          <w:color w:val="auto"/>
          <w:sz w:val="32"/>
          <w:szCs w:val="32"/>
        </w:rPr>
        <w:t>（二）重点工作。</w:t>
      </w:r>
      <w:r>
        <w:rPr>
          <w:rFonts w:hint="eastAsia" w:ascii="仿宋_GB2312" w:eastAsia="仿宋_GB2312"/>
          <w:b/>
          <w:bCs/>
          <w:color w:val="auto"/>
          <w:sz w:val="32"/>
          <w:szCs w:val="32"/>
        </w:rPr>
        <w:t>一是</w:t>
      </w:r>
      <w:r>
        <w:rPr>
          <w:rFonts w:hint="eastAsia" w:ascii="仿宋_GB2312" w:eastAsia="仿宋_GB2312"/>
          <w:color w:val="auto"/>
          <w:sz w:val="32"/>
          <w:szCs w:val="32"/>
        </w:rPr>
        <w:t>加强上市后备企业资源库建设。</w:t>
      </w:r>
      <w:r>
        <w:rPr>
          <w:rFonts w:hint="eastAsia" w:ascii="仿宋_GB2312" w:eastAsia="仿宋_GB2312"/>
          <w:b/>
          <w:bCs/>
          <w:color w:val="auto"/>
          <w:sz w:val="32"/>
          <w:szCs w:val="32"/>
        </w:rPr>
        <w:t>二是</w:t>
      </w:r>
      <w:r>
        <w:rPr>
          <w:rFonts w:hint="eastAsia" w:ascii="仿宋_GB2312" w:eastAsia="仿宋_GB2312"/>
          <w:color w:val="auto"/>
          <w:sz w:val="32"/>
          <w:szCs w:val="32"/>
        </w:rPr>
        <w:t>加快推动企业股份制改造。</w:t>
      </w:r>
      <w:r>
        <w:rPr>
          <w:rFonts w:hint="eastAsia" w:ascii="仿宋_GB2312" w:eastAsia="仿宋_GB2312"/>
          <w:b/>
          <w:bCs/>
          <w:color w:val="auto"/>
          <w:sz w:val="32"/>
          <w:szCs w:val="32"/>
        </w:rPr>
        <w:t>三</w:t>
      </w:r>
      <w:r>
        <w:rPr>
          <w:rFonts w:hint="eastAsia" w:ascii="仿宋_GB2312" w:eastAsia="仿宋_GB2312" w:cs="Times New Roman"/>
          <w:b/>
          <w:bCs/>
          <w:color w:val="auto"/>
          <w:sz w:val="32"/>
          <w:szCs w:val="32"/>
        </w:rPr>
        <w:t>是</w:t>
      </w:r>
      <w:r>
        <w:rPr>
          <w:rFonts w:hint="eastAsia" w:ascii="仿宋_GB2312" w:eastAsia="仿宋_GB2312"/>
          <w:color w:val="auto"/>
          <w:sz w:val="32"/>
          <w:szCs w:val="32"/>
        </w:rPr>
        <w:t>加大上市培育力度。</w:t>
      </w:r>
      <w:r>
        <w:rPr>
          <w:rFonts w:hint="eastAsia" w:ascii="仿宋_GB2312" w:eastAsia="仿宋_GB2312"/>
          <w:b/>
          <w:bCs/>
          <w:color w:val="auto"/>
          <w:sz w:val="32"/>
          <w:szCs w:val="32"/>
        </w:rPr>
        <w:t>四是</w:t>
      </w:r>
      <w:r>
        <w:rPr>
          <w:rFonts w:hint="eastAsia" w:ascii="仿宋_GB2312" w:eastAsia="仿宋_GB2312"/>
          <w:color w:val="auto"/>
          <w:sz w:val="32"/>
          <w:szCs w:val="32"/>
        </w:rPr>
        <w:t>提升“绿色通道”服务质效。</w:t>
      </w:r>
      <w:r>
        <w:rPr>
          <w:rFonts w:hint="eastAsia" w:ascii="仿宋_GB2312" w:eastAsia="仿宋_GB2312"/>
          <w:b/>
          <w:bCs/>
          <w:color w:val="auto"/>
          <w:sz w:val="32"/>
          <w:szCs w:val="32"/>
        </w:rPr>
        <w:t>五是</w:t>
      </w:r>
      <w:r>
        <w:rPr>
          <w:rFonts w:hint="eastAsia" w:ascii="仿宋_GB2312" w:eastAsia="仿宋_GB2312"/>
          <w:color w:val="auto"/>
          <w:sz w:val="32"/>
          <w:szCs w:val="32"/>
        </w:rPr>
        <w:t>加大企业上市挂牌奖励力度。</w:t>
      </w:r>
      <w:r>
        <w:rPr>
          <w:rFonts w:hint="eastAsia" w:ascii="仿宋_GB2312" w:eastAsia="仿宋_GB2312"/>
          <w:b/>
          <w:bCs/>
          <w:color w:val="auto"/>
          <w:sz w:val="32"/>
          <w:szCs w:val="32"/>
        </w:rPr>
        <w:t>六是</w:t>
      </w:r>
      <w:r>
        <w:rPr>
          <w:rFonts w:hint="eastAsia" w:ascii="仿宋_GB2312" w:eastAsia="仿宋_GB2312"/>
          <w:color w:val="auto"/>
          <w:sz w:val="32"/>
          <w:szCs w:val="32"/>
        </w:rPr>
        <w:t>强化税收支持。</w:t>
      </w:r>
      <w:r>
        <w:rPr>
          <w:rFonts w:hint="eastAsia" w:ascii="仿宋_GB2312" w:eastAsia="仿宋_GB2312"/>
          <w:b/>
          <w:bCs/>
          <w:color w:val="auto"/>
          <w:sz w:val="32"/>
          <w:szCs w:val="32"/>
        </w:rPr>
        <w:t>七是</w:t>
      </w:r>
      <w:r>
        <w:rPr>
          <w:rFonts w:hint="eastAsia" w:ascii="仿宋_GB2312" w:eastAsia="仿宋_GB2312"/>
          <w:color w:val="auto"/>
          <w:sz w:val="32"/>
          <w:szCs w:val="32"/>
        </w:rPr>
        <w:t>加强金融综合服务。</w:t>
      </w:r>
      <w:r>
        <w:rPr>
          <w:rFonts w:hint="eastAsia" w:ascii="仿宋_GB2312" w:eastAsia="仿宋_GB2312"/>
          <w:b/>
          <w:bCs/>
          <w:color w:val="auto"/>
          <w:sz w:val="32"/>
          <w:szCs w:val="32"/>
        </w:rPr>
        <w:t>八是</w:t>
      </w:r>
      <w:r>
        <w:rPr>
          <w:rFonts w:hint="eastAsia" w:ascii="仿宋_GB2312" w:eastAsia="仿宋_GB2312"/>
          <w:color w:val="auto"/>
          <w:sz w:val="32"/>
          <w:szCs w:val="32"/>
        </w:rPr>
        <w:t>发挥中介机构专业优势。</w:t>
      </w:r>
      <w:r>
        <w:rPr>
          <w:rFonts w:hint="eastAsia" w:ascii="仿宋_GB2312" w:eastAsia="仿宋_GB2312"/>
          <w:b/>
          <w:bCs/>
          <w:color w:val="auto"/>
          <w:sz w:val="32"/>
          <w:szCs w:val="32"/>
        </w:rPr>
        <w:t>九是</w:t>
      </w:r>
      <w:r>
        <w:rPr>
          <w:rFonts w:hint="eastAsia" w:ascii="仿宋_GB2312" w:eastAsia="仿宋_GB2312"/>
          <w:color w:val="auto"/>
          <w:sz w:val="32"/>
          <w:szCs w:val="32"/>
        </w:rPr>
        <w:t>提高上市公司发展质量。</w:t>
      </w:r>
    </w:p>
    <w:p>
      <w:pPr>
        <w:keepNext w:val="0"/>
        <w:keepLines w:val="0"/>
        <w:pageBreakBefore w:val="0"/>
        <w:widowControl w:val="0"/>
        <w:kinsoku/>
        <w:wordWrap/>
        <w:overflowPunct/>
        <w:topLinePunct w:val="0"/>
        <w:autoSpaceDN/>
        <w:bidi w:val="0"/>
        <w:adjustRightInd/>
        <w:snapToGrid/>
        <w:spacing w:line="560" w:lineRule="exact"/>
        <w:ind w:firstLine="643" w:firstLineChars="200"/>
        <w:rPr>
          <w:rFonts w:hint="eastAsia" w:ascii="仿宋_GB2312" w:eastAsia="仿宋_GB2312"/>
          <w:color w:val="auto"/>
          <w:sz w:val="32"/>
          <w:szCs w:val="32"/>
        </w:rPr>
      </w:pPr>
      <w:r>
        <w:rPr>
          <w:rFonts w:hint="eastAsia" w:ascii="楷体_GB2312" w:eastAsia="楷体_GB2312"/>
          <w:b/>
          <w:bCs/>
          <w:color w:val="auto"/>
          <w:sz w:val="32"/>
          <w:szCs w:val="32"/>
        </w:rPr>
        <w:t>（三）</w:t>
      </w:r>
      <w:r>
        <w:rPr>
          <w:rFonts w:hint="eastAsia" w:ascii="楷体" w:eastAsia="楷体"/>
          <w:b/>
          <w:bCs/>
          <w:color w:val="auto"/>
          <w:sz w:val="32"/>
          <w:szCs w:val="32"/>
        </w:rPr>
        <w:t>保障措施</w:t>
      </w:r>
      <w:r>
        <w:rPr>
          <w:rFonts w:hint="eastAsia" w:ascii="楷体" w:eastAsia="楷体"/>
          <w:color w:val="auto"/>
          <w:sz w:val="32"/>
          <w:szCs w:val="32"/>
        </w:rPr>
        <w:t>。</w:t>
      </w:r>
      <w:r>
        <w:rPr>
          <w:rFonts w:hint="eastAsia" w:ascii="仿宋_GB2312" w:eastAsia="仿宋_GB2312"/>
          <w:color w:val="auto"/>
          <w:sz w:val="32"/>
          <w:szCs w:val="32"/>
        </w:rPr>
        <w:t>包括加强组织领导、强化服务保障、加强督导考核。</w:t>
      </w:r>
    </w:p>
    <w:p>
      <w:pPr>
        <w:keepNext w:val="0"/>
        <w:keepLines w:val="0"/>
        <w:pageBreakBefore w:val="0"/>
        <w:widowControl w:val="0"/>
        <w:kinsoku/>
        <w:wordWrap/>
        <w:overflowPunct/>
        <w:topLinePunct w:val="0"/>
        <w:autoSpaceDN/>
        <w:bidi w:val="0"/>
        <w:adjustRightInd/>
        <w:snapToGrid/>
        <w:spacing w:line="560" w:lineRule="exact"/>
        <w:ind w:firstLine="640" w:firstLineChars="200"/>
        <w:contextualSpacing/>
        <w:rPr>
          <w:rFonts w:ascii="黑体" w:eastAsia="黑体"/>
          <w:color w:val="auto"/>
          <w:sz w:val="32"/>
          <w:szCs w:val="32"/>
        </w:rPr>
      </w:pPr>
      <w:r>
        <w:rPr>
          <w:rFonts w:hint="eastAsia" w:ascii="黑体" w:eastAsia="黑体"/>
          <w:color w:val="auto"/>
          <w:sz w:val="32"/>
          <w:szCs w:val="32"/>
        </w:rPr>
        <w:t>四、意见协调情况</w:t>
      </w:r>
    </w:p>
    <w:p>
      <w:pPr>
        <w:pStyle w:val="2"/>
        <w:keepNext w:val="0"/>
        <w:keepLines w:val="0"/>
        <w:pageBreakBefore w:val="0"/>
        <w:widowControl w:val="0"/>
        <w:kinsoku/>
        <w:wordWrap/>
        <w:overflowPunct/>
        <w:topLinePunct w:val="0"/>
        <w:autoSpaceDN/>
        <w:bidi w:val="0"/>
        <w:adjustRightInd/>
        <w:snapToGrid/>
        <w:spacing w:after="0" w:line="560" w:lineRule="exact"/>
        <w:ind w:left="0" w:firstLine="640" w:firstLineChars="200"/>
        <w:rPr>
          <w:color w:val="auto"/>
        </w:rPr>
      </w:pPr>
      <w:r>
        <w:rPr>
          <w:rFonts w:hint="eastAsia" w:ascii="仿宋_GB2312" w:eastAsia="仿宋_GB2312"/>
          <w:color w:val="auto"/>
          <w:sz w:val="32"/>
          <w:szCs w:val="32"/>
        </w:rPr>
        <w:t>该</w:t>
      </w:r>
      <w:r>
        <w:rPr>
          <w:rFonts w:hint="eastAsia" w:ascii="仿宋_GB2312" w:eastAsia="仿宋_GB2312"/>
          <w:color w:val="auto"/>
          <w:sz w:val="32"/>
          <w:szCs w:val="32"/>
          <w:lang w:eastAsia="zh-CN"/>
        </w:rPr>
        <w:t>《实施</w:t>
      </w:r>
      <w:r>
        <w:rPr>
          <w:rFonts w:hint="eastAsia" w:ascii="仿宋_GB2312" w:eastAsia="仿宋_GB2312"/>
          <w:color w:val="auto"/>
          <w:sz w:val="32"/>
          <w:szCs w:val="32"/>
        </w:rPr>
        <w:t>方案</w:t>
      </w:r>
      <w:r>
        <w:rPr>
          <w:rFonts w:hint="eastAsia" w:ascii="仿宋_GB2312" w:eastAsia="仿宋_GB2312"/>
          <w:color w:val="auto"/>
          <w:sz w:val="32"/>
          <w:szCs w:val="32"/>
          <w:lang w:eastAsia="zh-CN"/>
        </w:rPr>
        <w:t>》分别</w:t>
      </w:r>
      <w:r>
        <w:rPr>
          <w:rFonts w:hint="eastAsia" w:ascii="仿宋_GB2312" w:eastAsia="仿宋_GB2312"/>
          <w:color w:val="auto"/>
          <w:sz w:val="32"/>
          <w:szCs w:val="32"/>
        </w:rPr>
        <w:t>征求了3</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个市直</w:t>
      </w:r>
      <w:r>
        <w:rPr>
          <w:rFonts w:hint="eastAsia" w:ascii="仿宋_GB2312" w:eastAsia="仿宋_GB2312"/>
          <w:color w:val="auto"/>
          <w:sz w:val="32"/>
          <w:szCs w:val="32"/>
          <w:lang w:val="en-US" w:eastAsia="zh-CN"/>
        </w:rPr>
        <w:t>部门</w:t>
      </w:r>
      <w:r>
        <w:rPr>
          <w:rFonts w:hint="eastAsia" w:ascii="仿宋_GB2312" w:eastAsia="仿宋_GB2312"/>
          <w:color w:val="auto"/>
          <w:sz w:val="32"/>
          <w:szCs w:val="32"/>
        </w:rPr>
        <w:t>意见</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其中，市财政局、市城管局、市税务局提出的</w:t>
      </w:r>
      <w:r>
        <w:rPr>
          <w:rFonts w:hint="eastAsia" w:ascii="仿宋_GB2312" w:eastAsia="仿宋_GB2312" w:cs="Times New Roman"/>
          <w:color w:val="auto"/>
          <w:kern w:val="2"/>
          <w:sz w:val="32"/>
          <w:szCs w:val="32"/>
          <w:lang w:val="en-US" w:eastAsia="zh-CN" w:bidi="ar-SA"/>
        </w:rPr>
        <w:t>修改意见全部采纳，市市场监督管理局提出的意见部分采纳。《实施</w:t>
      </w:r>
      <w:r>
        <w:rPr>
          <w:rFonts w:hint="eastAsia" w:ascii="仿宋_GB2312" w:eastAsia="仿宋_GB2312" w:cs="仿宋_GB2312"/>
          <w:color w:val="auto"/>
          <w:sz w:val="32"/>
          <w:szCs w:val="32"/>
          <w:lang w:val="en-US" w:eastAsia="zh-CN"/>
        </w:rPr>
        <w:t>方案</w:t>
      </w:r>
      <w:r>
        <w:rPr>
          <w:rFonts w:hint="eastAsia" w:ascii="仿宋_GB2312" w:eastAsia="仿宋_GB2312" w:cs="Times New Roman"/>
          <w:color w:val="auto"/>
          <w:kern w:val="2"/>
          <w:sz w:val="32"/>
          <w:szCs w:val="32"/>
          <w:lang w:val="en-US" w:eastAsia="zh-CN" w:bidi="ar-SA"/>
        </w:rPr>
        <w:t>》</w:t>
      </w:r>
      <w:r>
        <w:rPr>
          <w:rFonts w:hint="eastAsia" w:ascii="仿宋_GB2312" w:eastAsia="仿宋_GB2312" w:cs="仿宋_GB2312"/>
          <w:color w:val="auto"/>
          <w:sz w:val="32"/>
          <w:szCs w:val="32"/>
          <w:lang w:eastAsia="zh-CN"/>
        </w:rPr>
        <w:t>已通过市司法局合法性审查，经分管副市长研究同意后，已送市政府常务会议组成人员审阅。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黑体" w:eastAsia="黑体"/>
          <w:color w:val="auto"/>
          <w:sz w:val="32"/>
          <w:szCs w:val="32"/>
        </w:rPr>
      </w:pPr>
      <w:r>
        <w:rPr>
          <w:rFonts w:hint="eastAsia" w:ascii="黑体" w:eastAsia="黑体"/>
          <w:color w:val="auto"/>
          <w:sz w:val="32"/>
          <w:szCs w:val="32"/>
        </w:rPr>
        <w:t>五、提请市政府常务会议研究解决的问题</w:t>
      </w:r>
    </w:p>
    <w:p>
      <w:pPr>
        <w:keepNext w:val="0"/>
        <w:keepLines w:val="0"/>
        <w:pageBreakBefore w:val="0"/>
        <w:widowControl w:val="0"/>
        <w:kinsoku/>
        <w:wordWrap/>
        <w:overflowPunct/>
        <w:topLinePunct w:val="0"/>
        <w:autoSpaceDN/>
        <w:bidi w:val="0"/>
        <w:adjustRightInd/>
        <w:snapToGrid/>
        <w:spacing w:line="560" w:lineRule="exact"/>
        <w:ind w:firstLine="640" w:firstLineChars="200"/>
        <w:contextualSpacing/>
        <w:rPr>
          <w:rFonts w:hint="eastAsia" w:ascii="仿宋_GB2312" w:eastAsia="仿宋_GB2312"/>
          <w:color w:val="auto"/>
          <w:sz w:val="32"/>
          <w:szCs w:val="32"/>
        </w:rPr>
      </w:pPr>
      <w:r>
        <w:rPr>
          <w:rFonts w:hint="eastAsia" w:ascii="仿宋" w:eastAsia="仿宋" w:cs="仿宋"/>
          <w:color w:val="auto"/>
          <w:sz w:val="32"/>
          <w:szCs w:val="32"/>
          <w:lang w:eastAsia="zh-CN"/>
        </w:rPr>
        <w:t>提请</w:t>
      </w:r>
      <w:r>
        <w:rPr>
          <w:rFonts w:hint="eastAsia" w:ascii="仿宋" w:eastAsia="仿宋" w:cs="仿宋"/>
          <w:color w:val="auto"/>
          <w:sz w:val="32"/>
          <w:szCs w:val="32"/>
        </w:rPr>
        <w:t>市政府常务会议</w:t>
      </w:r>
      <w:r>
        <w:rPr>
          <w:rFonts w:hint="eastAsia" w:ascii="仿宋" w:eastAsia="仿宋" w:cs="仿宋"/>
          <w:color w:val="auto"/>
          <w:sz w:val="32"/>
          <w:szCs w:val="32"/>
          <w:lang w:eastAsia="zh-CN"/>
        </w:rPr>
        <w:t>审议《南阳市企业上市三年倍增行动实施方案》，</w:t>
      </w:r>
      <w:r>
        <w:rPr>
          <w:rFonts w:hint="eastAsia" w:ascii="仿宋_GB2312" w:eastAsia="仿宋_GB2312"/>
          <w:color w:val="auto"/>
          <w:sz w:val="32"/>
          <w:szCs w:val="32"/>
        </w:rPr>
        <w:t>研究通过后</w:t>
      </w:r>
      <w:r>
        <w:rPr>
          <w:rFonts w:hint="eastAsia" w:ascii="仿宋_GB2312" w:eastAsia="仿宋_GB2312"/>
          <w:color w:val="auto"/>
          <w:sz w:val="32"/>
          <w:szCs w:val="32"/>
          <w:lang w:eastAsia="zh-CN"/>
        </w:rPr>
        <w:t>建议</w:t>
      </w:r>
      <w:r>
        <w:rPr>
          <w:rFonts w:hint="eastAsia" w:ascii="仿宋_GB2312" w:eastAsia="仿宋_GB2312"/>
          <w:color w:val="auto"/>
          <w:sz w:val="32"/>
          <w:szCs w:val="32"/>
        </w:rPr>
        <w:t>以市政府</w:t>
      </w:r>
      <w:r>
        <w:rPr>
          <w:rFonts w:hint="eastAsia" w:ascii="仿宋_GB2312" w:eastAsia="仿宋_GB2312"/>
          <w:color w:val="auto"/>
          <w:sz w:val="32"/>
          <w:szCs w:val="32"/>
          <w:lang w:eastAsia="zh-CN"/>
        </w:rPr>
        <w:t>办</w:t>
      </w:r>
      <w:r>
        <w:rPr>
          <w:rFonts w:hint="eastAsia" w:ascii="仿宋_GB2312" w:eastAsia="仿宋_GB2312"/>
          <w:color w:val="auto"/>
          <w:sz w:val="32"/>
          <w:szCs w:val="32"/>
          <w:lang w:val="en-US" w:eastAsia="zh-CN"/>
        </w:rPr>
        <w:t>文件印发</w:t>
      </w:r>
      <w:r>
        <w:rPr>
          <w:rFonts w:hint="eastAsia" w:ascii="仿宋_GB2312" w:eastAsia="仿宋_GB2312"/>
          <w:color w:val="auto"/>
          <w:sz w:val="32"/>
          <w:szCs w:val="32"/>
        </w:rPr>
        <w:t>实施。</w:t>
      </w:r>
    </w:p>
    <w:p>
      <w:pPr>
        <w:pStyle w:val="2"/>
        <w:keepNext w:val="0"/>
        <w:keepLines w:val="0"/>
        <w:pageBreakBefore w:val="0"/>
        <w:widowControl w:val="0"/>
        <w:kinsoku/>
        <w:wordWrap/>
        <w:overflowPunct/>
        <w:topLinePunct w:val="0"/>
        <w:autoSpaceDN/>
        <w:bidi w:val="0"/>
        <w:adjustRightInd/>
        <w:snapToGrid/>
        <w:spacing w:after="0" w:line="560" w:lineRule="exact"/>
        <w:ind w:left="0" w:leftChars="0" w:firstLine="0" w:firstLineChars="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紧急通知：</w:t>
      </w:r>
    </w:p>
    <w:p>
      <w:pPr>
        <w:pStyle w:val="2"/>
        <w:keepNext w:val="0"/>
        <w:keepLines w:val="0"/>
        <w:pageBreakBefore w:val="0"/>
        <w:widowControl w:val="0"/>
        <w:kinsoku/>
        <w:wordWrap/>
        <w:overflowPunct/>
        <w:topLinePunct w:val="0"/>
        <w:autoSpaceDN/>
        <w:bidi w:val="0"/>
        <w:adjustRightInd/>
        <w:snapToGrid/>
        <w:spacing w:after="0" w:line="560" w:lineRule="exact"/>
        <w:ind w:left="0" w:leftChars="0" w:firstLine="0" w:firstLineChars="0"/>
        <w:rPr>
          <w:rFonts w:hint="default"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各县市区金融工作部门，</w:t>
      </w:r>
      <w:bookmarkStart w:id="0" w:name="_GoBack"/>
      <w:bookmarkEnd w:id="0"/>
    </w:p>
    <w:p>
      <w:pPr>
        <w:pStyle w:val="2"/>
        <w:keepNext w:val="0"/>
        <w:keepLines w:val="0"/>
        <w:pageBreakBefore w:val="0"/>
        <w:widowControl w:val="0"/>
        <w:kinsoku/>
        <w:wordWrap/>
        <w:overflowPunct/>
        <w:topLinePunct w:val="0"/>
        <w:autoSpaceDN/>
        <w:bidi w:val="0"/>
        <w:adjustRightInd/>
        <w:snapToGrid/>
        <w:spacing w:after="0" w:line="560" w:lineRule="exact"/>
        <w:ind w:left="0" w:firstLine="4160" w:firstLineChars="1300"/>
        <w:rPr>
          <w:rFonts w:hint="eastAsia" w:ascii="仿宋_GB2312" w:eastAsia="仿宋_GB2312" w:cs="Times New Roman"/>
          <w:color w:val="auto"/>
          <w:kern w:val="2"/>
          <w:sz w:val="32"/>
          <w:szCs w:val="32"/>
          <w:lang w:val="en-US" w:eastAsia="zh-CN" w:bidi="ar-SA"/>
        </w:rPr>
      </w:pPr>
    </w:p>
    <w:p>
      <w:pPr>
        <w:pStyle w:val="2"/>
        <w:keepNext w:val="0"/>
        <w:keepLines w:val="0"/>
        <w:pageBreakBefore w:val="0"/>
        <w:widowControl w:val="0"/>
        <w:kinsoku/>
        <w:wordWrap/>
        <w:overflowPunct/>
        <w:topLinePunct w:val="0"/>
        <w:autoSpaceDN/>
        <w:bidi w:val="0"/>
        <w:adjustRightInd/>
        <w:snapToGrid/>
        <w:spacing w:after="0" w:line="560" w:lineRule="exact"/>
        <w:ind w:firstLine="5440" w:firstLineChars="1700"/>
        <w:rPr>
          <w:rFonts w:ascii="仿宋_GB2312" w:eastAsia="仿宋_GB2312" w:cs="Times New Roman"/>
          <w:color w:val="auto"/>
          <w:kern w:val="2"/>
          <w:sz w:val="32"/>
          <w:szCs w:val="32"/>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Latha"/>
    <w:panose1 w:val="00000000000000000000"/>
    <w:charset w:val="00"/>
    <w:family w:val="auto"/>
    <w:pitch w:val="default"/>
    <w:sig w:usb0="00000000" w:usb1="00000000" w:usb2="00000000" w:usb3="00000000" w:csb0="00000000" w:csb1="00000000"/>
  </w:font>
  <w:font w:name="文星书宋">
    <w:altName w:val="宋体"/>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Latha">
    <w:panose1 w:val="02000400000000000000"/>
    <w:charset w:val="00"/>
    <w:family w:val="auto"/>
    <w:pitch w:val="default"/>
    <w:sig w:usb0="001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
      <w:suff w:val="nothing"/>
      <w:lvlText w:val="（%1）"/>
      <w:lvlJc w:val="left"/>
      <w:pPr>
        <w:tabs>
          <w:tab w:val="left" w:pos="0"/>
        </w:tabs>
        <w:ind w:left="-10" w:firstLine="0"/>
      </w:pPr>
      <w:rPr>
        <w:rFonts w:hint="eastAsia" w:ascii="楷体" w:hAnsi="楷体" w:eastAsia="楷体"/>
      </w:rPr>
    </w:lvl>
    <w:lvl w:ilvl="1" w:tentative="0">
      <w:start w:val="1"/>
      <w:numFmt w:val="decimal"/>
      <w:lvlText w:val="%2."/>
      <w:lvlJc w:val="left"/>
      <w:pPr>
        <w:tabs>
          <w:tab w:val="left" w:pos="0"/>
        </w:tabs>
        <w:ind w:left="1440" w:hanging="360"/>
      </w:pPr>
    </w:lvl>
    <w:lvl w:ilvl="2" w:tentative="0">
      <w:start w:val="1"/>
      <w:numFmt w:val="decimal"/>
      <w:lvlText w:val="%3."/>
      <w:lvlJc w:val="left"/>
      <w:pPr>
        <w:tabs>
          <w:tab w:val="left" w:pos="0"/>
        </w:tabs>
        <w:ind w:left="2160" w:hanging="360"/>
      </w:pPr>
    </w:lvl>
    <w:lvl w:ilvl="3" w:tentative="0">
      <w:start w:val="1"/>
      <w:numFmt w:val="decimal"/>
      <w:lvlText w:val="%4."/>
      <w:lvlJc w:val="left"/>
      <w:pPr>
        <w:tabs>
          <w:tab w:val="left" w:pos="0"/>
        </w:tabs>
        <w:ind w:left="2880" w:hanging="360"/>
      </w:pPr>
    </w:lvl>
    <w:lvl w:ilvl="4" w:tentative="0">
      <w:start w:val="1"/>
      <w:numFmt w:val="decimal"/>
      <w:lvlText w:val="%5."/>
      <w:lvlJc w:val="left"/>
      <w:pPr>
        <w:tabs>
          <w:tab w:val="left" w:pos="0"/>
        </w:tabs>
        <w:ind w:left="3600" w:hanging="360"/>
      </w:pPr>
    </w:lvl>
    <w:lvl w:ilvl="5" w:tentative="0">
      <w:start w:val="1"/>
      <w:numFmt w:val="decimal"/>
      <w:lvlText w:val="%6."/>
      <w:lvlJc w:val="left"/>
      <w:pPr>
        <w:tabs>
          <w:tab w:val="left" w:pos="0"/>
        </w:tabs>
        <w:ind w:left="4320" w:hanging="360"/>
      </w:pPr>
    </w:lvl>
    <w:lvl w:ilvl="6" w:tentative="0">
      <w:start w:val="1"/>
      <w:numFmt w:val="decimal"/>
      <w:lvlText w:val="%7."/>
      <w:lvlJc w:val="left"/>
      <w:pPr>
        <w:tabs>
          <w:tab w:val="left" w:pos="0"/>
        </w:tabs>
        <w:ind w:left="5040" w:hanging="360"/>
      </w:pPr>
    </w:lvl>
    <w:lvl w:ilvl="7" w:tentative="0">
      <w:start w:val="1"/>
      <w:numFmt w:val="decimal"/>
      <w:lvlText w:val="%8."/>
      <w:lvlJc w:val="left"/>
      <w:pPr>
        <w:tabs>
          <w:tab w:val="left" w:pos="0"/>
        </w:tabs>
        <w:ind w:left="5760" w:hanging="360"/>
      </w:pPr>
    </w:lvl>
    <w:lvl w:ilvl="8" w:tentative="0">
      <w:start w:val="1"/>
      <w:numFmt w:val="decimal"/>
      <w:lvlText w:val="%9."/>
      <w:lvlJc w:val="left"/>
      <w:pPr>
        <w:tabs>
          <w:tab w:val="left" w:pos="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docVars>
    <w:docVar w:name="commondata" w:val="eyJoZGlkIjoiZjgyOWYxOGM2ZGM3NjIwZTg4MzExY2IwZTgzM2VmMGEifQ=="/>
  </w:docVars>
  <w:rsids>
    <w:rsidRoot w:val="00000000"/>
    <w:rsid w:val="5F2947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uiPriority w:val="0"/>
    <w:pPr>
      <w:keepNext/>
      <w:keepLines/>
      <w:spacing w:before="260" w:after="260" w:line="415" w:lineRule="auto"/>
      <w:outlineLvl w:val="1"/>
    </w:pPr>
    <w:rPr>
      <w:rFonts w:ascii="Luxi Sans" w:hAnsi="Luxi Sans" w:eastAsia="黑体"/>
      <w:b/>
      <w:sz w:val="32"/>
    </w:rPr>
  </w:style>
  <w:style w:type="paragraph" w:styleId="6">
    <w:name w:val="heading 3"/>
    <w:basedOn w:val="1"/>
    <w:next w:val="1"/>
    <w:uiPriority w:val="0"/>
    <w:pPr>
      <w:keepNext/>
      <w:keepLines/>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w:basedOn w:val="3"/>
    <w:uiPriority w:val="0"/>
    <w:pPr>
      <w:ind w:firstLine="100" w:firstLineChars="100"/>
    </w:pPr>
  </w:style>
  <w:style w:type="paragraph" w:styleId="3">
    <w:name w:val="Body Text"/>
    <w:basedOn w:val="1"/>
    <w:next w:val="1"/>
    <w:uiPriority w:val="0"/>
    <w:pPr>
      <w:spacing w:after="120"/>
    </w:pPr>
  </w:style>
  <w:style w:type="character" w:customStyle="1" w:styleId="9">
    <w:name w:val="15"/>
    <w:basedOn w:val="8"/>
    <w:uiPriority w:val="0"/>
    <w:rPr>
      <w:rFonts w:ascii="Calibri" w:hAnsi="Calibri"/>
      <w:kern w:val="2"/>
      <w:sz w:val="21"/>
      <w:szCs w:val="21"/>
    </w:rPr>
  </w:style>
  <w:style w:type="paragraph" w:customStyle="1" w:styleId="10">
    <w:name w:val="List Paragraph"/>
    <w:basedOn w:val="1"/>
    <w:uiPriority w:val="0"/>
    <w:pPr>
      <w:ind w:firstLine="200" w:firstLineChars="200"/>
    </w:pPr>
  </w:style>
  <w:style w:type="paragraph" w:customStyle="1" w:styleId="11">
    <w:name w:val="Normal"/>
    <w:qFormat/>
    <w:uiPriority w:val="0"/>
    <w:pPr>
      <w:jc w:val="both"/>
    </w:pPr>
    <w:rPr>
      <w:rFonts w:ascii="Times New Roman" w:hAnsi="Times New Roman" w:eastAsia="宋体" w:cs="Times New Roman"/>
      <w:kern w:val="2"/>
      <w:sz w:val="21"/>
      <w:szCs w:val="21"/>
      <w:lang w:val="en-US" w:eastAsia="zh-CN" w:bidi="ar-SA"/>
    </w:rPr>
  </w:style>
  <w:style w:type="character" w:customStyle="1" w:styleId="12">
    <w:name w:val="NormalCharacter"/>
    <w:qFormat/>
    <w:uiPriority w:val="0"/>
    <w:rPr>
      <w:kern w:val="2"/>
      <w:sz w:val="21"/>
      <w:lang w:val="en-US" w:eastAsia="zh-CN" w:bidi="ar-SA"/>
    </w:rPr>
  </w:style>
  <w:style w:type="character" w:customStyle="1" w:styleId="13">
    <w:name w:val="content-right_8zs40"/>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Pages>
  <Words>1521</Words>
  <Characters>1562</Characters>
  <Lines>77</Lines>
  <Paragraphs>28</Paragraphs>
  <TotalTime>41</TotalTime>
  <ScaleCrop>false</ScaleCrop>
  <LinksUpToDate>false</LinksUpToDate>
  <CharactersWithSpaces>1621</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2022-10-09T15:07:00Z</dcterms:created>
  <dc:creator>Administrator</dc:creator>
  <cp:lastModifiedBy>王木木</cp:lastModifiedBy>
  <cp:lastPrinted>2022-11-04T09:35:00Z</cp:lastPrinted>
  <dcterms:modified xsi:type="dcterms:W3CDTF">2023-08-04T10:20:48Z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A04C3696EFD74B52916195787782C216</vt:lpwstr>
  </property>
</Properties>
</file>