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widowControl w:val="0"/>
        <w:autoSpaceDE w:val="0"/>
        <w:spacing w:line="560" w:lineRule="exact"/>
        <w:jc w:val="center"/>
        <w:rPr>
          <w:rFonts w:hint="eastAsia" w:ascii="方正小标宋简体" w:hAnsi="等线" w:eastAsia="方正小标宋简体" w:cs="宋体"/>
          <w:sz w:val="44"/>
          <w:szCs w:val="44"/>
        </w:rPr>
      </w:pPr>
      <w:r>
        <w:rPr>
          <w:rFonts w:hint="eastAsia" w:ascii="方正小标宋简体" w:eastAsia="方正小标宋简体"/>
          <w:sz w:val="44"/>
          <w:szCs w:val="44"/>
        </w:rPr>
        <w:t>南阳市企业上市三年倍增行动</w:t>
      </w:r>
      <w:r>
        <w:rPr>
          <w:rFonts w:hint="eastAsia" w:ascii="方正小标宋简体" w:hAnsi="等线" w:eastAsia="方正小标宋简体" w:cs="宋体"/>
          <w:sz w:val="44"/>
          <w:szCs w:val="44"/>
        </w:rPr>
        <w:t>实施方案</w:t>
      </w:r>
    </w:p>
    <w:p>
      <w:pPr>
        <w:pStyle w:val="7"/>
        <w:widowControl w:val="0"/>
        <w:autoSpaceDE w:val="0"/>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解读材料</w:t>
      </w:r>
    </w:p>
    <w:p>
      <w:pPr>
        <w:spacing w:line="560" w:lineRule="exact"/>
        <w:ind w:firstLine="640" w:firstLineChars="200"/>
        <w:rPr>
          <w:rFonts w:ascii="仿宋_GB2312" w:hAnsi="仿宋" w:eastAsia="仿宋_GB2312"/>
        </w:rPr>
      </w:pPr>
    </w:p>
    <w:p>
      <w:pPr>
        <w:spacing w:line="560" w:lineRule="exact"/>
        <w:ind w:firstLine="640" w:firstLineChars="200"/>
        <w:rPr>
          <w:rFonts w:hint="eastAsia" w:ascii="仿宋_GB2312" w:hAnsi="仿宋" w:eastAsia="仿宋_GB2312"/>
        </w:rPr>
      </w:pPr>
      <w:r>
        <w:rPr>
          <w:rFonts w:hint="eastAsia" w:ascii="仿宋_GB2312" w:hAnsi="仿宋" w:eastAsia="仿宋_GB2312"/>
        </w:rPr>
        <w:t>日前，南阳市人民政府印发了《南阳市企业上市三年倍增行动实施方案》（以下简称《实施方案》），现就《实施方案》有关内容进行解读。</w:t>
      </w:r>
    </w:p>
    <w:p>
      <w:pPr>
        <w:spacing w:line="560" w:lineRule="exact"/>
        <w:ind w:firstLine="640" w:firstLineChars="200"/>
        <w:rPr>
          <w:rFonts w:ascii="楷体" w:hAnsi="楷体" w:eastAsia="楷体"/>
        </w:rPr>
      </w:pPr>
      <w:r>
        <w:rPr>
          <w:rFonts w:hint="eastAsia" w:ascii="楷体" w:hAnsi="楷体" w:eastAsia="楷体"/>
        </w:rPr>
        <w:t>（一）问：南阳市出台《通知》的背景是什么？</w:t>
      </w:r>
    </w:p>
    <w:p>
      <w:pPr>
        <w:autoSpaceDE w:val="0"/>
        <w:spacing w:line="560" w:lineRule="exact"/>
        <w:ind w:firstLine="640" w:firstLineChars="200"/>
        <w:rPr>
          <w:rFonts w:ascii="仿宋_GB2312" w:hAnsi="Tahoma" w:eastAsia="仿宋_GB2312" w:cs="Times New Roman"/>
        </w:rPr>
      </w:pPr>
      <w:r>
        <w:rPr>
          <w:rFonts w:hint="eastAsia" w:ascii="仿宋_GB2312" w:eastAsia="仿宋_GB2312"/>
        </w:rPr>
        <w:t>近年来，我国全面深化资本市场改革，在上海证券交易所设立科创板并试点注册制，修订完成《证券法》，在深圳证券交易所推行创业板注册制改革，开展新三板分层管理及转板上市改革，2021年设立北交所，今年全面推行注册制改革，我市资本市场工作迎来前所未有的发展机遇。</w:t>
      </w:r>
    </w:p>
    <w:p>
      <w:pPr>
        <w:pStyle w:val="7"/>
        <w:spacing w:line="560" w:lineRule="exact"/>
        <w:ind w:firstLine="640" w:firstLineChars="200"/>
        <w:rPr>
          <w:rFonts w:ascii="仿宋_GB2312" w:eastAsia="仿宋_GB2312"/>
          <w:sz w:val="32"/>
          <w:szCs w:val="32"/>
        </w:rPr>
      </w:pPr>
      <w:r>
        <w:rPr>
          <w:rFonts w:hint="eastAsia" w:ascii="仿宋_GB2312" w:eastAsia="仿宋_GB2312"/>
          <w:sz w:val="32"/>
          <w:szCs w:val="32"/>
        </w:rPr>
        <w:t>为抢抓重大政策机遇，</w:t>
      </w:r>
      <w:r>
        <w:rPr>
          <w:rStyle w:val="8"/>
          <w:rFonts w:hint="eastAsia" w:ascii="仿宋_GB2312" w:hAnsi="仿宋" w:eastAsia="仿宋_GB2312" w:cs="仿宋"/>
          <w:sz w:val="32"/>
          <w:szCs w:val="32"/>
        </w:rPr>
        <w:t>助推我市高水平建设省域副中心城市，</w:t>
      </w:r>
      <w:r>
        <w:rPr>
          <w:rFonts w:hint="eastAsia" w:ascii="仿宋_GB2312" w:eastAsia="仿宋_GB2312"/>
          <w:sz w:val="32"/>
          <w:szCs w:val="32"/>
        </w:rPr>
        <w:t>按照市政府主要领导指示精神，市金融工作局在参照《河南省人民政府办公厅关于印发河南省推进企业上市五年倍增行动实施方案的通知》（豫政办〔2022〕61号）的基础上，借鉴外地市</w:t>
      </w:r>
      <w:r>
        <w:rPr>
          <w:rFonts w:hint="eastAsia" w:ascii="仿宋_GB2312" w:eastAsia="仿宋_GB2312"/>
          <w:sz w:val="32"/>
          <w:szCs w:val="32"/>
          <w:lang w:val="en-US" w:eastAsia="zh-CN"/>
        </w:rPr>
        <w:t>先进</w:t>
      </w:r>
      <w:r>
        <w:rPr>
          <w:rFonts w:hint="eastAsia" w:ascii="仿宋_GB2312" w:eastAsia="仿宋_GB2312"/>
          <w:sz w:val="32"/>
          <w:szCs w:val="32"/>
        </w:rPr>
        <w:t>经验，结合我市实际，牵头拟定了该《实施方案》。</w:t>
      </w:r>
    </w:p>
    <w:p>
      <w:pPr>
        <w:spacing w:line="560" w:lineRule="exact"/>
        <w:ind w:firstLine="640" w:firstLineChars="200"/>
        <w:rPr>
          <w:rFonts w:ascii="楷体" w:hAnsi="楷体" w:eastAsia="楷体"/>
        </w:rPr>
      </w:pPr>
      <w:r>
        <w:rPr>
          <w:rFonts w:hint="eastAsia" w:ascii="楷体" w:hAnsi="楷体" w:eastAsia="楷体"/>
        </w:rPr>
        <w:t>（二）问：南阳市企业上市工作的目标是什么？</w:t>
      </w:r>
    </w:p>
    <w:p>
      <w:pPr>
        <w:autoSpaceDE w:val="0"/>
        <w:spacing w:line="560" w:lineRule="exact"/>
        <w:ind w:firstLine="640" w:firstLineChars="200"/>
        <w:rPr>
          <w:rFonts w:ascii="仿宋_GB2312" w:hAnsi="仿宋" w:eastAsia="仿宋_GB2312" w:cs="Times New Roman"/>
        </w:rPr>
      </w:pPr>
      <w:r>
        <w:rPr>
          <w:rFonts w:hint="eastAsia" w:ascii="仿宋_GB2312" w:eastAsia="仿宋_GB2312"/>
        </w:rPr>
        <w:t>自2023年起，除</w:t>
      </w:r>
      <w:r>
        <w:rPr>
          <w:rFonts w:hint="eastAsia" w:ascii="仿宋_GB2312" w:hAnsi="仿宋" w:eastAsia="仿宋_GB2312"/>
        </w:rPr>
        <w:t>鸭河工区、官庄工区、卧龙综合保税区外的15个县（市、区），每年分别新增1家上市企业、3家完成股份制改造后备企业和3家省定重点上市后备企业，邓州市等9个上市空白县（市、区）实现</w:t>
      </w:r>
      <w:r>
        <w:rPr>
          <w:rStyle w:val="8"/>
          <w:rFonts w:hint="eastAsia" w:ascii="仿宋_GB2312" w:hAnsi="仿宋" w:eastAsia="仿宋_GB2312"/>
          <w:sz w:val="32"/>
          <w:szCs w:val="32"/>
        </w:rPr>
        <w:t>零的突破，</w:t>
      </w:r>
      <w:r>
        <w:rPr>
          <w:rFonts w:hint="eastAsia" w:ascii="仿宋_GB2312" w:hAnsi="仿宋" w:eastAsia="仿宋_GB2312"/>
        </w:rPr>
        <w:t>卧龙区等6个县（区）实现上市公司数量增长</w:t>
      </w:r>
      <w:r>
        <w:rPr>
          <w:rFonts w:hint="eastAsia" w:ascii="楷体" w:hAnsi="楷体" w:eastAsia="楷体"/>
        </w:rPr>
        <w:t>。</w:t>
      </w:r>
    </w:p>
    <w:p>
      <w:pPr>
        <w:spacing w:line="560" w:lineRule="exact"/>
        <w:ind w:firstLine="640" w:firstLineChars="200"/>
        <w:rPr>
          <w:rFonts w:ascii="楷体" w:hAnsi="楷体" w:eastAsia="楷体"/>
        </w:rPr>
      </w:pPr>
      <w:r>
        <w:rPr>
          <w:rFonts w:hint="eastAsia" w:ascii="楷体" w:hAnsi="楷体" w:eastAsia="楷体"/>
        </w:rPr>
        <w:t>（三）问：新旧政策的主要区别在哪些方面？</w:t>
      </w:r>
    </w:p>
    <w:p>
      <w:pPr>
        <w:autoSpaceDE w:val="0"/>
        <w:spacing w:line="560" w:lineRule="exact"/>
        <w:ind w:firstLine="643" w:firstLineChars="200"/>
        <w:rPr>
          <w:rFonts w:ascii="仿宋_GB2312" w:hAnsi="仿宋" w:eastAsia="仿宋_GB2312" w:cs="Times New Roman"/>
        </w:rPr>
      </w:pPr>
      <w:r>
        <w:rPr>
          <w:rFonts w:hint="eastAsia" w:ascii="仿宋_GB2312" w:hAnsi="仿宋" w:eastAsia="仿宋_GB2312"/>
          <w:b/>
        </w:rPr>
        <w:t>一是调整奖励范围。</w:t>
      </w:r>
      <w:r>
        <w:rPr>
          <w:rFonts w:hint="eastAsia" w:ascii="仿宋_GB2312" w:hAnsi="仿宋" w:eastAsia="仿宋_GB2312"/>
        </w:rPr>
        <w:t>北京证券交易所2021年9月设立，新三板精选层同时取消。</w:t>
      </w:r>
      <w:r>
        <w:rPr>
          <w:rFonts w:hint="eastAsia" w:ascii="仿宋_GB2312" w:hAnsi="仿宋" w:eastAsia="仿宋_GB2312"/>
          <w:bCs/>
        </w:rPr>
        <w:t>我市</w:t>
      </w:r>
      <w:r>
        <w:rPr>
          <w:rFonts w:hint="eastAsia" w:ascii="仿宋_GB2312" w:hAnsi="仿宋" w:eastAsia="仿宋_GB2312"/>
        </w:rPr>
        <w:t>原有的企业上市扶持政策于2021年8月出台，未包含对北交所上市企业的奖励。为调动企业在北交所上市的积极性，《</w:t>
      </w:r>
      <w:r>
        <w:rPr>
          <w:rFonts w:hint="eastAsia" w:ascii="仿宋_GB2312" w:eastAsia="仿宋_GB2312"/>
        </w:rPr>
        <w:t>实施方案》将</w:t>
      </w:r>
      <w:r>
        <w:rPr>
          <w:rFonts w:hint="eastAsia" w:ascii="仿宋_GB2312" w:hAnsi="仿宋" w:eastAsia="仿宋_GB2312"/>
        </w:rPr>
        <w:t>北交所上市一并列入奖励范围，奖励额度600万元，与沪、深证券交易所上市奖励一致，同时，取消精选层奖励。</w:t>
      </w:r>
    </w:p>
    <w:p>
      <w:pPr>
        <w:autoSpaceDE w:val="0"/>
        <w:spacing w:line="560" w:lineRule="exact"/>
        <w:ind w:firstLine="643" w:firstLineChars="200"/>
        <w:rPr>
          <w:rStyle w:val="8"/>
          <w:rFonts w:hint="eastAsia" w:ascii="仿宋_GB2312" w:hAnsi="仿宋"/>
          <w:sz w:val="32"/>
          <w:szCs w:val="32"/>
        </w:rPr>
      </w:pPr>
      <w:r>
        <w:rPr>
          <w:rFonts w:hint="eastAsia" w:ascii="仿宋_GB2312" w:hAnsi="仿宋" w:eastAsia="仿宋_GB2312"/>
          <w:b/>
        </w:rPr>
        <w:t>二是调整奖励时间节点。</w:t>
      </w:r>
      <w:r>
        <w:rPr>
          <w:rStyle w:val="8"/>
          <w:rFonts w:hint="eastAsia" w:ascii="仿宋_GB2312" w:hAnsi="仿宋" w:eastAsia="仿宋_GB2312"/>
          <w:sz w:val="32"/>
          <w:szCs w:val="32"/>
        </w:rPr>
        <w:t>参照河南省及洛阳、新乡两地市扶持政策，将</w:t>
      </w:r>
      <w:r>
        <w:rPr>
          <w:rFonts w:hint="eastAsia" w:ascii="仿宋_GB2312" w:hAnsi="仿宋" w:eastAsia="仿宋_GB2312"/>
        </w:rPr>
        <w:t>企业境内上市奖励</w:t>
      </w:r>
      <w:r>
        <w:rPr>
          <w:rFonts w:hint="eastAsia" w:ascii="仿宋_GB2312" w:eastAsia="仿宋_GB2312"/>
        </w:rPr>
        <w:t>调整为</w:t>
      </w:r>
      <w:r>
        <w:rPr>
          <w:rStyle w:val="8"/>
          <w:rFonts w:hint="eastAsia" w:ascii="仿宋_GB2312" w:hAnsi="仿宋" w:eastAsia="仿宋_GB2312"/>
          <w:sz w:val="32"/>
          <w:szCs w:val="32"/>
        </w:rPr>
        <w:t>河南证监局辅导备案登记、中国证监会（或证券交易所）受理申报、上市交易三个节点。</w:t>
      </w:r>
    </w:p>
    <w:p>
      <w:pPr>
        <w:pStyle w:val="4"/>
        <w:autoSpaceDE w:val="0"/>
        <w:spacing w:before="0" w:beforeAutospacing="0" w:after="0" w:line="560" w:lineRule="exact"/>
        <w:ind w:firstLine="643" w:firstLineChars="200"/>
        <w:rPr>
          <w:rStyle w:val="8"/>
          <w:rFonts w:hint="eastAsia" w:ascii="仿宋_GB2312" w:hAnsi="仿宋" w:eastAsia="仿宋_GB2312"/>
          <w:sz w:val="32"/>
          <w:szCs w:val="32"/>
        </w:rPr>
      </w:pPr>
      <w:r>
        <w:rPr>
          <w:rStyle w:val="8"/>
          <w:rFonts w:hint="eastAsia" w:ascii="仿宋_GB2312" w:hAnsi="仿宋" w:eastAsia="仿宋_GB2312"/>
          <w:b/>
          <w:sz w:val="32"/>
          <w:szCs w:val="32"/>
        </w:rPr>
        <w:t>三是</w:t>
      </w:r>
      <w:r>
        <w:rPr>
          <w:rStyle w:val="8"/>
          <w:rFonts w:hint="eastAsia" w:ascii="仿宋_GB2312" w:hAnsi="仿宋" w:eastAsia="仿宋_GB2312"/>
          <w:b/>
          <w:bCs/>
          <w:sz w:val="32"/>
          <w:szCs w:val="32"/>
        </w:rPr>
        <w:t>调整申报方式和财政承担对象。</w:t>
      </w:r>
      <w:r>
        <w:rPr>
          <w:rStyle w:val="8"/>
          <w:rFonts w:hint="eastAsia" w:ascii="仿宋_GB2312" w:hAnsi="仿宋" w:eastAsia="仿宋_GB2312"/>
          <w:sz w:val="32"/>
          <w:szCs w:val="32"/>
        </w:rPr>
        <w:t>由于2022年起中央实行省直管县财政改革，规范统一核定省与市县共同财政事权支出责任分担比例。上市奖励由市财政全部承担调整为两级财政按</w:t>
      </w:r>
      <w:r>
        <w:rPr>
          <w:rStyle w:val="8"/>
          <w:rFonts w:hint="eastAsia" w:ascii="仿宋_GB2312" w:hAnsi="仿宋" w:eastAsia="仿宋_GB2312"/>
          <w:sz w:val="32"/>
          <w:szCs w:val="32"/>
          <w:lang w:val="en-US" w:eastAsia="zh-CN"/>
        </w:rPr>
        <w:t>税收</w:t>
      </w:r>
      <w:r>
        <w:rPr>
          <w:rStyle w:val="8"/>
          <w:rFonts w:hint="eastAsia" w:ascii="仿宋_GB2312" w:hAnsi="仿宋" w:eastAsia="仿宋_GB2312"/>
          <w:sz w:val="32"/>
          <w:szCs w:val="32"/>
        </w:rPr>
        <w:t>受益比例承担。</w:t>
      </w:r>
    </w:p>
    <w:p>
      <w:pPr>
        <w:autoSpaceDE w:val="0"/>
        <w:spacing w:line="560" w:lineRule="exact"/>
        <w:ind w:firstLine="643" w:firstLineChars="200"/>
        <w:rPr>
          <w:rStyle w:val="8"/>
          <w:rFonts w:hint="eastAsia" w:ascii="仿宋_GB2312" w:hAnsi="仿宋" w:eastAsia="仿宋_GB2312"/>
          <w:sz w:val="32"/>
          <w:szCs w:val="32"/>
        </w:rPr>
      </w:pPr>
      <w:r>
        <w:rPr>
          <w:rStyle w:val="8"/>
          <w:rFonts w:hint="eastAsia" w:ascii="仿宋_GB2312" w:hAnsi="仿宋" w:eastAsia="仿宋_GB2312"/>
          <w:b/>
          <w:sz w:val="32"/>
          <w:szCs w:val="32"/>
        </w:rPr>
        <w:t>四是调整税收支持政策。</w:t>
      </w:r>
      <w:r>
        <w:rPr>
          <w:rStyle w:val="8"/>
          <w:rFonts w:hint="eastAsia" w:ascii="仿宋_GB2312" w:hAnsi="仿宋" w:eastAsia="仿宋_GB2312"/>
          <w:sz w:val="32"/>
          <w:szCs w:val="32"/>
        </w:rPr>
        <w:t>对企业上市股改过程中因</w:t>
      </w:r>
      <w:r>
        <w:rPr>
          <w:rStyle w:val="11"/>
          <w:rFonts w:hint="default" w:ascii="仿宋_GB2312" w:hAnsi="仿宋" w:eastAsia="仿宋_GB2312" w:cs="Calibri"/>
          <w:sz w:val="32"/>
          <w:szCs w:val="32"/>
        </w:rPr>
        <w:t>转增注册资本、转让股权额等活动产生的的个人所得税、企业所得税等地方财政受益部分，由征收后全额奖励给企业调整为受益财政视财力给予相应的奖励。</w:t>
      </w:r>
    </w:p>
    <w:p>
      <w:pPr>
        <w:spacing w:line="560" w:lineRule="exact"/>
        <w:ind w:firstLine="640" w:firstLineChars="200"/>
        <w:rPr>
          <w:rFonts w:hint="eastAsia" w:ascii="楷体" w:hAnsi="楷体" w:eastAsia="楷体"/>
        </w:rPr>
      </w:pPr>
      <w:r>
        <w:rPr>
          <w:rFonts w:hint="eastAsia" w:ascii="楷体" w:hAnsi="楷体" w:eastAsia="楷体"/>
        </w:rPr>
        <w:t>（</w:t>
      </w:r>
      <w:r>
        <w:rPr>
          <w:rFonts w:hint="eastAsia" w:ascii="楷体" w:hAnsi="楷体" w:eastAsia="楷体"/>
          <w:lang w:val="en-US" w:eastAsia="zh-CN"/>
        </w:rPr>
        <w:t>四</w:t>
      </w:r>
      <w:r>
        <w:rPr>
          <w:rFonts w:hint="eastAsia" w:ascii="楷体" w:hAnsi="楷体" w:eastAsia="楷体"/>
        </w:rPr>
        <w:t>）问：企业申报奖补的程序怎样规定？</w:t>
      </w:r>
    </w:p>
    <w:p>
      <w:pPr>
        <w:spacing w:line="560" w:lineRule="exact"/>
        <w:ind w:firstLine="640" w:firstLineChars="200"/>
        <w:rPr>
          <w:rFonts w:hint="eastAsia" w:ascii="楷体" w:hAnsi="楷体" w:eastAsia="楷体"/>
        </w:rPr>
      </w:pPr>
      <w:r>
        <w:rPr>
          <w:rStyle w:val="12"/>
          <w:rFonts w:hint="eastAsia" w:ascii="仿宋_GB2312" w:hAnsi="仿宋" w:eastAsia="仿宋_GB2312" w:cs="Times New Roman"/>
          <w:sz w:val="32"/>
          <w:szCs w:val="32"/>
          <w:lang w:eastAsia="zh-CN"/>
        </w:rPr>
        <w:t>每年</w:t>
      </w:r>
      <w:r>
        <w:rPr>
          <w:rStyle w:val="12"/>
          <w:rFonts w:hint="eastAsia" w:ascii="仿宋_GB2312" w:hAnsi="仿宋" w:eastAsia="仿宋_GB2312" w:cs="Times New Roman"/>
          <w:sz w:val="32"/>
          <w:szCs w:val="32"/>
          <w:lang w:val="en-US"/>
        </w:rPr>
        <w:t>3</w:t>
      </w:r>
      <w:r>
        <w:rPr>
          <w:rStyle w:val="12"/>
          <w:rFonts w:hint="eastAsia" w:ascii="仿宋_GB2312" w:hAnsi="仿宋" w:eastAsia="仿宋_GB2312" w:cs="Times New Roman"/>
          <w:sz w:val="32"/>
          <w:szCs w:val="32"/>
          <w:lang w:eastAsia="zh-CN"/>
        </w:rPr>
        <w:t>月</w:t>
      </w:r>
      <w:r>
        <w:rPr>
          <w:rStyle w:val="12"/>
          <w:rFonts w:hint="eastAsia" w:ascii="仿宋_GB2312" w:hAnsi="仿宋" w:eastAsia="仿宋_GB2312" w:cs="Times New Roman"/>
          <w:sz w:val="32"/>
          <w:szCs w:val="32"/>
          <w:lang w:val="en-US"/>
        </w:rPr>
        <w:t>31</w:t>
      </w:r>
      <w:r>
        <w:rPr>
          <w:rStyle w:val="12"/>
          <w:rFonts w:hint="eastAsia" w:ascii="仿宋_GB2312" w:hAnsi="仿宋" w:eastAsia="仿宋_GB2312" w:cs="Times New Roman"/>
          <w:sz w:val="32"/>
          <w:szCs w:val="32"/>
          <w:lang w:eastAsia="zh-CN"/>
        </w:rPr>
        <w:t>日前，符合条件的企业，向属地县（市、区）金融工作部门、财政部门进行申报。</w:t>
      </w:r>
      <w:r>
        <w:rPr>
          <w:rStyle w:val="12"/>
          <w:rFonts w:hint="eastAsia" w:ascii="仿宋_GB2312" w:hAnsi="仿宋" w:eastAsia="仿宋_GB2312" w:cs="Times New Roman"/>
          <w:sz w:val="32"/>
          <w:szCs w:val="32"/>
          <w:lang w:val="en-US"/>
        </w:rPr>
        <w:t>4</w:t>
      </w:r>
      <w:r>
        <w:rPr>
          <w:rStyle w:val="12"/>
          <w:rFonts w:hint="eastAsia" w:ascii="仿宋_GB2312" w:hAnsi="仿宋" w:eastAsia="仿宋_GB2312" w:cs="Times New Roman"/>
          <w:sz w:val="32"/>
          <w:szCs w:val="32"/>
          <w:lang w:eastAsia="zh-CN"/>
        </w:rPr>
        <w:t>月</w:t>
      </w:r>
      <w:r>
        <w:rPr>
          <w:rStyle w:val="12"/>
          <w:rFonts w:hint="eastAsia" w:ascii="仿宋_GB2312" w:hAnsi="仿宋" w:eastAsia="仿宋_GB2312" w:cs="Times New Roman"/>
          <w:sz w:val="32"/>
          <w:szCs w:val="32"/>
          <w:lang w:val="en-US"/>
        </w:rPr>
        <w:t>15</w:t>
      </w:r>
      <w:r>
        <w:rPr>
          <w:rStyle w:val="12"/>
          <w:rFonts w:hint="eastAsia" w:ascii="仿宋_GB2312" w:hAnsi="仿宋" w:eastAsia="仿宋_GB2312" w:cs="Times New Roman"/>
          <w:sz w:val="32"/>
          <w:szCs w:val="32"/>
          <w:lang w:eastAsia="zh-CN"/>
        </w:rPr>
        <w:t>日前，各县（市、区）金融工作部门会同财政部门对本辖区内企业的申报材料进行审核后，上报市金融工作局、市财政局。</w:t>
      </w:r>
      <w:bookmarkStart w:id="0" w:name="_GoBack"/>
      <w:r>
        <w:rPr>
          <w:rStyle w:val="12"/>
          <w:rFonts w:hint="eastAsia" w:ascii="仿宋_GB2312" w:hAnsi="仿宋" w:eastAsia="仿宋_GB2312" w:cs="Times New Roman"/>
          <w:color w:val="auto"/>
          <w:sz w:val="32"/>
          <w:szCs w:val="32"/>
          <w:lang w:eastAsia="zh-CN"/>
        </w:rPr>
        <w:t>由市金融工作局商市财政局审核后共同提出申请奖补报告，</w:t>
      </w:r>
      <w:bookmarkEnd w:id="0"/>
      <w:r>
        <w:rPr>
          <w:rStyle w:val="12"/>
          <w:rFonts w:hint="eastAsia" w:ascii="仿宋_GB2312" w:hAnsi="仿宋" w:eastAsia="仿宋_GB2312" w:cs="Times New Roman"/>
          <w:sz w:val="32"/>
          <w:szCs w:val="32"/>
          <w:lang w:eastAsia="zh-CN"/>
        </w:rPr>
        <w:t>报请市政府同意后，由市、县（市、区）财政部门按税收收益比例拨款。</w:t>
      </w:r>
      <w:r>
        <w:rPr>
          <w:rFonts w:hint="eastAsia" w:ascii="楷体" w:hAnsi="楷体" w:eastAsia="楷体"/>
        </w:rPr>
        <w:t>（</w:t>
      </w:r>
      <w:r>
        <w:rPr>
          <w:rFonts w:hint="eastAsia" w:ascii="楷体" w:hAnsi="楷体" w:eastAsia="楷体"/>
          <w:lang w:val="en-US" w:eastAsia="zh-CN"/>
        </w:rPr>
        <w:t>五</w:t>
      </w:r>
      <w:r>
        <w:rPr>
          <w:rFonts w:hint="eastAsia" w:ascii="楷体" w:hAnsi="楷体" w:eastAsia="楷体"/>
        </w:rPr>
        <w:t>）问：企业申报奖补需要注意哪些问题？</w:t>
      </w:r>
    </w:p>
    <w:p>
      <w:pPr>
        <w:spacing w:line="560" w:lineRule="exact"/>
        <w:ind w:firstLine="640" w:firstLineChars="200"/>
        <w:rPr>
          <w:rStyle w:val="8"/>
          <w:rFonts w:ascii="仿宋_GB2312" w:hAnsi="仿宋" w:eastAsia="仿宋_GB2312" w:cs="Calibri"/>
          <w:sz w:val="32"/>
          <w:szCs w:val="32"/>
        </w:rPr>
      </w:pPr>
      <w:r>
        <w:rPr>
          <w:rStyle w:val="8"/>
          <w:rFonts w:ascii="仿宋_GB2312" w:hAnsi="仿宋" w:eastAsia="仿宋_GB2312" w:cs="Calibri"/>
          <w:sz w:val="32"/>
          <w:szCs w:val="32"/>
        </w:rPr>
        <w:t>同一项目、同一事项同时符合市本级其他政策规定的奖补条件的，按照就高不重复的原则享受奖补政策。申报企业须按规定如实报送有关材料，不得弄虚作假，骗取、套取奖励资金。对虚报材料，骗取、套取奖补资金的，市金融工作局会同财政部门依法追回奖励资金，按照《财政违法行为处罚处分条例》（国务院令第427号）等有关规定严肃处理。本方案在具体执行过程中，遇到上级相关政策调整变化或者与法律法规相抵触的，按上级政策和法律法规执行。</w:t>
      </w:r>
    </w:p>
    <w:p>
      <w:pPr>
        <w:spacing w:line="560" w:lineRule="exact"/>
        <w:ind w:firstLine="640" w:firstLineChars="200"/>
        <w:rPr>
          <w:rStyle w:val="8"/>
          <w:rFonts w:hint="eastAsia" w:ascii="仿宋" w:hAnsi="仿宋" w:eastAsia="仿宋"/>
          <w:sz w:val="32"/>
          <w:szCs w:val="32"/>
        </w:rPr>
      </w:pPr>
      <w:r>
        <w:rPr>
          <w:rFonts w:hint="eastAsia" w:ascii="楷体" w:hAnsi="楷体" w:eastAsia="楷体"/>
        </w:rPr>
        <w:t>（</w:t>
      </w:r>
      <w:r>
        <w:rPr>
          <w:rFonts w:hint="eastAsia" w:ascii="楷体" w:hAnsi="楷体" w:eastAsia="楷体"/>
          <w:lang w:val="en-US" w:eastAsia="zh-CN"/>
        </w:rPr>
        <w:t>六</w:t>
      </w:r>
      <w:r>
        <w:rPr>
          <w:rFonts w:hint="eastAsia" w:ascii="楷体" w:hAnsi="楷体" w:eastAsia="楷体"/>
        </w:rPr>
        <w:t>）问：文件从何时实施？</w:t>
      </w:r>
    </w:p>
    <w:p>
      <w:pPr>
        <w:spacing w:line="560" w:lineRule="exact"/>
        <w:ind w:firstLine="640" w:firstLineChars="200"/>
        <w:rPr>
          <w:rStyle w:val="8"/>
          <w:rFonts w:hint="eastAsia" w:ascii="仿宋_GB2312" w:hAnsi="仿宋" w:eastAsia="仿宋_GB2312" w:cs="Calibri"/>
          <w:sz w:val="32"/>
          <w:szCs w:val="32"/>
        </w:rPr>
      </w:pPr>
      <w:r>
        <w:rPr>
          <w:rStyle w:val="8"/>
          <w:rFonts w:ascii="仿宋_GB2312" w:hAnsi="仿宋" w:eastAsia="仿宋_GB2312" w:cs="Calibri"/>
          <w:sz w:val="32"/>
          <w:szCs w:val="32"/>
        </w:rPr>
        <w:t>本方案自发布之日起实施，《南阳市人民政府关于印发南阳市企业上市倍增计划的通知》（宛政〔2021〕13号）同时废止。</w:t>
      </w:r>
    </w:p>
    <w:p>
      <w:pPr>
        <w:pStyle w:val="4"/>
        <w:spacing w:before="0" w:beforeAutospacing="0" w:after="0" w:line="560" w:lineRule="exact"/>
        <w:ind w:firstLineChars="200"/>
        <w:rPr>
          <w:rFonts w:ascii="等线" w:hAnsi="等线" w:eastAsia="等线"/>
        </w:rPr>
      </w:pPr>
      <w:r>
        <w:rPr>
          <w:rFonts w:hint="eastAsia"/>
        </w:rPr>
        <w:t xml:space="preserve"> </w:t>
      </w:r>
    </w:p>
    <w:p>
      <w:pPr>
        <w:pStyle w:val="7"/>
        <w:ind w:firstLine="420" w:firstLineChars="200"/>
        <w:jc w:val="right"/>
        <w:rPr>
          <w:rFonts w:hint="eastAsia" w:ascii="等线" w:hAnsi="等线" w:cs="宋体"/>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61007A87" w:usb1="80000000" w:usb2="00000008" w:usb3="00000000" w:csb0="200101FF" w:csb1="20280000"/>
  </w:font>
  <w:font w:name="Cambria Math">
    <w:panose1 w:val="02040503050406030204"/>
    <w:charset w:val="01"/>
    <w:family w:val="auto"/>
    <w:pitch w:val="variable"/>
    <w:sig w:usb0="A00002EF" w:usb1="420020EB" w:usb2="00000000" w:usb3="00000000" w:csb0="2000009F" w:csb1="00000000"/>
  </w:font>
  <w:font w:name="@仿宋_GB2312">
    <w:panose1 w:val="02010609030101010101"/>
    <w:charset w:val="86"/>
    <w:family w:val="auto"/>
    <w:pitch w:val="fixed"/>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仿宋">
    <w:panose1 w:val="02010609060101010101"/>
    <w:charset w:val="86"/>
    <w:family w:val="auto"/>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JhYWEyZWNhNDdmZWY1MmI4YzljNzAyYmZmYmZkYTcifQ=="/>
  </w:docVars>
  <w:rsids>
    <w:rsidRoot w:val="005372A9"/>
    <w:rsid w:val="00075D20"/>
    <w:rsid w:val="00333E7C"/>
    <w:rsid w:val="00536A38"/>
    <w:rsid w:val="005372A9"/>
    <w:rsid w:val="00742643"/>
    <w:rsid w:val="00882CC6"/>
    <w:rsid w:val="008F376F"/>
    <w:rsid w:val="00B81C8C"/>
    <w:rsid w:val="00B93685"/>
    <w:rsid w:val="00CA0152"/>
    <w:rsid w:val="00E015AB"/>
    <w:rsid w:val="079B05FA"/>
    <w:rsid w:val="1DCC3E78"/>
    <w:rsid w:val="1F4C45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仿宋"/>
      <w:kern w:val="2"/>
      <w:sz w:val="32"/>
      <w:szCs w:val="3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link w:val="9"/>
    <w:semiHidden/>
    <w:unhideWhenUsed/>
    <w:uiPriority w:val="99"/>
    <w:pPr>
      <w:spacing w:after="120"/>
    </w:pPr>
  </w:style>
  <w:style w:type="paragraph" w:styleId="3">
    <w:name w:val="Normal (Web)"/>
    <w:basedOn w:val="1"/>
    <w:unhideWhenUsed/>
    <w:qFormat/>
    <w:uiPriority w:val="99"/>
    <w:pPr>
      <w:spacing w:before="100" w:beforeAutospacing="1" w:after="100" w:afterAutospacing="1"/>
      <w:jc w:val="left"/>
    </w:pPr>
    <w:rPr>
      <w:kern w:val="0"/>
      <w:sz w:val="24"/>
      <w:szCs w:val="24"/>
    </w:rPr>
  </w:style>
  <w:style w:type="paragraph" w:styleId="4">
    <w:name w:val="Body Text First Indent"/>
    <w:basedOn w:val="2"/>
    <w:link w:val="10"/>
    <w:semiHidden/>
    <w:unhideWhenUsed/>
    <w:qFormat/>
    <w:uiPriority w:val="99"/>
    <w:pPr>
      <w:spacing w:before="100" w:beforeAutospacing="1"/>
      <w:ind w:firstLine="420" w:firstLineChars="100"/>
    </w:pPr>
    <w:rPr>
      <w:rFonts w:ascii="Times New Roman" w:hAnsi="Times New Roman" w:cs="Times New Roman"/>
      <w:sz w:val="21"/>
      <w:szCs w:val="21"/>
    </w:rPr>
  </w:style>
  <w:style w:type="paragraph" w:customStyle="1" w:styleId="7">
    <w:name w:val="Normal"/>
    <w:basedOn w:val="1"/>
    <w:uiPriority w:val="0"/>
    <w:pPr>
      <w:widowControl/>
    </w:pPr>
    <w:rPr>
      <w:rFonts w:ascii="Times New Roman" w:hAnsi="Times New Roman" w:cs="Times New Roman"/>
      <w:sz w:val="21"/>
      <w:szCs w:val="21"/>
    </w:rPr>
  </w:style>
  <w:style w:type="character" w:customStyle="1" w:styleId="8">
    <w:name w:val="15"/>
    <w:basedOn w:val="6"/>
    <w:uiPriority w:val="0"/>
    <w:rPr>
      <w:rFonts w:hint="default" w:ascii="Calibri" w:hAnsi="Calibri"/>
      <w:kern w:val="2"/>
      <w:sz w:val="21"/>
      <w:szCs w:val="21"/>
    </w:rPr>
  </w:style>
  <w:style w:type="character" w:customStyle="1" w:styleId="9">
    <w:name w:val="正文文本 字符"/>
    <w:basedOn w:val="6"/>
    <w:link w:val="2"/>
    <w:semiHidden/>
    <w:uiPriority w:val="99"/>
    <w:rPr>
      <w:rFonts w:ascii="Calibri" w:hAnsi="Calibri" w:eastAsia="宋体" w:cs="仿宋"/>
      <w:sz w:val="32"/>
      <w:szCs w:val="32"/>
    </w:rPr>
  </w:style>
  <w:style w:type="character" w:customStyle="1" w:styleId="10">
    <w:name w:val="正文首行缩进 字符"/>
    <w:basedOn w:val="9"/>
    <w:link w:val="4"/>
    <w:semiHidden/>
    <w:qFormat/>
    <w:uiPriority w:val="99"/>
    <w:rPr>
      <w:rFonts w:ascii="Times New Roman" w:hAnsi="Times New Roman" w:eastAsia="宋体" w:cs="Times New Roman"/>
      <w:sz w:val="32"/>
      <w:szCs w:val="21"/>
    </w:rPr>
  </w:style>
  <w:style w:type="character" w:customStyle="1" w:styleId="11">
    <w:name w:val="16"/>
    <w:basedOn w:val="6"/>
    <w:qFormat/>
    <w:uiPriority w:val="0"/>
    <w:rPr>
      <w:rFonts w:hint="eastAsia" w:ascii="等线" w:hAnsi="等线" w:eastAsia="等线"/>
      <w:kern w:val="2"/>
      <w:sz w:val="21"/>
      <w:szCs w:val="21"/>
    </w:rPr>
  </w:style>
  <w:style w:type="character" w:customStyle="1" w:styleId="12">
    <w:name w:val="NormalCharacter"/>
    <w:basedOn w:val="6"/>
    <w:uiPriority w:val="0"/>
    <w:rPr>
      <w:kern w:val="2"/>
      <w:sz w:val="21"/>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1426</Words>
  <Characters>1455</Characters>
  <Lines>17</Lines>
  <Paragraphs>4</Paragraphs>
  <TotalTime>68</TotalTime>
  <ScaleCrop>false</ScaleCrop>
  <LinksUpToDate>false</LinksUpToDate>
  <CharactersWithSpaces>1456</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2022-11-29T02:07:00Z</dcterms:created>
  <dc:creator>Administrator</dc:creator>
  <cp:lastModifiedBy>Administrator</cp:lastModifiedBy>
  <cp:lastPrinted>2022-11-30T01:56:00Z</cp:lastPrinted>
  <dcterms:modified xsi:type="dcterms:W3CDTF">2022-12-01T10:02:27Z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3911452440294391A8AE64AFB66F085D</vt:lpwstr>
  </property>
</Properties>
</file>