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南阳市</w:t>
      </w:r>
      <w:r>
        <w:rPr>
          <w:rFonts w:hint="eastAsia" w:ascii="方正小标宋简体" w:hAnsi="方正小标宋简体" w:eastAsia="方正小标宋简体" w:cs="方正小标宋简体"/>
          <w:sz w:val="44"/>
          <w:szCs w:val="44"/>
          <w:lang w:eastAsia="zh-CN"/>
        </w:rPr>
        <w:t>金融工作</w:t>
      </w:r>
      <w:r>
        <w:rPr>
          <w:rFonts w:hint="eastAsia" w:ascii="方正小标宋简体" w:hAnsi="方正小标宋简体" w:eastAsia="方正小标宋简体" w:cs="方正小标宋简体"/>
          <w:sz w:val="44"/>
          <w:szCs w:val="44"/>
        </w:rPr>
        <w:t>局</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《关于进一步加强政府性融资担保体系建设支持小微企业和“三农”发展的实施意见》</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文星书宋" w:hAnsi="文星书宋" w:eastAsia="文星标宋"/>
          <w:sz w:val="44"/>
          <w:szCs w:val="44"/>
        </w:rPr>
      </w:pPr>
      <w:r>
        <w:rPr>
          <w:rFonts w:hint="eastAsia" w:ascii="方正小标宋简体" w:hAnsi="方正小标宋简体" w:eastAsia="方正小标宋简体" w:cs="方正小标宋简体"/>
          <w:sz w:val="44"/>
          <w:szCs w:val="44"/>
        </w:rPr>
        <w:t>起草说明</w:t>
      </w:r>
    </w:p>
    <w:p>
      <w:pPr>
        <w:keepNext w:val="0"/>
        <w:keepLines w:val="0"/>
        <w:pageBreakBefore w:val="0"/>
        <w:widowControl w:val="0"/>
        <w:kinsoku/>
        <w:wordWrap/>
        <w:overflowPunct/>
        <w:topLinePunct w:val="0"/>
        <w:autoSpaceDE/>
        <w:autoSpaceDN/>
        <w:bidi w:val="0"/>
        <w:adjustRightInd/>
        <w:snapToGrid/>
        <w:spacing w:line="640" w:lineRule="exact"/>
        <w:ind w:firstLine="616" w:firstLineChars="200"/>
        <w:textAlignment w:val="auto"/>
        <w:rPr>
          <w:rFonts w:hint="eastAsia" w:ascii="文星书宋" w:hAnsi="文星书宋"/>
        </w:rPr>
      </w:pPr>
    </w:p>
    <w:p>
      <w:pPr>
        <w:keepNext w:val="0"/>
        <w:keepLines w:val="0"/>
        <w:pageBreakBefore w:val="0"/>
        <w:widowControl w:val="0"/>
        <w:kinsoku/>
        <w:wordWrap/>
        <w:overflowPunct/>
        <w:topLinePunct w:val="0"/>
        <w:autoSpaceDE/>
        <w:autoSpaceDN/>
        <w:bidi w:val="0"/>
        <w:adjustRightInd/>
        <w:snapToGrid/>
        <w:spacing w:line="640" w:lineRule="exact"/>
        <w:ind w:firstLine="616" w:firstLineChars="200"/>
        <w:textAlignment w:val="auto"/>
        <w:rPr>
          <w:rFonts w:hint="eastAsia" w:ascii="文星书宋" w:hAnsi="文星书宋"/>
        </w:rPr>
      </w:pPr>
      <w:r>
        <w:rPr>
          <w:rFonts w:hint="eastAsia" w:ascii="仿宋_GB2312" w:hAnsi="仿宋_GB2312" w:eastAsia="仿宋_GB2312" w:cs="仿宋_GB2312"/>
          <w:sz w:val="32"/>
          <w:szCs w:val="32"/>
          <w:lang w:eastAsia="zh-CN"/>
        </w:rPr>
        <w:t>现就《关于进一步加强政府性融资担保体系建设支持小微企业和“三农”发展的实施意见》（以下简称《实施意见》）起草情况说明如下。</w:t>
      </w:r>
    </w:p>
    <w:p>
      <w:pPr>
        <w:keepNext w:val="0"/>
        <w:keepLines w:val="0"/>
        <w:pageBreakBefore w:val="0"/>
        <w:widowControl w:val="0"/>
        <w:kinsoku/>
        <w:wordWrap/>
        <w:overflowPunct/>
        <w:topLinePunct w:val="0"/>
        <w:autoSpaceDE/>
        <w:autoSpaceDN/>
        <w:bidi w:val="0"/>
        <w:adjustRightInd/>
        <w:snapToGrid/>
        <w:spacing w:line="640" w:lineRule="exact"/>
        <w:ind w:firstLine="616" w:firstLineChars="200"/>
        <w:textAlignment w:val="auto"/>
        <w:rPr>
          <w:rFonts w:hint="eastAsia" w:ascii="文星书宋" w:hAnsi="文星书宋"/>
          <w:sz w:val="32"/>
          <w:szCs w:val="32"/>
        </w:rPr>
      </w:pPr>
      <w:r>
        <w:rPr>
          <w:rFonts w:hint="eastAsia" w:ascii="文星书宋" w:hAnsi="文星书宋" w:eastAsia="黑体"/>
          <w:sz w:val="32"/>
          <w:szCs w:val="32"/>
        </w:rPr>
        <w:t>一、</w:t>
      </w:r>
      <w:r>
        <w:rPr>
          <w:rFonts w:hint="eastAsia" w:ascii="文星书宋" w:hAnsi="文星书宋" w:eastAsia="黑体"/>
          <w:sz w:val="32"/>
          <w:szCs w:val="32"/>
          <w:lang w:eastAsia="zh-CN"/>
        </w:rPr>
        <w:t>起草</w:t>
      </w:r>
      <w:r>
        <w:rPr>
          <w:rFonts w:hint="eastAsia" w:ascii="文星书宋" w:hAnsi="文星书宋" w:eastAsia="黑体"/>
          <w:sz w:val="32"/>
          <w:szCs w:val="32"/>
        </w:rPr>
        <w:t>背景</w:t>
      </w:r>
      <w:bookmarkStart w:id="0" w:name="_GoBack"/>
      <w:bookmarkEnd w:id="0"/>
    </w:p>
    <w:p>
      <w:pPr>
        <w:keepNext w:val="0"/>
        <w:keepLines w:val="0"/>
        <w:pageBreakBefore w:val="0"/>
        <w:widowControl w:val="0"/>
        <w:kinsoku/>
        <w:wordWrap/>
        <w:overflowPunct/>
        <w:topLinePunct w:val="0"/>
        <w:autoSpaceDE/>
        <w:autoSpaceDN/>
        <w:bidi w:val="0"/>
        <w:adjustRightInd/>
        <w:snapToGrid/>
        <w:spacing w:line="640" w:lineRule="exact"/>
        <w:ind w:firstLine="645"/>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贯彻落实《国务院办公厅关于有效发挥政府性融资担保基金作用切实支持小微企业和“三农”发展的指导意见》（国办发〔2019〕6号）和《河南省人民政府办公厅关于进一步加强政府性融资担保体系建设支持小微企业和“三农”发展的实施意见》（豫政办〔2020〕29号）</w:t>
      </w:r>
      <w:r>
        <w:rPr>
          <w:rFonts w:hint="eastAsia" w:ascii="仿宋_GB2312" w:hAnsi="仿宋_GB2312" w:eastAsia="仿宋_GB2312" w:cs="仿宋_GB2312"/>
          <w:sz w:val="32"/>
          <w:szCs w:val="32"/>
          <w:lang w:eastAsia="zh-CN"/>
        </w:rPr>
        <w:t>文件精神，加快推进政府性融资担保体系建设，进一步提升政府性融资担保机构服务能力，助推我市经济社会高质量发展。</w:t>
      </w:r>
    </w:p>
    <w:p>
      <w:pPr>
        <w:keepNext w:val="0"/>
        <w:keepLines w:val="0"/>
        <w:pageBreakBefore w:val="0"/>
        <w:widowControl w:val="0"/>
        <w:kinsoku/>
        <w:wordWrap/>
        <w:overflowPunct/>
        <w:topLinePunct w:val="0"/>
        <w:autoSpaceDE/>
        <w:autoSpaceDN/>
        <w:bidi w:val="0"/>
        <w:adjustRightInd/>
        <w:snapToGrid/>
        <w:spacing w:line="640" w:lineRule="exact"/>
        <w:ind w:firstLine="584" w:firstLineChars="200"/>
        <w:textAlignment w:val="auto"/>
        <w:rPr>
          <w:rFonts w:hint="eastAsia" w:ascii="黑体" w:hAnsi="黑体" w:eastAsia="黑体" w:cs="黑体"/>
          <w:b/>
          <w:sz w:val="32"/>
          <w:szCs w:val="32"/>
        </w:rPr>
      </w:pPr>
      <w:r>
        <w:rPr>
          <w:rFonts w:hint="eastAsia" w:ascii="黑体" w:hAnsi="黑体" w:eastAsia="黑体" w:cs="黑体"/>
          <w:spacing w:val="-8"/>
          <w:sz w:val="32"/>
          <w:szCs w:val="32"/>
        </w:rPr>
        <w:t>二、起草依据</w:t>
      </w:r>
    </w:p>
    <w:p>
      <w:pPr>
        <w:keepNext w:val="0"/>
        <w:keepLines w:val="0"/>
        <w:pageBreakBefore w:val="0"/>
        <w:widowControl w:val="0"/>
        <w:kinsoku/>
        <w:wordWrap/>
        <w:overflowPunct/>
        <w:topLinePunct w:val="0"/>
        <w:autoSpaceDE/>
        <w:autoSpaceDN/>
        <w:bidi w:val="0"/>
        <w:adjustRightInd/>
        <w:snapToGrid/>
        <w:spacing w:line="640" w:lineRule="exact"/>
        <w:ind w:firstLine="645"/>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《国务院办公厅关于有效发挥政府性融资担保基金作用切实支持小微企业和“三农”发展的指导意见》（国办发〔2019〕6号）；</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《河南省人民政府办公厅关于进一步加强政府性融资担保体系建设支持小微企业和“三农”发展的实施意见》（豫政办〔2020〕29号）；</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《河南省人民政府关于印发河南省贯彻落实稳住经济一揽子政策措施实施方案的通知》（豫政〔2022〕19号）；</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《河南省人民政府办公厅关于进一步发挥农业信贷担保作用助推农业高质量发展的实施意见》（豫政办〔2021〕5号），结合我市实际情况，金融工作局起草了《实施意见》。</w:t>
      </w:r>
    </w:p>
    <w:p>
      <w:pPr>
        <w:keepNext w:val="0"/>
        <w:keepLines w:val="0"/>
        <w:pageBreakBefore w:val="0"/>
        <w:widowControl w:val="0"/>
        <w:kinsoku/>
        <w:wordWrap/>
        <w:overflowPunct/>
        <w:topLinePunct w:val="0"/>
        <w:autoSpaceDE/>
        <w:autoSpaceDN/>
        <w:bidi w:val="0"/>
        <w:adjustRightInd/>
        <w:snapToGrid/>
        <w:spacing w:line="640" w:lineRule="exact"/>
        <w:ind w:firstLine="616" w:firstLineChars="200"/>
        <w:textAlignment w:val="auto"/>
        <w:rPr>
          <w:rFonts w:hint="eastAsia" w:ascii="黑体" w:hAnsi="黑体" w:eastAsia="黑体" w:cs="黑体"/>
          <w:b/>
          <w:sz w:val="32"/>
          <w:szCs w:val="32"/>
        </w:rPr>
      </w:pPr>
      <w:r>
        <w:rPr>
          <w:rFonts w:hint="eastAsia" w:ascii="黑体" w:hAnsi="黑体" w:eastAsia="黑体" w:cs="黑体"/>
          <w:sz w:val="32"/>
          <w:szCs w:val="32"/>
        </w:rPr>
        <w:t>三、文件的基本结构和主要内容</w:t>
      </w:r>
    </w:p>
    <w:p>
      <w:pPr>
        <w:keepNext w:val="0"/>
        <w:keepLines w:val="0"/>
        <w:pageBreakBefore w:val="0"/>
        <w:widowControl w:val="0"/>
        <w:kinsoku/>
        <w:wordWrap/>
        <w:overflowPunct/>
        <w:topLinePunct w:val="0"/>
        <w:autoSpaceDE/>
        <w:autoSpaceDN/>
        <w:bidi w:val="0"/>
        <w:adjustRightInd/>
        <w:snapToGrid/>
        <w:spacing w:line="640" w:lineRule="exact"/>
        <w:ind w:firstLine="616"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《实施意见》</w:t>
      </w:r>
      <w:r>
        <w:rPr>
          <w:rFonts w:hint="eastAsia" w:eastAsia="仿宋_GB2312"/>
          <w:lang w:eastAsia="zh-CN"/>
        </w:rPr>
        <w:t>共</w:t>
      </w:r>
      <w:r>
        <w:rPr>
          <w:rFonts w:hint="eastAsia" w:ascii="仿宋_GB2312" w:hAnsi="仿宋_GB2312" w:eastAsia="仿宋_GB2312" w:cs="仿宋_GB2312"/>
          <w:sz w:val="32"/>
          <w:szCs w:val="32"/>
        </w:rPr>
        <w:t>分为总体要求、完善政府性融资担保体系、坚持做好主责主业、构建可持续的银担合作机制、强化政策激励、加强监管考核六部分。</w:t>
      </w:r>
    </w:p>
    <w:p>
      <w:pPr>
        <w:keepNext w:val="0"/>
        <w:keepLines w:val="0"/>
        <w:pageBreakBefore w:val="0"/>
        <w:widowControl w:val="0"/>
        <w:kinsoku/>
        <w:wordWrap/>
        <w:overflowPunct/>
        <w:topLinePunct w:val="0"/>
        <w:autoSpaceDE/>
        <w:autoSpaceDN/>
        <w:bidi w:val="0"/>
        <w:adjustRightInd/>
        <w:snapToGrid/>
        <w:spacing w:line="640" w:lineRule="exact"/>
        <w:ind w:firstLine="645"/>
        <w:textAlignment w:val="auto"/>
        <w:rPr>
          <w:rFonts w:hint="eastAsia" w:ascii="仿宋_GB2312" w:hAnsi="仿宋_GB2312" w:eastAsia="仿宋_GB2312" w:cs="仿宋_GB2312"/>
          <w:b/>
          <w:sz w:val="32"/>
          <w:szCs w:val="32"/>
        </w:rPr>
      </w:pPr>
      <w:r>
        <w:rPr>
          <w:rFonts w:hint="eastAsia" w:ascii="楷体_GB2312" w:hAnsi="楷体_GB2312" w:eastAsia="楷体_GB2312" w:cs="楷体_GB2312"/>
          <w:sz w:val="32"/>
          <w:szCs w:val="32"/>
        </w:rPr>
        <w:t>（一）总体要求</w:t>
      </w:r>
      <w:r>
        <w:rPr>
          <w:rFonts w:hint="eastAsia" w:ascii="楷体_GB2312" w:hAnsi="楷体_GB2312" w:eastAsia="楷体_GB2312" w:cs="楷体_GB2312"/>
          <w:sz w:val="32"/>
          <w:szCs w:val="32"/>
          <w:lang w:eastAsia="zh-CN"/>
        </w:rPr>
        <w:t>三项条款。</w:t>
      </w:r>
      <w:r>
        <w:rPr>
          <w:rFonts w:hint="eastAsia" w:ascii="仿宋_GB2312" w:hAnsi="仿宋_GB2312" w:eastAsia="仿宋_GB2312" w:cs="仿宋_GB2312"/>
          <w:sz w:val="32"/>
          <w:szCs w:val="32"/>
          <w:lang w:eastAsia="zh-CN"/>
        </w:rPr>
        <w:t>分别是：指导思想、基本原则、发展目标三项内容。</w:t>
      </w:r>
    </w:p>
    <w:p>
      <w:pPr>
        <w:keepNext w:val="0"/>
        <w:keepLines w:val="0"/>
        <w:pageBreakBefore w:val="0"/>
        <w:widowControl w:val="0"/>
        <w:kinsoku/>
        <w:wordWrap/>
        <w:overflowPunct/>
        <w:topLinePunct w:val="0"/>
        <w:autoSpaceDE/>
        <w:autoSpaceDN/>
        <w:bidi w:val="0"/>
        <w:adjustRightInd/>
        <w:snapToGrid/>
        <w:spacing w:line="640" w:lineRule="exact"/>
        <w:ind w:firstLine="645"/>
        <w:textAlignment w:val="auto"/>
        <w:rPr>
          <w:rFonts w:hint="eastAsia" w:ascii="仿宋_GB2312" w:hAnsi="仿宋_GB2312" w:eastAsia="仿宋_GB2312" w:cs="仿宋_GB2312"/>
          <w:b/>
          <w:sz w:val="32"/>
          <w:szCs w:val="32"/>
          <w:lang w:eastAsia="zh-CN"/>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完善政府性融资担保体系五项条款。</w:t>
      </w:r>
      <w:r>
        <w:rPr>
          <w:rFonts w:hint="eastAsia" w:ascii="仿宋_GB2312" w:hAnsi="仿宋_GB2312" w:eastAsia="仿宋_GB2312" w:cs="仿宋_GB2312"/>
          <w:sz w:val="32"/>
          <w:szCs w:val="32"/>
          <w:lang w:eastAsia="zh-CN"/>
        </w:rPr>
        <w:t>分别是：加强市、县级政府性融资担保机构建设、做大做强市级政府性融资担保机构、实现政府性融资担保业务县（市、区）全覆盖、加强农业信贷担保机构建设、完善法人治理结构五项内容。</w:t>
      </w:r>
    </w:p>
    <w:p>
      <w:pPr>
        <w:keepNext w:val="0"/>
        <w:keepLines w:val="0"/>
        <w:pageBreakBefore w:val="0"/>
        <w:widowControl w:val="0"/>
        <w:kinsoku/>
        <w:wordWrap/>
        <w:overflowPunct/>
        <w:topLinePunct w:val="0"/>
        <w:autoSpaceDE/>
        <w:autoSpaceDN/>
        <w:bidi w:val="0"/>
        <w:adjustRightInd/>
        <w:snapToGrid/>
        <w:spacing w:line="640" w:lineRule="exact"/>
        <w:ind w:firstLine="645"/>
        <w:textAlignment w:val="auto"/>
        <w:rPr>
          <w:rFonts w:hint="eastAsia" w:ascii="仿宋_GB2312" w:hAnsi="仿宋_GB2312" w:eastAsia="仿宋_GB2312" w:cs="仿宋_GB2312"/>
          <w:b/>
          <w:sz w:val="32"/>
          <w:szCs w:val="32"/>
          <w:lang w:eastAsia="zh-CN"/>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三</w:t>
      </w:r>
      <w:r>
        <w:rPr>
          <w:rFonts w:hint="eastAsia" w:ascii="楷体_GB2312" w:hAnsi="楷体_GB2312" w:eastAsia="楷体_GB2312" w:cs="楷体_GB2312"/>
          <w:sz w:val="32"/>
          <w:szCs w:val="32"/>
        </w:rPr>
        <w:t>）坚持做好主责主业</w:t>
      </w:r>
      <w:r>
        <w:rPr>
          <w:rFonts w:hint="eastAsia" w:ascii="楷体_GB2312" w:hAnsi="楷体_GB2312" w:eastAsia="楷体_GB2312" w:cs="楷体_GB2312"/>
          <w:sz w:val="32"/>
          <w:szCs w:val="32"/>
          <w:lang w:eastAsia="zh-CN"/>
        </w:rPr>
        <w:t>四项条款。</w:t>
      </w:r>
      <w:r>
        <w:rPr>
          <w:rFonts w:hint="eastAsia" w:ascii="仿宋_GB2312" w:hAnsi="仿宋_GB2312" w:eastAsia="仿宋_GB2312" w:cs="仿宋_GB2312"/>
          <w:sz w:val="32"/>
          <w:szCs w:val="32"/>
          <w:lang w:eastAsia="zh-CN"/>
        </w:rPr>
        <w:t>分别是：聚焦支小支农、降低担保费率、降低综合融资成本、加强风险管控四项内容。</w:t>
      </w:r>
    </w:p>
    <w:p>
      <w:pPr>
        <w:keepNext w:val="0"/>
        <w:keepLines w:val="0"/>
        <w:pageBreakBefore w:val="0"/>
        <w:widowControl w:val="0"/>
        <w:kinsoku/>
        <w:wordWrap/>
        <w:overflowPunct/>
        <w:topLinePunct w:val="0"/>
        <w:autoSpaceDE/>
        <w:autoSpaceDN/>
        <w:bidi w:val="0"/>
        <w:adjustRightInd/>
        <w:snapToGrid/>
        <w:spacing w:line="640" w:lineRule="exact"/>
        <w:ind w:firstLine="645"/>
        <w:textAlignment w:val="auto"/>
        <w:rPr>
          <w:rFonts w:hint="eastAsia" w:ascii="仿宋_GB2312" w:hAnsi="仿宋_GB2312" w:eastAsia="仿宋_GB2312" w:cs="仿宋_GB2312"/>
          <w:b/>
          <w:sz w:val="32"/>
          <w:szCs w:val="32"/>
          <w:lang w:eastAsia="zh-CN"/>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四</w:t>
      </w:r>
      <w:r>
        <w:rPr>
          <w:rFonts w:hint="eastAsia" w:ascii="楷体_GB2312" w:hAnsi="楷体_GB2312" w:eastAsia="楷体_GB2312" w:cs="楷体_GB2312"/>
          <w:sz w:val="32"/>
          <w:szCs w:val="32"/>
        </w:rPr>
        <w:t>）构建可持续的银担合作机制</w:t>
      </w:r>
      <w:r>
        <w:rPr>
          <w:rFonts w:hint="eastAsia" w:ascii="楷体_GB2312" w:hAnsi="楷体_GB2312" w:eastAsia="楷体_GB2312" w:cs="楷体_GB2312"/>
          <w:sz w:val="32"/>
          <w:szCs w:val="32"/>
          <w:lang w:eastAsia="zh-CN"/>
        </w:rPr>
        <w:t>两项条款。</w:t>
      </w:r>
      <w:r>
        <w:rPr>
          <w:rFonts w:hint="eastAsia" w:ascii="仿宋_GB2312" w:hAnsi="仿宋_GB2312" w:eastAsia="仿宋_GB2312" w:cs="仿宋_GB2312"/>
          <w:sz w:val="32"/>
          <w:szCs w:val="32"/>
          <w:lang w:eastAsia="zh-CN"/>
        </w:rPr>
        <w:t>分别是：明确风险分担责任、深化新型政银担合作机制建设两项内容。</w:t>
      </w:r>
    </w:p>
    <w:p>
      <w:pPr>
        <w:keepNext w:val="0"/>
        <w:keepLines w:val="0"/>
        <w:pageBreakBefore w:val="0"/>
        <w:widowControl w:val="0"/>
        <w:kinsoku/>
        <w:wordWrap/>
        <w:overflowPunct/>
        <w:topLinePunct w:val="0"/>
        <w:autoSpaceDE/>
        <w:autoSpaceDN/>
        <w:bidi w:val="0"/>
        <w:adjustRightInd/>
        <w:snapToGrid/>
        <w:spacing w:line="640" w:lineRule="exact"/>
        <w:ind w:firstLine="645"/>
        <w:textAlignment w:val="auto"/>
        <w:rPr>
          <w:rFonts w:hint="eastAsia" w:ascii="仿宋_GB2312" w:hAnsi="仿宋_GB2312" w:eastAsia="仿宋_GB2312" w:cs="仿宋_GB2312"/>
          <w:b/>
          <w:sz w:val="32"/>
          <w:szCs w:val="32"/>
          <w:lang w:eastAsia="zh-CN"/>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五</w:t>
      </w:r>
      <w:r>
        <w:rPr>
          <w:rFonts w:hint="eastAsia" w:ascii="楷体_GB2312" w:hAnsi="楷体_GB2312" w:eastAsia="楷体_GB2312" w:cs="楷体_GB2312"/>
          <w:sz w:val="32"/>
          <w:szCs w:val="32"/>
        </w:rPr>
        <w:t>）强化政策激励</w:t>
      </w:r>
      <w:r>
        <w:rPr>
          <w:rFonts w:hint="eastAsia" w:ascii="楷体_GB2312" w:hAnsi="楷体_GB2312" w:eastAsia="楷体_GB2312" w:cs="楷体_GB2312"/>
          <w:sz w:val="32"/>
          <w:szCs w:val="32"/>
          <w:lang w:eastAsia="zh-CN"/>
        </w:rPr>
        <w:t>五项条款。</w:t>
      </w:r>
      <w:r>
        <w:rPr>
          <w:rFonts w:hint="eastAsia" w:ascii="仿宋_GB2312" w:hAnsi="仿宋_GB2312" w:eastAsia="仿宋_GB2312" w:cs="仿宋_GB2312"/>
          <w:sz w:val="32"/>
          <w:szCs w:val="32"/>
          <w:lang w:eastAsia="zh-CN"/>
        </w:rPr>
        <w:t>分别是：建立资本金补充机制、建立完善代偿补偿机制、完善业务奖补机制、落实扶持政策、优化发展环境五项内容。</w:t>
      </w:r>
    </w:p>
    <w:p>
      <w:pPr>
        <w:keepNext w:val="0"/>
        <w:keepLines w:val="0"/>
        <w:pageBreakBefore w:val="0"/>
        <w:widowControl w:val="0"/>
        <w:kinsoku/>
        <w:wordWrap/>
        <w:overflowPunct/>
        <w:topLinePunct w:val="0"/>
        <w:autoSpaceDE/>
        <w:autoSpaceDN/>
        <w:bidi w:val="0"/>
        <w:adjustRightInd/>
        <w:snapToGrid/>
        <w:spacing w:line="640" w:lineRule="exact"/>
        <w:ind w:firstLine="645"/>
        <w:textAlignment w:val="auto"/>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六</w:t>
      </w:r>
      <w:r>
        <w:rPr>
          <w:rFonts w:hint="eastAsia" w:ascii="楷体_GB2312" w:hAnsi="楷体_GB2312" w:eastAsia="楷体_GB2312" w:cs="楷体_GB2312"/>
          <w:sz w:val="32"/>
          <w:szCs w:val="32"/>
        </w:rPr>
        <w:t>）加强监管考核</w:t>
      </w:r>
      <w:r>
        <w:rPr>
          <w:rFonts w:hint="eastAsia" w:ascii="楷体_GB2312" w:hAnsi="楷体_GB2312" w:eastAsia="楷体_GB2312" w:cs="楷体_GB2312"/>
          <w:sz w:val="32"/>
          <w:szCs w:val="32"/>
          <w:lang w:eastAsia="zh-CN"/>
        </w:rPr>
        <w:t>两项条款。</w:t>
      </w:r>
      <w:r>
        <w:rPr>
          <w:rFonts w:hint="eastAsia" w:ascii="仿宋_GB2312" w:hAnsi="仿宋_GB2312" w:eastAsia="仿宋_GB2312" w:cs="仿宋_GB2312"/>
          <w:sz w:val="32"/>
          <w:szCs w:val="32"/>
          <w:lang w:eastAsia="zh-CN"/>
        </w:rPr>
        <w:t>分别是：落实属地责任、</w:t>
      </w:r>
      <w:r>
        <w:rPr>
          <w:rFonts w:hint="eastAsia" w:ascii="仿宋_GB2312" w:hAnsi="仿宋_GB2312" w:eastAsia="仿宋_GB2312" w:cs="仿宋_GB2312"/>
          <w:sz w:val="32"/>
          <w:szCs w:val="32"/>
        </w:rPr>
        <w:t>建立完善绩效考核评价体系</w:t>
      </w:r>
      <w:r>
        <w:rPr>
          <w:rFonts w:hint="eastAsia" w:ascii="仿宋_GB2312" w:hAnsi="仿宋_GB2312" w:eastAsia="仿宋_GB2312" w:cs="仿宋_GB2312"/>
          <w:sz w:val="32"/>
          <w:szCs w:val="32"/>
          <w:lang w:eastAsia="zh-CN"/>
        </w:rPr>
        <w:t>两项内容。</w:t>
      </w:r>
    </w:p>
    <w:sectPr>
      <w:headerReference r:id="rId3" w:type="default"/>
      <w:footerReference r:id="rId4" w:type="default"/>
      <w:footerReference r:id="rId5" w:type="even"/>
      <w:pgSz w:w="11906" w:h="16838"/>
      <w:pgMar w:top="2041" w:right="1531" w:bottom="2041" w:left="1758" w:header="851" w:footer="1531" w:gutter="0"/>
      <w:cols w:space="720" w:num="1"/>
      <w:docGrid w:type="linesAndChars" w:linePitch="579"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0000000000000000000"/>
    <w:charset w:val="00"/>
    <w:family w:val="roman"/>
    <w:pitch w:val="default"/>
    <w:sig w:usb0="00000000" w:usb1="00000000" w:usb2="00000010" w:usb3="00000000" w:csb0="00060007" w:csb1="00000000"/>
  </w:font>
  <w:font w:name="文星仿宋">
    <w:altName w:val="仿宋"/>
    <w:panose1 w:val="02010604000101010101"/>
    <w:charset w:val="00"/>
    <w:family w:val="auto"/>
    <w:pitch w:val="default"/>
    <w:sig w:usb0="00000000" w:usb1="00000000" w:usb2="00000000" w:usb3="00000000" w:csb0="00040001" w:csb1="00000000"/>
  </w:font>
  <w:font w:name="文星书宋">
    <w:altName w:val="宋体"/>
    <w:panose1 w:val="02010604000101010101"/>
    <w:charset w:val="00"/>
    <w:family w:val="auto"/>
    <w:pitch w:val="default"/>
    <w:sig w:usb0="00000000" w:usb1="00000000" w:usb2="00000000" w:usb3="00000000" w:csb0="00040001" w:csb1="00000000"/>
  </w:font>
  <w:font w:name="文星标宋">
    <w:altName w:val="微软雅黑"/>
    <w:panose1 w:val="02010604000101010101"/>
    <w:charset w:val="86"/>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文星书宋" w:hAnsi="文星书宋" w:eastAsia="文星书宋"/>
        <w:sz w:val="30"/>
        <w:szCs w:val="30"/>
      </w:rPr>
    </w:pPr>
    <w:r>
      <w:rPr>
        <w:rFonts w:ascii="文星书宋" w:hAnsi="文星书宋" w:eastAsia="文星书宋"/>
        <w:sz w:val="24"/>
        <w:szCs w:val="30"/>
      </w:rPr>
      <w:t>—</w:t>
    </w:r>
    <w:r>
      <w:rPr>
        <w:rFonts w:ascii="文星书宋" w:hAnsi="文星书宋" w:eastAsia="文星书宋"/>
        <w:sz w:val="30"/>
        <w:szCs w:val="30"/>
      </w:rPr>
      <w:t xml:space="preserve"> </w:t>
    </w:r>
    <w:r>
      <w:rPr>
        <w:rFonts w:ascii="文星书宋" w:hAnsi="文星书宋" w:eastAsia="文星书宋"/>
        <w:sz w:val="30"/>
        <w:szCs w:val="30"/>
      </w:rPr>
      <w:fldChar w:fldCharType="begin"/>
    </w:r>
    <w:r>
      <w:rPr>
        <w:rStyle w:val="6"/>
        <w:rFonts w:ascii="文星书宋" w:hAnsi="文星书宋" w:eastAsia="文星书宋"/>
        <w:sz w:val="30"/>
        <w:szCs w:val="30"/>
      </w:rPr>
      <w:instrText xml:space="preserve">PAGE  </w:instrText>
    </w:r>
    <w:r>
      <w:rPr>
        <w:rFonts w:ascii="文星书宋" w:hAnsi="文星书宋" w:eastAsia="文星书宋"/>
        <w:sz w:val="30"/>
        <w:szCs w:val="30"/>
      </w:rPr>
      <w:fldChar w:fldCharType="separate"/>
    </w:r>
    <w:r>
      <w:rPr>
        <w:rStyle w:val="6"/>
        <w:rFonts w:ascii="文星书宋" w:hAnsi="文星书宋" w:eastAsia="文星书宋"/>
        <w:sz w:val="30"/>
        <w:szCs w:val="30"/>
      </w:rPr>
      <w:t>1</w:t>
    </w:r>
    <w:r>
      <w:rPr>
        <w:rFonts w:ascii="文星书宋" w:hAnsi="文星书宋" w:eastAsia="文星书宋"/>
        <w:sz w:val="30"/>
        <w:szCs w:val="30"/>
      </w:rPr>
      <w:fldChar w:fldCharType="end"/>
    </w:r>
    <w:r>
      <w:rPr>
        <w:rFonts w:hint="eastAsia" w:ascii="文星书宋" w:hAnsi="文星书宋" w:eastAsia="文星书宋"/>
        <w:sz w:val="30"/>
        <w:szCs w:val="30"/>
      </w:rPr>
      <w:t xml:space="preserve"> </w:t>
    </w:r>
    <w:r>
      <w:rPr>
        <w:rFonts w:ascii="文星书宋" w:hAnsi="文星书宋" w:eastAsia="文星书宋"/>
        <w:sz w:val="24"/>
        <w:szCs w:val="3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rPr>
        <w:rStyle w:val="6"/>
        <w:rFonts w:ascii="文星书宋" w:hAnsi="文星书宋" w:eastAsia="文星书宋"/>
        <w:sz w:val="24"/>
        <w:szCs w:val="30"/>
      </w:rPr>
    </w:pPr>
    <w:r>
      <w:rPr>
        <w:rFonts w:ascii="文星书宋" w:hAnsi="文星书宋" w:eastAsia="文星书宋"/>
        <w:sz w:val="24"/>
        <w:szCs w:val="30"/>
      </w:rPr>
      <w:t>—</w:t>
    </w:r>
    <w:r>
      <w:rPr>
        <w:rFonts w:ascii="文星书宋" w:hAnsi="文星书宋" w:eastAsia="文星书宋"/>
        <w:sz w:val="28"/>
        <w:szCs w:val="30"/>
      </w:rPr>
      <w:t xml:space="preserve"> </w:t>
    </w:r>
    <w:r>
      <w:rPr>
        <w:rFonts w:ascii="文星书宋" w:hAnsi="文星书宋" w:eastAsia="文星书宋"/>
        <w:sz w:val="30"/>
        <w:szCs w:val="30"/>
      </w:rPr>
      <w:fldChar w:fldCharType="begin"/>
    </w:r>
    <w:r>
      <w:rPr>
        <w:rStyle w:val="6"/>
        <w:rFonts w:ascii="文星书宋" w:hAnsi="文星书宋" w:eastAsia="文星书宋"/>
        <w:sz w:val="30"/>
        <w:szCs w:val="30"/>
      </w:rPr>
      <w:instrText xml:space="preserve">PAGE  </w:instrText>
    </w:r>
    <w:r>
      <w:rPr>
        <w:rFonts w:ascii="文星书宋" w:hAnsi="文星书宋" w:eastAsia="文星书宋"/>
        <w:sz w:val="30"/>
        <w:szCs w:val="30"/>
      </w:rPr>
      <w:fldChar w:fldCharType="separate"/>
    </w:r>
    <w:r>
      <w:rPr>
        <w:rStyle w:val="6"/>
        <w:rFonts w:ascii="文星书宋" w:hAnsi="文星书宋" w:eastAsia="文星书宋"/>
        <w:sz w:val="30"/>
        <w:szCs w:val="30"/>
      </w:rPr>
      <w:t>2</w:t>
    </w:r>
    <w:r>
      <w:rPr>
        <w:rFonts w:ascii="文星书宋" w:hAnsi="文星书宋" w:eastAsia="文星书宋"/>
        <w:sz w:val="30"/>
        <w:szCs w:val="30"/>
      </w:rPr>
      <w:fldChar w:fldCharType="end"/>
    </w:r>
    <w:r>
      <w:rPr>
        <w:rStyle w:val="6"/>
        <w:rFonts w:ascii="文星书宋" w:hAnsi="文星书宋" w:eastAsia="文星书宋"/>
        <w:sz w:val="28"/>
        <w:szCs w:val="30"/>
      </w:rPr>
      <w:t xml:space="preserve"> </w:t>
    </w:r>
    <w:r>
      <w:rPr>
        <w:rFonts w:ascii="文星书宋" w:hAnsi="文星书宋" w:eastAsia="文星书宋"/>
        <w:sz w:val="24"/>
        <w:szCs w:val="30"/>
      </w:rPr>
      <w:t>—</w:t>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iM2E5NTg1OTAyMzY1MWQ5N2ZhNWI1YTc5N2I1NjEifQ=="/>
  </w:docVars>
  <w:rsids>
    <w:rsidRoot w:val="1A7907F2"/>
    <w:rsid w:val="1A7907F2"/>
    <w:rsid w:val="2E616171"/>
    <w:rsid w:val="41EB50B8"/>
    <w:rsid w:val="488922B1"/>
    <w:rsid w:val="4A26787F"/>
    <w:rsid w:val="548E2F0B"/>
    <w:rsid w:val="57A7066D"/>
    <w:rsid w:val="5DB05B39"/>
    <w:rsid w:val="71EB0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dobe 仿宋 Std R" w:hAnsi="Adobe 仿宋 Std R" w:eastAsia="文星仿宋" w:cs="Times New Roman"/>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1269</Words>
  <Characters>1298</Characters>
  <Lines>0</Lines>
  <Paragraphs>0</Paragraphs>
  <TotalTime>41</TotalTime>
  <ScaleCrop>false</ScaleCrop>
  <LinksUpToDate>false</LinksUpToDate>
  <CharactersWithSpaces>1302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2022-09-23T08:04:00Z</dcterms:created>
  <dc:creator>Administrator</dc:creator>
  <cp:lastModifiedBy>Administrator</cp:lastModifiedBy>
  <dcterms:modified xsi:type="dcterms:W3CDTF">2023-08-09T03:40:38Z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9A5C1EADD0A644318397C87AD29B1E35</vt:lpwstr>
  </property>
</Properties>
</file>