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ind w:firstLine="1586" w:firstLineChars="200"/>
        <w:rPr>
          <w:rFonts w:ascii="方正小标宋简体" w:hAnsi="方正小标宋简体" w:eastAsia="方正小标宋简体" w:cs="方正小标宋简体"/>
          <w:b/>
          <w:bCs/>
          <w:color w:val="000000"/>
          <w:kern w:val="0"/>
          <w:sz w:val="79"/>
          <w:szCs w:val="79"/>
        </w:rPr>
      </w:pPr>
    </w:p>
    <w:p>
      <w:pPr>
        <w:widowControl/>
        <w:ind w:firstLine="1586" w:firstLineChars="200"/>
        <w:rPr>
          <w:rFonts w:ascii="方正小标宋简体" w:hAnsi="方正小标宋简体" w:eastAsia="方正小标宋简体" w:cs="方正小标宋简体"/>
          <w:b/>
          <w:bCs/>
          <w:color w:val="000000"/>
          <w:kern w:val="0"/>
          <w:sz w:val="79"/>
          <w:szCs w:val="79"/>
        </w:rPr>
      </w:pPr>
    </w:p>
    <w:p>
      <w:pPr>
        <w:widowControl/>
        <w:jc w:val="center"/>
        <w:rPr>
          <w:rFonts w:ascii="方正小标宋简体" w:hAnsi="方正小标宋简体" w:eastAsia="方正小标宋简体" w:cs="方正小标宋简体"/>
          <w:b/>
          <w:bCs/>
        </w:rPr>
      </w:pPr>
      <w:r>
        <w:rPr>
          <w:rFonts w:hint="eastAsia" w:ascii="方正小标宋简体" w:hAnsi="方正小标宋简体" w:eastAsia="方正小标宋简体" w:cs="方正小标宋简体"/>
          <w:b/>
          <w:bCs/>
          <w:color w:val="000000"/>
          <w:kern w:val="0"/>
          <w:sz w:val="79"/>
          <w:szCs w:val="79"/>
        </w:rPr>
        <w:t>南阳市金融工作局便企</w:t>
      </w:r>
    </w:p>
    <w:p>
      <w:pPr>
        <w:widowControl/>
        <w:jc w:val="center"/>
        <w:rPr>
          <w:rFonts w:ascii="方正小标宋简体" w:hAnsi="方正小标宋简体" w:eastAsia="方正小标宋简体" w:cs="方正小标宋简体"/>
          <w:b/>
          <w:bCs/>
          <w:color w:val="000000"/>
          <w:kern w:val="0"/>
          <w:sz w:val="79"/>
          <w:szCs w:val="79"/>
        </w:rPr>
      </w:pPr>
      <w:r>
        <w:rPr>
          <w:rFonts w:hint="eastAsia" w:ascii="方正小标宋简体" w:hAnsi="方正小标宋简体" w:eastAsia="方正小标宋简体" w:cs="方正小标宋简体"/>
          <w:b/>
          <w:bCs/>
          <w:color w:val="000000"/>
          <w:kern w:val="0"/>
          <w:sz w:val="79"/>
          <w:szCs w:val="79"/>
        </w:rPr>
        <w:t>服 务 手 册</w:t>
      </w:r>
    </w:p>
    <w:p>
      <w:pPr>
        <w:widowControl/>
        <w:ind w:firstLine="1586" w:firstLineChars="200"/>
        <w:rPr>
          <w:rFonts w:ascii="方正小标宋简体" w:hAnsi="方正小标宋简体" w:eastAsia="方正小标宋简体" w:cs="方正小标宋简体"/>
          <w:b/>
          <w:bCs/>
          <w:color w:val="000000"/>
          <w:kern w:val="0"/>
          <w:sz w:val="79"/>
          <w:szCs w:val="79"/>
        </w:rPr>
      </w:pPr>
    </w:p>
    <w:p>
      <w:pPr>
        <w:widowControl/>
        <w:ind w:firstLine="1586" w:firstLineChars="200"/>
        <w:rPr>
          <w:rFonts w:ascii="方正小标宋简体" w:hAnsi="方正小标宋简体" w:eastAsia="方正小标宋简体" w:cs="方正小标宋简体"/>
          <w:b/>
          <w:bCs/>
          <w:color w:val="000000"/>
          <w:kern w:val="0"/>
          <w:sz w:val="79"/>
          <w:szCs w:val="79"/>
        </w:rPr>
      </w:pPr>
    </w:p>
    <w:p>
      <w:pPr>
        <w:widowControl/>
        <w:ind w:firstLine="1586" w:firstLineChars="200"/>
        <w:rPr>
          <w:rFonts w:ascii="方正小标宋简体" w:hAnsi="方正小标宋简体" w:eastAsia="方正小标宋简体" w:cs="方正小标宋简体"/>
          <w:b/>
          <w:bCs/>
          <w:color w:val="000000"/>
          <w:kern w:val="0"/>
          <w:sz w:val="79"/>
          <w:szCs w:val="79"/>
        </w:rPr>
      </w:pPr>
    </w:p>
    <w:p>
      <w:pPr>
        <w:widowControl/>
        <w:ind w:firstLine="1586" w:firstLineChars="200"/>
        <w:rPr>
          <w:rFonts w:ascii="方正小标宋简体" w:hAnsi="方正小标宋简体" w:eastAsia="方正小标宋简体" w:cs="方正小标宋简体"/>
          <w:b/>
          <w:bCs/>
          <w:color w:val="000000"/>
          <w:kern w:val="0"/>
          <w:sz w:val="79"/>
          <w:szCs w:val="79"/>
        </w:rPr>
      </w:pPr>
    </w:p>
    <w:p>
      <w:pPr>
        <w:widowControl/>
        <w:ind w:firstLine="720" w:firstLineChars="200"/>
        <w:jc w:val="center"/>
        <w:rPr>
          <w:rFonts w:ascii="黑体" w:hAnsi="宋体" w:eastAsia="黑体" w:cs="黑体"/>
          <w:color w:val="000000"/>
          <w:kern w:val="0"/>
          <w:sz w:val="36"/>
          <w:szCs w:val="36"/>
        </w:rPr>
      </w:pPr>
      <w:r>
        <w:rPr>
          <w:rFonts w:hint="eastAsia" w:ascii="黑体" w:hAnsi="宋体" w:eastAsia="黑体" w:cs="黑体"/>
          <w:color w:val="000000"/>
          <w:kern w:val="0"/>
          <w:sz w:val="36"/>
          <w:szCs w:val="36"/>
        </w:rPr>
        <w:t>南阳市金融工作局</w:t>
      </w:r>
    </w:p>
    <w:p>
      <w:pPr>
        <w:widowControl/>
        <w:ind w:firstLine="720" w:firstLineChars="200"/>
        <w:jc w:val="center"/>
        <w:rPr>
          <w:rFonts w:ascii="黑体" w:hAnsi="宋体" w:eastAsia="黑体" w:cs="黑体"/>
          <w:color w:val="000000"/>
          <w:kern w:val="0"/>
          <w:sz w:val="36"/>
          <w:szCs w:val="36"/>
        </w:rPr>
      </w:pPr>
      <w:r>
        <w:rPr>
          <w:rFonts w:hint="eastAsia" w:ascii="黑体" w:hAnsi="宋体" w:eastAsia="黑体" w:cs="黑体"/>
          <w:color w:val="000000"/>
          <w:kern w:val="0"/>
          <w:sz w:val="36"/>
          <w:szCs w:val="36"/>
        </w:rPr>
        <w:t>2023 年 3 月</w:t>
      </w:r>
    </w:p>
    <w:p>
      <w:pPr>
        <w:widowControl/>
        <w:ind w:firstLine="720" w:firstLineChars="200"/>
        <w:jc w:val="center"/>
        <w:rPr>
          <w:rFonts w:ascii="黑体" w:hAnsi="宋体" w:eastAsia="黑体" w:cs="黑体"/>
          <w:color w:val="000000"/>
          <w:kern w:val="0"/>
          <w:sz w:val="36"/>
          <w:szCs w:val="36"/>
        </w:rPr>
      </w:pPr>
    </w:p>
    <w:p>
      <w:pPr>
        <w:widowControl/>
        <w:ind w:firstLine="720" w:firstLineChars="200"/>
        <w:jc w:val="center"/>
        <w:rPr>
          <w:rFonts w:ascii="黑体" w:hAnsi="宋体" w:eastAsia="黑体" w:cs="黑体"/>
          <w:color w:val="000000"/>
          <w:kern w:val="0"/>
          <w:sz w:val="36"/>
          <w:szCs w:val="36"/>
        </w:rPr>
      </w:pPr>
    </w:p>
    <w:p>
      <w:pPr>
        <w:widowControl/>
        <w:ind w:firstLine="720" w:firstLineChars="200"/>
        <w:jc w:val="center"/>
        <w:rPr>
          <w:rFonts w:ascii="黑体" w:hAnsi="宋体" w:eastAsia="黑体" w:cs="黑体"/>
          <w:color w:val="000000"/>
          <w:kern w:val="0"/>
          <w:sz w:val="36"/>
          <w:szCs w:val="36"/>
        </w:rPr>
      </w:pPr>
    </w:p>
    <w:p>
      <w:pPr>
        <w:widowControl/>
        <w:ind w:firstLine="720" w:firstLineChars="200"/>
        <w:jc w:val="center"/>
        <w:rPr>
          <w:rFonts w:ascii="黑体" w:hAnsi="宋体" w:eastAsia="黑体" w:cs="黑体"/>
          <w:color w:val="000000"/>
          <w:kern w:val="0"/>
          <w:sz w:val="36"/>
          <w:szCs w:val="36"/>
        </w:rPr>
      </w:pPr>
    </w:p>
    <w:p>
      <w:pPr>
        <w:widowControl/>
        <w:ind w:firstLine="720" w:firstLineChars="200"/>
        <w:jc w:val="center"/>
        <w:rPr>
          <w:rFonts w:ascii="黑体" w:hAnsi="宋体" w:eastAsia="黑体" w:cs="黑体"/>
          <w:color w:val="000000"/>
          <w:kern w:val="0"/>
          <w:sz w:val="36"/>
          <w:szCs w:val="36"/>
        </w:rPr>
      </w:pPr>
    </w:p>
    <w:p>
      <w:pPr>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目录</w:t>
      </w:r>
    </w:p>
    <w:p>
      <w:pPr>
        <w:pStyle w:val="10"/>
        <w:tabs>
          <w:tab w:val="right" w:leader="dot" w:pos="8306"/>
        </w:tabs>
      </w:pPr>
      <w:r>
        <w:rPr>
          <w:rFonts w:ascii="方正小标宋简体" w:hAnsi="方正小标宋简体" w:eastAsia="方正小标宋简体" w:cs="方正小标宋简体"/>
          <w:sz w:val="44"/>
          <w:szCs w:val="44"/>
        </w:rPr>
        <w:fldChar w:fldCharType="begin"/>
      </w:r>
      <w:r>
        <w:rPr>
          <w:rFonts w:ascii="方正小标宋简体" w:hAnsi="方正小标宋简体" w:eastAsia="方正小标宋简体" w:cs="方正小标宋简体"/>
          <w:sz w:val="44"/>
          <w:szCs w:val="44"/>
        </w:rPr>
        <w:instrText xml:space="preserve"> TOC \o "1-3" \h \z \u </w:instrText>
      </w:r>
      <w:r>
        <w:rPr>
          <w:rFonts w:ascii="方正小标宋简体" w:hAnsi="方正小标宋简体" w:eastAsia="方正小标宋简体" w:cs="方正小标宋简体"/>
          <w:sz w:val="44"/>
          <w:szCs w:val="44"/>
        </w:rPr>
        <w:fldChar w:fldCharType="separate"/>
      </w:r>
      <w:r>
        <w:fldChar w:fldCharType="begin"/>
      </w:r>
      <w:r>
        <w:instrText xml:space="preserve"> HYPERLINK \l "_Toc16842" </w:instrText>
      </w:r>
      <w:r>
        <w:fldChar w:fldCharType="separate"/>
      </w:r>
      <w:r>
        <w:rPr>
          <w:rFonts w:hint="eastAsia"/>
        </w:rPr>
        <w:t>第一篇便企知识</w:t>
      </w:r>
      <w:r>
        <w:tab/>
      </w:r>
      <w:r>
        <w:fldChar w:fldCharType="begin"/>
      </w:r>
      <w:r>
        <w:instrText xml:space="preserve"> PAGEREF _Toc16842 \h </w:instrText>
      </w:r>
      <w:r>
        <w:fldChar w:fldCharType="separate"/>
      </w:r>
      <w:r>
        <w:t>5</w:t>
      </w:r>
      <w:r>
        <w:fldChar w:fldCharType="end"/>
      </w:r>
      <w:r>
        <w:fldChar w:fldCharType="end"/>
      </w:r>
    </w:p>
    <w:p>
      <w:pPr>
        <w:pStyle w:val="11"/>
        <w:tabs>
          <w:tab w:val="right" w:leader="dot" w:pos="8306"/>
        </w:tabs>
      </w:pPr>
      <w:r>
        <w:fldChar w:fldCharType="begin"/>
      </w:r>
      <w:r>
        <w:instrText xml:space="preserve"> HYPERLINK \l "_Toc27490" </w:instrText>
      </w:r>
      <w:r>
        <w:fldChar w:fldCharType="separate"/>
      </w:r>
      <w:r>
        <w:rPr>
          <w:rFonts w:hint="eastAsia"/>
        </w:rPr>
        <w:t>一、市金融工作局职能职责：</w:t>
      </w:r>
      <w:r>
        <w:tab/>
      </w:r>
      <w:r>
        <w:fldChar w:fldCharType="begin"/>
      </w:r>
      <w:r>
        <w:instrText xml:space="preserve"> PAGEREF _Toc27490 \h </w:instrText>
      </w:r>
      <w:r>
        <w:fldChar w:fldCharType="separate"/>
      </w:r>
      <w:r>
        <w:t>5</w:t>
      </w:r>
      <w:r>
        <w:fldChar w:fldCharType="end"/>
      </w:r>
      <w:r>
        <w:fldChar w:fldCharType="end"/>
      </w:r>
    </w:p>
    <w:p>
      <w:pPr>
        <w:pStyle w:val="11"/>
        <w:tabs>
          <w:tab w:val="right" w:leader="dot" w:pos="8306"/>
        </w:tabs>
      </w:pPr>
      <w:r>
        <w:fldChar w:fldCharType="begin"/>
      </w:r>
      <w:r>
        <w:instrText xml:space="preserve"> HYPERLINK \l "_Toc8320" </w:instrText>
      </w:r>
      <w:r>
        <w:fldChar w:fldCharType="separate"/>
      </w:r>
      <w:r>
        <w:rPr>
          <w:rFonts w:hint="eastAsia"/>
        </w:rPr>
        <w:t>二、市金融工作局常用信息：</w:t>
      </w:r>
      <w:r>
        <w:tab/>
      </w:r>
      <w:r>
        <w:fldChar w:fldCharType="begin"/>
      </w:r>
      <w:r>
        <w:instrText xml:space="preserve"> PAGEREF _Toc8320 \h </w:instrText>
      </w:r>
      <w:r>
        <w:fldChar w:fldCharType="separate"/>
      </w:r>
      <w:r>
        <w:t>6</w:t>
      </w:r>
      <w:r>
        <w:fldChar w:fldCharType="end"/>
      </w:r>
      <w:r>
        <w:fldChar w:fldCharType="end"/>
      </w:r>
    </w:p>
    <w:p>
      <w:pPr>
        <w:pStyle w:val="11"/>
        <w:tabs>
          <w:tab w:val="right" w:leader="dot" w:pos="8306"/>
        </w:tabs>
      </w:pPr>
      <w:r>
        <w:fldChar w:fldCharType="begin"/>
      </w:r>
      <w:r>
        <w:instrText xml:space="preserve"> HYPERLINK \l "_Toc32294" </w:instrText>
      </w:r>
      <w:r>
        <w:fldChar w:fldCharType="separate"/>
      </w:r>
      <w:r>
        <w:rPr>
          <w:rFonts w:hint="eastAsia"/>
        </w:rPr>
        <w:t>三、典当行</w:t>
      </w:r>
      <w:r>
        <w:tab/>
      </w:r>
      <w:r>
        <w:fldChar w:fldCharType="begin"/>
      </w:r>
      <w:r>
        <w:instrText xml:space="preserve"> PAGEREF _Toc32294 \h </w:instrText>
      </w:r>
      <w:r>
        <w:fldChar w:fldCharType="separate"/>
      </w:r>
      <w:r>
        <w:t>7</w:t>
      </w:r>
      <w:r>
        <w:fldChar w:fldCharType="end"/>
      </w:r>
      <w:r>
        <w:fldChar w:fldCharType="end"/>
      </w:r>
    </w:p>
    <w:p>
      <w:pPr>
        <w:pStyle w:val="11"/>
        <w:tabs>
          <w:tab w:val="right" w:leader="dot" w:pos="8306"/>
        </w:tabs>
      </w:pPr>
      <w:r>
        <w:fldChar w:fldCharType="begin"/>
      </w:r>
      <w:r>
        <w:instrText xml:space="preserve"> HYPERLINK \l "_Toc30241" </w:instrText>
      </w:r>
      <w:r>
        <w:fldChar w:fldCharType="separate"/>
      </w:r>
      <w:r>
        <w:rPr>
          <w:rFonts w:hint="eastAsia"/>
        </w:rPr>
        <w:t>四、商业保理</w:t>
      </w:r>
      <w:r>
        <w:tab/>
      </w:r>
      <w:r>
        <w:fldChar w:fldCharType="begin"/>
      </w:r>
      <w:r>
        <w:instrText xml:space="preserve"> PAGEREF _Toc30241 \h </w:instrText>
      </w:r>
      <w:r>
        <w:fldChar w:fldCharType="separate"/>
      </w:r>
      <w:r>
        <w:t>9</w:t>
      </w:r>
      <w:r>
        <w:fldChar w:fldCharType="end"/>
      </w:r>
      <w:r>
        <w:fldChar w:fldCharType="end"/>
      </w:r>
    </w:p>
    <w:p>
      <w:pPr>
        <w:pStyle w:val="11"/>
        <w:tabs>
          <w:tab w:val="right" w:leader="dot" w:pos="8306"/>
        </w:tabs>
      </w:pPr>
      <w:r>
        <w:fldChar w:fldCharType="begin"/>
      </w:r>
      <w:r>
        <w:instrText xml:space="preserve"> HYPERLINK \l "_Toc924" </w:instrText>
      </w:r>
      <w:r>
        <w:fldChar w:fldCharType="separate"/>
      </w:r>
      <w:r>
        <w:rPr>
          <w:rFonts w:hint="eastAsia"/>
        </w:rPr>
        <w:t>五、融资租赁</w:t>
      </w:r>
      <w:r>
        <w:tab/>
      </w:r>
      <w:r>
        <w:fldChar w:fldCharType="begin"/>
      </w:r>
      <w:r>
        <w:instrText xml:space="preserve"> PAGEREF _Toc924 \h </w:instrText>
      </w:r>
      <w:r>
        <w:fldChar w:fldCharType="separate"/>
      </w:r>
      <w:r>
        <w:t>10</w:t>
      </w:r>
      <w:r>
        <w:fldChar w:fldCharType="end"/>
      </w:r>
      <w:r>
        <w:fldChar w:fldCharType="end"/>
      </w:r>
    </w:p>
    <w:p>
      <w:pPr>
        <w:pStyle w:val="10"/>
        <w:tabs>
          <w:tab w:val="right" w:leader="dot" w:pos="8306"/>
        </w:tabs>
      </w:pPr>
      <w:r>
        <w:fldChar w:fldCharType="begin"/>
      </w:r>
      <w:r>
        <w:instrText xml:space="preserve"> HYPERLINK \l "_Toc16986" </w:instrText>
      </w:r>
      <w:r>
        <w:fldChar w:fldCharType="separate"/>
      </w:r>
      <w:r>
        <w:rPr>
          <w:rFonts w:hint="eastAsia"/>
        </w:rPr>
        <w:t>第二篇 金融知识</w:t>
      </w:r>
      <w:r>
        <w:tab/>
      </w:r>
      <w:r>
        <w:fldChar w:fldCharType="begin"/>
      </w:r>
      <w:r>
        <w:instrText xml:space="preserve"> PAGEREF _Toc16986 \h </w:instrText>
      </w:r>
      <w:r>
        <w:fldChar w:fldCharType="separate"/>
      </w:r>
      <w:r>
        <w:t>11</w:t>
      </w:r>
      <w:r>
        <w:fldChar w:fldCharType="end"/>
      </w:r>
      <w:r>
        <w:fldChar w:fldCharType="end"/>
      </w:r>
    </w:p>
    <w:p>
      <w:pPr>
        <w:pStyle w:val="11"/>
        <w:tabs>
          <w:tab w:val="right" w:leader="dot" w:pos="8306"/>
        </w:tabs>
      </w:pPr>
      <w:r>
        <w:fldChar w:fldCharType="begin"/>
      </w:r>
      <w:r>
        <w:instrText xml:space="preserve"> HYPERLINK \l "_Toc14915" </w:instrText>
      </w:r>
      <w:r>
        <w:fldChar w:fldCharType="separate"/>
      </w:r>
      <w:r>
        <w:rPr>
          <w:rFonts w:hint="eastAsia"/>
        </w:rPr>
        <w:t>一、证券公司</w:t>
      </w:r>
      <w:r>
        <w:tab/>
      </w:r>
      <w:r>
        <w:fldChar w:fldCharType="begin"/>
      </w:r>
      <w:r>
        <w:instrText xml:space="preserve"> PAGEREF _Toc14915 \h </w:instrText>
      </w:r>
      <w:r>
        <w:fldChar w:fldCharType="separate"/>
      </w:r>
      <w:r>
        <w:t>11</w:t>
      </w:r>
      <w:r>
        <w:fldChar w:fldCharType="end"/>
      </w:r>
      <w:r>
        <w:fldChar w:fldCharType="end"/>
      </w:r>
    </w:p>
    <w:p>
      <w:pPr>
        <w:pStyle w:val="11"/>
        <w:tabs>
          <w:tab w:val="right" w:leader="dot" w:pos="8306"/>
        </w:tabs>
      </w:pPr>
      <w:r>
        <w:fldChar w:fldCharType="begin"/>
      </w:r>
      <w:r>
        <w:instrText xml:space="preserve"> HYPERLINK \l "_Toc14604" </w:instrText>
      </w:r>
      <w:r>
        <w:fldChar w:fldCharType="separate"/>
      </w:r>
      <w:r>
        <w:rPr>
          <w:rFonts w:hint="eastAsia"/>
        </w:rPr>
        <w:t>二、证券交易场所和证券登记结算公司</w:t>
      </w:r>
      <w:r>
        <w:tab/>
      </w:r>
      <w:r>
        <w:fldChar w:fldCharType="begin"/>
      </w:r>
      <w:r>
        <w:instrText xml:space="preserve"> PAGEREF _Toc14604 \h </w:instrText>
      </w:r>
      <w:r>
        <w:fldChar w:fldCharType="separate"/>
      </w:r>
      <w:r>
        <w:t>12</w:t>
      </w:r>
      <w:r>
        <w:fldChar w:fldCharType="end"/>
      </w:r>
      <w:r>
        <w:fldChar w:fldCharType="end"/>
      </w:r>
    </w:p>
    <w:p>
      <w:pPr>
        <w:pStyle w:val="11"/>
        <w:tabs>
          <w:tab w:val="right" w:leader="dot" w:pos="8306"/>
        </w:tabs>
      </w:pPr>
      <w:r>
        <w:fldChar w:fldCharType="begin"/>
      </w:r>
      <w:r>
        <w:instrText xml:space="preserve"> HYPERLINK \l "_Toc16468" </w:instrText>
      </w:r>
      <w:r>
        <w:fldChar w:fldCharType="separate"/>
      </w:r>
      <w:r>
        <w:rPr>
          <w:rFonts w:hint="eastAsia"/>
        </w:rPr>
        <w:t>三、基金管理公司</w:t>
      </w:r>
      <w:r>
        <w:tab/>
      </w:r>
      <w:r>
        <w:fldChar w:fldCharType="begin"/>
      </w:r>
      <w:r>
        <w:instrText xml:space="preserve"> PAGEREF _Toc16468 \h </w:instrText>
      </w:r>
      <w:r>
        <w:fldChar w:fldCharType="separate"/>
      </w:r>
      <w:r>
        <w:t>12</w:t>
      </w:r>
      <w:r>
        <w:fldChar w:fldCharType="end"/>
      </w:r>
      <w:r>
        <w:fldChar w:fldCharType="end"/>
      </w:r>
    </w:p>
    <w:p>
      <w:pPr>
        <w:pStyle w:val="11"/>
        <w:tabs>
          <w:tab w:val="right" w:leader="dot" w:pos="8306"/>
        </w:tabs>
      </w:pPr>
      <w:r>
        <w:fldChar w:fldCharType="begin"/>
      </w:r>
      <w:r>
        <w:instrText xml:space="preserve"> HYPERLINK \l "_Toc14850" </w:instrText>
      </w:r>
      <w:r>
        <w:fldChar w:fldCharType="separate"/>
      </w:r>
      <w:r>
        <w:rPr>
          <w:rFonts w:hint="eastAsia"/>
        </w:rPr>
        <w:t>四、期货公司</w:t>
      </w:r>
      <w:r>
        <w:tab/>
      </w:r>
      <w:r>
        <w:fldChar w:fldCharType="begin"/>
      </w:r>
      <w:r>
        <w:instrText xml:space="preserve"> PAGEREF _Toc14850 \h </w:instrText>
      </w:r>
      <w:r>
        <w:fldChar w:fldCharType="separate"/>
      </w:r>
      <w:r>
        <w:t>13</w:t>
      </w:r>
      <w:r>
        <w:fldChar w:fldCharType="end"/>
      </w:r>
      <w:r>
        <w:fldChar w:fldCharType="end"/>
      </w:r>
    </w:p>
    <w:p>
      <w:pPr>
        <w:pStyle w:val="11"/>
        <w:tabs>
          <w:tab w:val="right" w:leader="dot" w:pos="8306"/>
        </w:tabs>
      </w:pPr>
      <w:r>
        <w:fldChar w:fldCharType="begin"/>
      </w:r>
      <w:r>
        <w:instrText xml:space="preserve"> HYPERLINK \l "_Toc3866" </w:instrText>
      </w:r>
      <w:r>
        <w:fldChar w:fldCharType="separate"/>
      </w:r>
      <w:r>
        <w:rPr>
          <w:rFonts w:hint="eastAsia"/>
        </w:rPr>
        <w:t>五、证券公司的金融服务</w:t>
      </w:r>
      <w:r>
        <w:tab/>
      </w:r>
      <w:r>
        <w:fldChar w:fldCharType="begin"/>
      </w:r>
      <w:r>
        <w:instrText xml:space="preserve"> PAGEREF _Toc3866 \h </w:instrText>
      </w:r>
      <w:r>
        <w:fldChar w:fldCharType="separate"/>
      </w:r>
      <w:r>
        <w:t>13</w:t>
      </w:r>
      <w:r>
        <w:fldChar w:fldCharType="end"/>
      </w:r>
      <w:r>
        <w:fldChar w:fldCharType="end"/>
      </w:r>
    </w:p>
    <w:p>
      <w:pPr>
        <w:pStyle w:val="11"/>
        <w:tabs>
          <w:tab w:val="right" w:leader="dot" w:pos="8306"/>
        </w:tabs>
      </w:pPr>
      <w:r>
        <w:fldChar w:fldCharType="begin"/>
      </w:r>
      <w:r>
        <w:instrText xml:space="preserve"> HYPERLINK \l "_Toc14170" </w:instrText>
      </w:r>
      <w:r>
        <w:fldChar w:fldCharType="separate"/>
      </w:r>
      <w:r>
        <w:rPr>
          <w:rFonts w:hint="eastAsia"/>
        </w:rPr>
        <w:t>六、证券经纪业务</w:t>
      </w:r>
      <w:r>
        <w:tab/>
      </w:r>
      <w:r>
        <w:fldChar w:fldCharType="begin"/>
      </w:r>
      <w:r>
        <w:instrText xml:space="preserve"> PAGEREF _Toc14170 \h </w:instrText>
      </w:r>
      <w:r>
        <w:fldChar w:fldCharType="separate"/>
      </w:r>
      <w:r>
        <w:t>14</w:t>
      </w:r>
      <w:r>
        <w:fldChar w:fldCharType="end"/>
      </w:r>
      <w:r>
        <w:fldChar w:fldCharType="end"/>
      </w:r>
    </w:p>
    <w:p>
      <w:pPr>
        <w:pStyle w:val="11"/>
        <w:tabs>
          <w:tab w:val="right" w:leader="dot" w:pos="8306"/>
        </w:tabs>
      </w:pPr>
      <w:r>
        <w:fldChar w:fldCharType="begin"/>
      </w:r>
      <w:r>
        <w:instrText xml:space="preserve"> HYPERLINK \l "_Toc15921" </w:instrText>
      </w:r>
      <w:r>
        <w:fldChar w:fldCharType="separate"/>
      </w:r>
      <w:r>
        <w:rPr>
          <w:rFonts w:hint="eastAsia"/>
        </w:rPr>
        <w:t>七、保荐与承销业务</w:t>
      </w:r>
      <w:r>
        <w:tab/>
      </w:r>
      <w:r>
        <w:fldChar w:fldCharType="begin"/>
      </w:r>
      <w:r>
        <w:instrText xml:space="preserve"> PAGEREF _Toc15921 \h </w:instrText>
      </w:r>
      <w:r>
        <w:fldChar w:fldCharType="separate"/>
      </w:r>
      <w:r>
        <w:t>14</w:t>
      </w:r>
      <w:r>
        <w:fldChar w:fldCharType="end"/>
      </w:r>
      <w:r>
        <w:fldChar w:fldCharType="end"/>
      </w:r>
    </w:p>
    <w:p>
      <w:pPr>
        <w:pStyle w:val="11"/>
        <w:tabs>
          <w:tab w:val="right" w:leader="dot" w:pos="8306"/>
        </w:tabs>
      </w:pPr>
      <w:r>
        <w:fldChar w:fldCharType="begin"/>
      </w:r>
      <w:r>
        <w:instrText xml:space="preserve"> HYPERLINK \l "_Toc2130" </w:instrText>
      </w:r>
      <w:r>
        <w:fldChar w:fldCharType="separate"/>
      </w:r>
      <w:r>
        <w:rPr>
          <w:rFonts w:hint="eastAsia"/>
        </w:rPr>
        <w:t>八、投资咨询业务</w:t>
      </w:r>
      <w:r>
        <w:tab/>
      </w:r>
      <w:r>
        <w:fldChar w:fldCharType="begin"/>
      </w:r>
      <w:r>
        <w:instrText xml:space="preserve"> PAGEREF _Toc2130 \h </w:instrText>
      </w:r>
      <w:r>
        <w:fldChar w:fldCharType="separate"/>
      </w:r>
      <w:r>
        <w:t>14</w:t>
      </w:r>
      <w:r>
        <w:fldChar w:fldCharType="end"/>
      </w:r>
      <w:r>
        <w:fldChar w:fldCharType="end"/>
      </w:r>
    </w:p>
    <w:p>
      <w:pPr>
        <w:pStyle w:val="11"/>
        <w:tabs>
          <w:tab w:val="right" w:leader="dot" w:pos="8306"/>
        </w:tabs>
      </w:pPr>
      <w:r>
        <w:fldChar w:fldCharType="begin"/>
      </w:r>
      <w:r>
        <w:instrText xml:space="preserve"> HYPERLINK \l "_Toc13742" </w:instrText>
      </w:r>
      <w:r>
        <w:fldChar w:fldCharType="separate"/>
      </w:r>
      <w:r>
        <w:rPr>
          <w:rFonts w:hint="eastAsia"/>
        </w:rPr>
        <w:t>九、资产管理业务</w:t>
      </w:r>
      <w:r>
        <w:tab/>
      </w:r>
      <w:r>
        <w:fldChar w:fldCharType="begin"/>
      </w:r>
      <w:r>
        <w:instrText xml:space="preserve"> PAGEREF _Toc13742 \h </w:instrText>
      </w:r>
      <w:r>
        <w:fldChar w:fldCharType="separate"/>
      </w:r>
      <w:r>
        <w:t>15</w:t>
      </w:r>
      <w:r>
        <w:fldChar w:fldCharType="end"/>
      </w:r>
      <w:r>
        <w:fldChar w:fldCharType="end"/>
      </w:r>
    </w:p>
    <w:p>
      <w:pPr>
        <w:pStyle w:val="11"/>
        <w:tabs>
          <w:tab w:val="right" w:leader="dot" w:pos="8306"/>
        </w:tabs>
      </w:pPr>
      <w:r>
        <w:fldChar w:fldCharType="begin"/>
      </w:r>
      <w:r>
        <w:instrText xml:space="preserve"> HYPERLINK \l "_Toc21329" </w:instrText>
      </w:r>
      <w:r>
        <w:fldChar w:fldCharType="separate"/>
      </w:r>
      <w:r>
        <w:rPr>
          <w:rFonts w:hint="eastAsia"/>
        </w:rPr>
        <w:t>十、财务顾问业务</w:t>
      </w:r>
      <w:r>
        <w:tab/>
      </w:r>
      <w:r>
        <w:fldChar w:fldCharType="begin"/>
      </w:r>
      <w:r>
        <w:instrText xml:space="preserve"> PAGEREF _Toc21329 \h </w:instrText>
      </w:r>
      <w:r>
        <w:fldChar w:fldCharType="separate"/>
      </w:r>
      <w:r>
        <w:t>15</w:t>
      </w:r>
      <w:r>
        <w:fldChar w:fldCharType="end"/>
      </w:r>
      <w:r>
        <w:fldChar w:fldCharType="end"/>
      </w:r>
    </w:p>
    <w:p>
      <w:pPr>
        <w:pStyle w:val="11"/>
        <w:tabs>
          <w:tab w:val="right" w:leader="dot" w:pos="8306"/>
        </w:tabs>
      </w:pPr>
      <w:r>
        <w:fldChar w:fldCharType="begin"/>
      </w:r>
      <w:r>
        <w:instrText xml:space="preserve"> HYPERLINK \l "_Toc28273" </w:instrText>
      </w:r>
      <w:r>
        <w:fldChar w:fldCharType="separate"/>
      </w:r>
      <w:r>
        <w:rPr>
          <w:rFonts w:hint="eastAsia"/>
        </w:rPr>
        <w:t>十一、创新业务</w:t>
      </w:r>
      <w:r>
        <w:tab/>
      </w:r>
      <w:r>
        <w:fldChar w:fldCharType="begin"/>
      </w:r>
      <w:r>
        <w:instrText xml:space="preserve"> PAGEREF _Toc28273 \h </w:instrText>
      </w:r>
      <w:r>
        <w:fldChar w:fldCharType="separate"/>
      </w:r>
      <w:r>
        <w:t>16</w:t>
      </w:r>
      <w:r>
        <w:fldChar w:fldCharType="end"/>
      </w:r>
      <w:r>
        <w:fldChar w:fldCharType="end"/>
      </w:r>
    </w:p>
    <w:p>
      <w:pPr>
        <w:pStyle w:val="11"/>
        <w:tabs>
          <w:tab w:val="right" w:leader="dot" w:pos="8306"/>
        </w:tabs>
      </w:pPr>
      <w:r>
        <w:fldChar w:fldCharType="begin"/>
      </w:r>
      <w:r>
        <w:instrText xml:space="preserve"> HYPERLINK \l "_Toc20839" </w:instrText>
      </w:r>
      <w:r>
        <w:fldChar w:fldCharType="separate"/>
      </w:r>
      <w:r>
        <w:rPr>
          <w:rFonts w:hint="eastAsia"/>
        </w:rPr>
        <w:t>十二、基金管理公司及私募基金的金融服务</w:t>
      </w:r>
      <w:r>
        <w:tab/>
      </w:r>
      <w:r>
        <w:fldChar w:fldCharType="begin"/>
      </w:r>
      <w:r>
        <w:instrText xml:space="preserve"> PAGEREF _Toc20839 \h </w:instrText>
      </w:r>
      <w:r>
        <w:fldChar w:fldCharType="separate"/>
      </w:r>
      <w:r>
        <w:t>16</w:t>
      </w:r>
      <w:r>
        <w:fldChar w:fldCharType="end"/>
      </w:r>
      <w:r>
        <w:fldChar w:fldCharType="end"/>
      </w:r>
    </w:p>
    <w:p>
      <w:pPr>
        <w:pStyle w:val="11"/>
        <w:tabs>
          <w:tab w:val="right" w:leader="dot" w:pos="8306"/>
        </w:tabs>
      </w:pPr>
      <w:r>
        <w:fldChar w:fldCharType="begin"/>
      </w:r>
      <w:r>
        <w:instrText xml:space="preserve"> HYPERLINK \l "_Toc6713" </w:instrText>
      </w:r>
      <w:r>
        <w:fldChar w:fldCharType="separate"/>
      </w:r>
      <w:r>
        <w:rPr>
          <w:rFonts w:hint="eastAsia"/>
        </w:rPr>
        <w:t>十三、QDII业务</w:t>
      </w:r>
      <w:r>
        <w:tab/>
      </w:r>
      <w:r>
        <w:fldChar w:fldCharType="begin"/>
      </w:r>
      <w:r>
        <w:instrText xml:space="preserve"> PAGEREF _Toc6713 \h </w:instrText>
      </w:r>
      <w:r>
        <w:fldChar w:fldCharType="separate"/>
      </w:r>
      <w:r>
        <w:t>17</w:t>
      </w:r>
      <w:r>
        <w:fldChar w:fldCharType="end"/>
      </w:r>
      <w:r>
        <w:fldChar w:fldCharType="end"/>
      </w:r>
    </w:p>
    <w:p>
      <w:pPr>
        <w:pStyle w:val="11"/>
        <w:tabs>
          <w:tab w:val="right" w:leader="dot" w:pos="8306"/>
        </w:tabs>
      </w:pPr>
      <w:r>
        <w:fldChar w:fldCharType="begin"/>
      </w:r>
      <w:r>
        <w:instrText xml:space="preserve"> HYPERLINK \l "_Toc32406" </w:instrText>
      </w:r>
      <w:r>
        <w:fldChar w:fldCharType="separate"/>
      </w:r>
      <w:r>
        <w:rPr>
          <w:rFonts w:hint="eastAsia"/>
        </w:rPr>
        <w:t>十四、期货公司的金融服务</w:t>
      </w:r>
      <w:r>
        <w:tab/>
      </w:r>
      <w:r>
        <w:fldChar w:fldCharType="begin"/>
      </w:r>
      <w:r>
        <w:instrText xml:space="preserve"> PAGEREF _Toc32406 \h </w:instrText>
      </w:r>
      <w:r>
        <w:fldChar w:fldCharType="separate"/>
      </w:r>
      <w:r>
        <w:t>18</w:t>
      </w:r>
      <w:r>
        <w:fldChar w:fldCharType="end"/>
      </w:r>
      <w:r>
        <w:fldChar w:fldCharType="end"/>
      </w:r>
    </w:p>
    <w:p>
      <w:pPr>
        <w:pStyle w:val="11"/>
        <w:tabs>
          <w:tab w:val="right" w:leader="dot" w:pos="8306"/>
        </w:tabs>
      </w:pPr>
      <w:r>
        <w:fldChar w:fldCharType="begin"/>
      </w:r>
      <w:r>
        <w:instrText xml:space="preserve"> HYPERLINK \l "_Toc6453" </w:instrText>
      </w:r>
      <w:r>
        <w:fldChar w:fldCharType="separate"/>
      </w:r>
      <w:r>
        <w:rPr>
          <w:rFonts w:hint="eastAsia"/>
        </w:rPr>
        <w:t>十五、多层次资本市场</w:t>
      </w:r>
      <w:r>
        <w:tab/>
      </w:r>
      <w:r>
        <w:fldChar w:fldCharType="begin"/>
      </w:r>
      <w:r>
        <w:instrText xml:space="preserve"> PAGEREF _Toc6453 \h </w:instrText>
      </w:r>
      <w:r>
        <w:fldChar w:fldCharType="separate"/>
      </w:r>
      <w:r>
        <w:t>20</w:t>
      </w:r>
      <w:r>
        <w:fldChar w:fldCharType="end"/>
      </w:r>
      <w:r>
        <w:fldChar w:fldCharType="end"/>
      </w:r>
    </w:p>
    <w:p>
      <w:pPr>
        <w:pStyle w:val="11"/>
        <w:tabs>
          <w:tab w:val="right" w:leader="dot" w:pos="8306"/>
        </w:tabs>
      </w:pPr>
      <w:r>
        <w:fldChar w:fldCharType="begin"/>
      </w:r>
      <w:r>
        <w:instrText xml:space="preserve"> HYPERLINK \l "_Toc9636" </w:instrText>
      </w:r>
      <w:r>
        <w:fldChar w:fldCharType="separate"/>
      </w:r>
      <w:r>
        <w:rPr>
          <w:rFonts w:hint="eastAsia"/>
        </w:rPr>
        <w:t>十六、首次公开发行(IPO)</w:t>
      </w:r>
      <w:r>
        <w:tab/>
      </w:r>
      <w:r>
        <w:fldChar w:fldCharType="begin"/>
      </w:r>
      <w:r>
        <w:instrText xml:space="preserve"> PAGEREF _Toc9636 \h </w:instrText>
      </w:r>
      <w:r>
        <w:fldChar w:fldCharType="separate"/>
      </w:r>
      <w:r>
        <w:t>21</w:t>
      </w:r>
      <w:r>
        <w:fldChar w:fldCharType="end"/>
      </w:r>
      <w:r>
        <w:fldChar w:fldCharType="end"/>
      </w:r>
    </w:p>
    <w:p>
      <w:pPr>
        <w:pStyle w:val="11"/>
        <w:tabs>
          <w:tab w:val="right" w:leader="dot" w:pos="8306"/>
        </w:tabs>
      </w:pPr>
      <w:r>
        <w:fldChar w:fldCharType="begin"/>
      </w:r>
      <w:r>
        <w:instrText xml:space="preserve"> HYPERLINK \l "_Toc4382" </w:instrText>
      </w:r>
      <w:r>
        <w:fldChar w:fldCharType="separate"/>
      </w:r>
      <w:r>
        <w:rPr>
          <w:rFonts w:hint="eastAsia"/>
        </w:rPr>
        <w:t>十七、融资担保公司</w:t>
      </w:r>
      <w:r>
        <w:tab/>
      </w:r>
      <w:r>
        <w:fldChar w:fldCharType="begin"/>
      </w:r>
      <w:r>
        <w:instrText xml:space="preserve"> PAGEREF _Toc4382 \h </w:instrText>
      </w:r>
      <w:r>
        <w:fldChar w:fldCharType="separate"/>
      </w:r>
      <w:r>
        <w:t>22</w:t>
      </w:r>
      <w:r>
        <w:fldChar w:fldCharType="end"/>
      </w:r>
      <w:r>
        <w:fldChar w:fldCharType="end"/>
      </w:r>
    </w:p>
    <w:p>
      <w:pPr>
        <w:pStyle w:val="11"/>
        <w:tabs>
          <w:tab w:val="right" w:leader="dot" w:pos="8306"/>
        </w:tabs>
      </w:pPr>
      <w:r>
        <w:fldChar w:fldCharType="begin"/>
      </w:r>
      <w:r>
        <w:instrText xml:space="preserve"> HYPERLINK \l "_Toc27469" </w:instrText>
      </w:r>
      <w:r>
        <w:fldChar w:fldCharType="separate"/>
      </w:r>
      <w:r>
        <w:rPr>
          <w:rFonts w:hint="eastAsia"/>
        </w:rPr>
        <w:t>十八、小额贷款公司</w:t>
      </w:r>
      <w:r>
        <w:tab/>
      </w:r>
      <w:r>
        <w:fldChar w:fldCharType="begin"/>
      </w:r>
      <w:r>
        <w:instrText xml:space="preserve"> PAGEREF _Toc27469 \h </w:instrText>
      </w:r>
      <w:r>
        <w:fldChar w:fldCharType="separate"/>
      </w:r>
      <w:r>
        <w:t>22</w:t>
      </w:r>
      <w:r>
        <w:fldChar w:fldCharType="end"/>
      </w:r>
      <w:r>
        <w:fldChar w:fldCharType="end"/>
      </w:r>
    </w:p>
    <w:p>
      <w:pPr>
        <w:pStyle w:val="11"/>
        <w:tabs>
          <w:tab w:val="right" w:leader="dot" w:pos="8306"/>
        </w:tabs>
      </w:pPr>
      <w:r>
        <w:fldChar w:fldCharType="begin"/>
      </w:r>
      <w:r>
        <w:instrText xml:space="preserve"> HYPERLINK \l "_Toc23071" </w:instrText>
      </w:r>
      <w:r>
        <w:fldChar w:fldCharType="separate"/>
      </w:r>
      <w:r>
        <w:rPr>
          <w:rFonts w:hint="eastAsia"/>
        </w:rPr>
        <w:t>十九、典当行</w:t>
      </w:r>
      <w:r>
        <w:tab/>
      </w:r>
      <w:r>
        <w:fldChar w:fldCharType="begin"/>
      </w:r>
      <w:r>
        <w:instrText xml:space="preserve"> PAGEREF _Toc23071 \h </w:instrText>
      </w:r>
      <w:r>
        <w:fldChar w:fldCharType="separate"/>
      </w:r>
      <w:r>
        <w:t>22</w:t>
      </w:r>
      <w:r>
        <w:fldChar w:fldCharType="end"/>
      </w:r>
      <w:r>
        <w:fldChar w:fldCharType="end"/>
      </w:r>
    </w:p>
    <w:p>
      <w:pPr>
        <w:pStyle w:val="11"/>
        <w:tabs>
          <w:tab w:val="right" w:leader="dot" w:pos="8306"/>
        </w:tabs>
      </w:pPr>
      <w:r>
        <w:fldChar w:fldCharType="begin"/>
      </w:r>
      <w:r>
        <w:instrText xml:space="preserve"> HYPERLINK \l "_Toc23546" </w:instrText>
      </w:r>
      <w:r>
        <w:fldChar w:fldCharType="separate"/>
      </w:r>
      <w:r>
        <w:rPr>
          <w:rFonts w:hint="eastAsia"/>
        </w:rPr>
        <w:t>二十、商业保理</w:t>
      </w:r>
      <w:r>
        <w:tab/>
      </w:r>
      <w:r>
        <w:fldChar w:fldCharType="begin"/>
      </w:r>
      <w:r>
        <w:instrText xml:space="preserve"> PAGEREF _Toc23546 \h </w:instrText>
      </w:r>
      <w:r>
        <w:fldChar w:fldCharType="separate"/>
      </w:r>
      <w:r>
        <w:t>22</w:t>
      </w:r>
      <w:r>
        <w:fldChar w:fldCharType="end"/>
      </w:r>
      <w:r>
        <w:fldChar w:fldCharType="end"/>
      </w:r>
    </w:p>
    <w:p>
      <w:pPr>
        <w:pStyle w:val="11"/>
        <w:tabs>
          <w:tab w:val="right" w:leader="dot" w:pos="8306"/>
        </w:tabs>
      </w:pPr>
      <w:r>
        <w:fldChar w:fldCharType="begin"/>
      </w:r>
      <w:r>
        <w:instrText xml:space="preserve"> HYPERLINK \l "_Toc22559" </w:instrText>
      </w:r>
      <w:r>
        <w:fldChar w:fldCharType="separate"/>
      </w:r>
      <w:r>
        <w:rPr>
          <w:rFonts w:hint="eastAsia"/>
        </w:rPr>
        <w:t>二十一、融资租赁</w:t>
      </w:r>
      <w:r>
        <w:tab/>
      </w:r>
      <w:r>
        <w:fldChar w:fldCharType="begin"/>
      </w:r>
      <w:r>
        <w:instrText xml:space="preserve"> PAGEREF _Toc22559 \h </w:instrText>
      </w:r>
      <w:r>
        <w:fldChar w:fldCharType="separate"/>
      </w:r>
      <w:r>
        <w:t>23</w:t>
      </w:r>
      <w:r>
        <w:fldChar w:fldCharType="end"/>
      </w:r>
      <w:r>
        <w:fldChar w:fldCharType="end"/>
      </w:r>
    </w:p>
    <w:p>
      <w:pPr>
        <w:pStyle w:val="10"/>
        <w:tabs>
          <w:tab w:val="right" w:leader="dot" w:pos="8306"/>
        </w:tabs>
      </w:pPr>
      <w:r>
        <w:fldChar w:fldCharType="begin"/>
      </w:r>
      <w:r>
        <w:instrText xml:space="preserve"> HYPERLINK \l "_Toc22656" </w:instrText>
      </w:r>
      <w:r>
        <w:fldChar w:fldCharType="separate"/>
      </w:r>
      <w:r>
        <w:rPr>
          <w:rFonts w:hint="eastAsia"/>
        </w:rPr>
        <w:t>第三篇 金融政策</w:t>
      </w:r>
      <w:r>
        <w:tab/>
      </w:r>
      <w:r>
        <w:fldChar w:fldCharType="begin"/>
      </w:r>
      <w:r>
        <w:instrText xml:space="preserve"> PAGEREF _Toc22656 \h </w:instrText>
      </w:r>
      <w:r>
        <w:fldChar w:fldCharType="separate"/>
      </w:r>
      <w:r>
        <w:t>24</w:t>
      </w:r>
      <w:r>
        <w:fldChar w:fldCharType="end"/>
      </w:r>
      <w:r>
        <w:fldChar w:fldCharType="end"/>
      </w:r>
    </w:p>
    <w:p>
      <w:pPr>
        <w:pStyle w:val="11"/>
        <w:tabs>
          <w:tab w:val="right" w:leader="dot" w:pos="8306"/>
        </w:tabs>
      </w:pPr>
      <w:r>
        <w:fldChar w:fldCharType="begin"/>
      </w:r>
      <w:r>
        <w:instrText xml:space="preserve"> HYPERLINK \l "_Toc19231" </w:instrText>
      </w:r>
      <w:r>
        <w:fldChar w:fldCharType="separate"/>
      </w:r>
      <w:r>
        <w:rPr>
          <w:rFonts w:hint="eastAsia"/>
          <w:szCs w:val="44"/>
        </w:rPr>
        <w:t>一、南阳市促进私募股权投资基金发展奖励办法（试行）</w:t>
      </w:r>
      <w:r>
        <w:tab/>
      </w:r>
      <w:r>
        <w:fldChar w:fldCharType="begin"/>
      </w:r>
      <w:r>
        <w:instrText xml:space="preserve"> PAGEREF _Toc19231 \h </w:instrText>
      </w:r>
      <w:r>
        <w:fldChar w:fldCharType="separate"/>
      </w:r>
      <w:r>
        <w:t>24</w:t>
      </w:r>
      <w:r>
        <w:fldChar w:fldCharType="end"/>
      </w:r>
      <w:r>
        <w:fldChar w:fldCharType="end"/>
      </w:r>
    </w:p>
    <w:p>
      <w:pPr>
        <w:pStyle w:val="11"/>
        <w:tabs>
          <w:tab w:val="right" w:leader="dot" w:pos="8306"/>
        </w:tabs>
      </w:pPr>
      <w:r>
        <w:fldChar w:fldCharType="begin"/>
      </w:r>
      <w:r>
        <w:instrText xml:space="preserve"> HYPERLINK \l "_Toc24935" </w:instrText>
      </w:r>
      <w:r>
        <w:fldChar w:fldCharType="separate"/>
      </w:r>
      <w:r>
        <w:rPr>
          <w:rFonts w:hint="eastAsia"/>
          <w:szCs w:val="44"/>
        </w:rPr>
        <w:t>二、南阳市企业上市三年倍增行动实施方案</w:t>
      </w:r>
      <w:r>
        <w:tab/>
      </w:r>
      <w:r>
        <w:fldChar w:fldCharType="begin"/>
      </w:r>
      <w:r>
        <w:instrText xml:space="preserve"> PAGEREF _Toc24935 \h </w:instrText>
      </w:r>
      <w:r>
        <w:fldChar w:fldCharType="separate"/>
      </w:r>
      <w:r>
        <w:t>28</w:t>
      </w:r>
      <w:r>
        <w:fldChar w:fldCharType="end"/>
      </w:r>
      <w:r>
        <w:fldChar w:fldCharType="end"/>
      </w:r>
    </w:p>
    <w:p>
      <w:pPr>
        <w:pStyle w:val="11"/>
        <w:tabs>
          <w:tab w:val="right" w:leader="dot" w:pos="8306"/>
        </w:tabs>
      </w:pPr>
      <w:r>
        <w:fldChar w:fldCharType="begin"/>
      </w:r>
      <w:r>
        <w:instrText xml:space="preserve"> HYPERLINK \l "_Toc14288" </w:instrText>
      </w:r>
      <w:r>
        <w:fldChar w:fldCharType="separate"/>
      </w:r>
      <w:r>
        <w:rPr>
          <w:rFonts w:hint="eastAsia"/>
          <w:szCs w:val="44"/>
        </w:rPr>
        <w:t>三、南阳市企业上市挂牌“绿色通道”实施办法</w:t>
      </w:r>
      <w:r>
        <w:tab/>
      </w:r>
      <w:r>
        <w:fldChar w:fldCharType="begin"/>
      </w:r>
      <w:r>
        <w:instrText xml:space="preserve"> PAGEREF _Toc14288 \h </w:instrText>
      </w:r>
      <w:r>
        <w:fldChar w:fldCharType="separate"/>
      </w:r>
      <w:r>
        <w:t>37</w:t>
      </w:r>
      <w:r>
        <w:fldChar w:fldCharType="end"/>
      </w:r>
      <w:r>
        <w:fldChar w:fldCharType="end"/>
      </w:r>
    </w:p>
    <w:p>
      <w:pPr>
        <w:pStyle w:val="11"/>
        <w:tabs>
          <w:tab w:val="right" w:leader="dot" w:pos="8306"/>
        </w:tabs>
      </w:pPr>
      <w:r>
        <w:fldChar w:fldCharType="begin"/>
      </w:r>
      <w:r>
        <w:instrText xml:space="preserve"> HYPERLINK \l "_Toc32197" </w:instrText>
      </w:r>
      <w:r>
        <w:fldChar w:fldCharType="separate"/>
      </w:r>
      <w:r>
        <w:rPr>
          <w:rFonts w:hint="eastAsia"/>
          <w:szCs w:val="44"/>
        </w:rPr>
        <w:t>四、防范和处置非法集资条例</w:t>
      </w:r>
      <w:r>
        <w:tab/>
      </w:r>
      <w:r>
        <w:fldChar w:fldCharType="begin"/>
      </w:r>
      <w:r>
        <w:instrText xml:space="preserve"> PAGEREF _Toc32197 \h </w:instrText>
      </w:r>
      <w:r>
        <w:fldChar w:fldCharType="separate"/>
      </w:r>
      <w:r>
        <w:t>45</w:t>
      </w:r>
      <w:r>
        <w:fldChar w:fldCharType="end"/>
      </w:r>
      <w:r>
        <w:fldChar w:fldCharType="end"/>
      </w:r>
    </w:p>
    <w:p>
      <w:pPr>
        <w:pStyle w:val="11"/>
        <w:tabs>
          <w:tab w:val="right" w:leader="dot" w:pos="8306"/>
        </w:tabs>
      </w:pPr>
      <w:r>
        <w:fldChar w:fldCharType="begin"/>
      </w:r>
      <w:r>
        <w:instrText xml:space="preserve"> HYPERLINK \l "_Toc20874" </w:instrText>
      </w:r>
      <w:r>
        <w:fldChar w:fldCharType="separate"/>
      </w:r>
      <w:r>
        <w:rPr>
          <w:rFonts w:hint="eastAsia"/>
          <w:szCs w:val="44"/>
        </w:rPr>
        <w:t>五、融资担保公司监督管理条例</w:t>
      </w:r>
      <w:r>
        <w:tab/>
      </w:r>
      <w:r>
        <w:fldChar w:fldCharType="begin"/>
      </w:r>
      <w:r>
        <w:instrText xml:space="preserve"> PAGEREF _Toc20874 \h </w:instrText>
      </w:r>
      <w:r>
        <w:fldChar w:fldCharType="separate"/>
      </w:r>
      <w:r>
        <w:t>58</w:t>
      </w:r>
      <w:r>
        <w:fldChar w:fldCharType="end"/>
      </w:r>
      <w:r>
        <w:fldChar w:fldCharType="end"/>
      </w:r>
    </w:p>
    <w:p>
      <w:pPr>
        <w:pStyle w:val="11"/>
        <w:tabs>
          <w:tab w:val="right" w:leader="dot" w:pos="8306"/>
        </w:tabs>
      </w:pPr>
      <w:r>
        <w:fldChar w:fldCharType="begin"/>
      </w:r>
      <w:r>
        <w:instrText xml:space="preserve"> HYPERLINK \l "_Toc8637" </w:instrText>
      </w:r>
      <w:r>
        <w:fldChar w:fldCharType="separate"/>
      </w:r>
      <w:r>
        <w:rPr>
          <w:rFonts w:asciiTheme="majorHAnsi" w:hAnsiTheme="majorHAnsi" w:eastAsiaTheme="majorEastAsia"/>
          <w:bCs/>
          <w:spacing w:val="-20"/>
          <w:szCs w:val="44"/>
        </w:rPr>
        <w:t>六、融资担保公司监督管理条例四项配套制度</w:t>
      </w:r>
      <w:r>
        <w:tab/>
      </w:r>
      <w:r>
        <w:fldChar w:fldCharType="begin"/>
      </w:r>
      <w:r>
        <w:instrText xml:space="preserve"> PAGEREF _Toc8637 \h </w:instrText>
      </w:r>
      <w:r>
        <w:fldChar w:fldCharType="separate"/>
      </w:r>
      <w:r>
        <w:t>76</w:t>
      </w:r>
      <w:r>
        <w:fldChar w:fldCharType="end"/>
      </w:r>
      <w:r>
        <w:fldChar w:fldCharType="end"/>
      </w:r>
    </w:p>
    <w:p>
      <w:pPr>
        <w:pStyle w:val="11"/>
        <w:tabs>
          <w:tab w:val="right" w:leader="dot" w:pos="8306"/>
        </w:tabs>
      </w:pPr>
      <w:r>
        <w:fldChar w:fldCharType="begin"/>
      </w:r>
      <w:r>
        <w:instrText xml:space="preserve"> HYPERLINK \l "_Toc22859" </w:instrText>
      </w:r>
      <w:r>
        <w:fldChar w:fldCharType="separate"/>
      </w:r>
      <w:r>
        <w:rPr>
          <w:rFonts w:hint="eastAsia"/>
          <w:szCs w:val="44"/>
        </w:rPr>
        <w:t>七、河南省融资担保公司变更审批工作指引</w:t>
      </w:r>
      <w:r>
        <w:tab/>
      </w:r>
      <w:r>
        <w:fldChar w:fldCharType="begin"/>
      </w:r>
      <w:r>
        <w:instrText xml:space="preserve"> PAGEREF _Toc22859 \h </w:instrText>
      </w:r>
      <w:r>
        <w:fldChar w:fldCharType="separate"/>
      </w:r>
      <w:r>
        <w:t>98</w:t>
      </w:r>
      <w:r>
        <w:fldChar w:fldCharType="end"/>
      </w:r>
      <w:r>
        <w:fldChar w:fldCharType="end"/>
      </w:r>
    </w:p>
    <w:p>
      <w:pPr>
        <w:pStyle w:val="11"/>
        <w:tabs>
          <w:tab w:val="right" w:leader="dot" w:pos="8306"/>
        </w:tabs>
      </w:pPr>
      <w:r>
        <w:fldChar w:fldCharType="begin"/>
      </w:r>
      <w:r>
        <w:instrText xml:space="preserve"> HYPERLINK \l "_Toc23067" </w:instrText>
      </w:r>
      <w:r>
        <w:fldChar w:fldCharType="separate"/>
      </w:r>
      <w:r>
        <w:rPr>
          <w:rFonts w:hint="eastAsia"/>
          <w:szCs w:val="44"/>
        </w:rPr>
        <w:t>八、河南省融资担保公司设立审批工作指引</w:t>
      </w:r>
      <w:r>
        <w:tab/>
      </w:r>
      <w:r>
        <w:fldChar w:fldCharType="begin"/>
      </w:r>
      <w:r>
        <w:instrText xml:space="preserve"> PAGEREF _Toc23067 \h </w:instrText>
      </w:r>
      <w:r>
        <w:fldChar w:fldCharType="separate"/>
      </w:r>
      <w:r>
        <w:t>106</w:t>
      </w:r>
      <w:r>
        <w:fldChar w:fldCharType="end"/>
      </w:r>
      <w:r>
        <w:fldChar w:fldCharType="end"/>
      </w:r>
    </w:p>
    <w:p>
      <w:pPr>
        <w:pStyle w:val="11"/>
        <w:tabs>
          <w:tab w:val="right" w:leader="dot" w:pos="8306"/>
        </w:tabs>
      </w:pPr>
      <w:r>
        <w:fldChar w:fldCharType="begin"/>
      </w:r>
      <w:r>
        <w:instrText xml:space="preserve"> HYPERLINK \l "_Toc16749" </w:instrText>
      </w:r>
      <w:r>
        <w:fldChar w:fldCharType="separate"/>
      </w:r>
      <w:r>
        <w:rPr>
          <w:rFonts w:hint="eastAsia"/>
          <w:szCs w:val="44"/>
        </w:rPr>
        <w:t>九、省外融资担保公司在河南省设立分支机构审批工作指引</w:t>
      </w:r>
      <w:r>
        <w:tab/>
      </w:r>
      <w:r>
        <w:fldChar w:fldCharType="begin"/>
      </w:r>
      <w:r>
        <w:instrText xml:space="preserve"> PAGEREF _Toc16749 \h </w:instrText>
      </w:r>
      <w:r>
        <w:fldChar w:fldCharType="separate"/>
      </w:r>
      <w:r>
        <w:t>115</w:t>
      </w:r>
      <w:r>
        <w:fldChar w:fldCharType="end"/>
      </w:r>
      <w:r>
        <w:fldChar w:fldCharType="end"/>
      </w:r>
    </w:p>
    <w:p>
      <w:pPr>
        <w:pStyle w:val="11"/>
        <w:tabs>
          <w:tab w:val="right" w:leader="dot" w:pos="8306"/>
        </w:tabs>
      </w:pPr>
      <w:r>
        <w:fldChar w:fldCharType="begin"/>
      </w:r>
      <w:r>
        <w:instrText xml:space="preserve"> HYPERLINK \l "_Toc28069" </w:instrText>
      </w:r>
      <w:r>
        <w:fldChar w:fldCharType="separate"/>
      </w:r>
      <w:r>
        <w:rPr>
          <w:rFonts w:asciiTheme="majorHAnsi" w:hAnsiTheme="majorHAnsi" w:eastAsiaTheme="majorEastAsia"/>
          <w:bCs/>
          <w:spacing w:val="-20"/>
          <w:szCs w:val="44"/>
        </w:rPr>
        <w:t>十、河南省人民政府金融服务办公室关于融资担保公司和小额贷款公司退出问题的通知</w:t>
      </w:r>
      <w:r>
        <w:tab/>
      </w:r>
      <w:r>
        <w:fldChar w:fldCharType="begin"/>
      </w:r>
      <w:r>
        <w:instrText xml:space="preserve"> PAGEREF _Toc28069 \h </w:instrText>
      </w:r>
      <w:r>
        <w:fldChar w:fldCharType="separate"/>
      </w:r>
      <w:r>
        <w:t>119</w:t>
      </w:r>
      <w:r>
        <w:fldChar w:fldCharType="end"/>
      </w:r>
      <w:r>
        <w:fldChar w:fldCharType="end"/>
      </w:r>
    </w:p>
    <w:p>
      <w:pPr>
        <w:pStyle w:val="11"/>
        <w:tabs>
          <w:tab w:val="right" w:leader="dot" w:pos="8306"/>
        </w:tabs>
      </w:pPr>
      <w:r>
        <w:fldChar w:fldCharType="begin"/>
      </w:r>
      <w:r>
        <w:instrText xml:space="preserve"> HYPERLINK \l "_Toc9254" </w:instrText>
      </w:r>
      <w:r>
        <w:fldChar w:fldCharType="separate"/>
      </w:r>
      <w:r>
        <w:rPr>
          <w:rFonts w:hint="eastAsia"/>
          <w:szCs w:val="44"/>
        </w:rPr>
        <w:t>十一、河南省融资性担保公司年审办法</w:t>
      </w:r>
      <w:r>
        <w:tab/>
      </w:r>
      <w:r>
        <w:fldChar w:fldCharType="begin"/>
      </w:r>
      <w:r>
        <w:instrText xml:space="preserve"> PAGEREF _Toc9254 \h </w:instrText>
      </w:r>
      <w:r>
        <w:fldChar w:fldCharType="separate"/>
      </w:r>
      <w:r>
        <w:t>128</w:t>
      </w:r>
      <w:r>
        <w:fldChar w:fldCharType="end"/>
      </w:r>
      <w:r>
        <w:fldChar w:fldCharType="end"/>
      </w:r>
    </w:p>
    <w:p>
      <w:pPr>
        <w:pStyle w:val="11"/>
        <w:tabs>
          <w:tab w:val="right" w:leader="dot" w:pos="8306"/>
        </w:tabs>
      </w:pPr>
      <w:r>
        <w:fldChar w:fldCharType="begin"/>
      </w:r>
      <w:r>
        <w:instrText xml:space="preserve"> HYPERLINK \l "_Toc27158" </w:instrText>
      </w:r>
      <w:r>
        <w:fldChar w:fldCharType="separate"/>
      </w:r>
      <w:r>
        <w:rPr>
          <w:rFonts w:hint="eastAsia"/>
          <w:szCs w:val="44"/>
        </w:rPr>
        <w:t>十二、南阳市人民政府办公室关于进一步加强政府性融资担保体系建设支持小微企业和“三农”发展的实施意见</w:t>
      </w:r>
      <w:r>
        <w:tab/>
      </w:r>
      <w:r>
        <w:fldChar w:fldCharType="begin"/>
      </w:r>
      <w:r>
        <w:instrText xml:space="preserve"> PAGEREF _Toc27158 \h </w:instrText>
      </w:r>
      <w:r>
        <w:fldChar w:fldCharType="separate"/>
      </w:r>
      <w:r>
        <w:t>140</w:t>
      </w:r>
      <w:r>
        <w:fldChar w:fldCharType="end"/>
      </w:r>
      <w:r>
        <w:fldChar w:fldCharType="end"/>
      </w:r>
    </w:p>
    <w:p>
      <w:pPr>
        <w:pStyle w:val="11"/>
        <w:tabs>
          <w:tab w:val="right" w:leader="dot" w:pos="8306"/>
        </w:tabs>
      </w:pPr>
      <w:r>
        <w:fldChar w:fldCharType="begin"/>
      </w:r>
      <w:r>
        <w:instrText xml:space="preserve"> HYPERLINK \l "_Toc19232" </w:instrText>
      </w:r>
      <w:r>
        <w:fldChar w:fldCharType="separate"/>
      </w:r>
      <w:r>
        <w:rPr>
          <w:rFonts w:asciiTheme="majorHAnsi" w:hAnsiTheme="majorHAnsi" w:eastAsiaTheme="majorEastAsia"/>
          <w:bCs/>
          <w:spacing w:val="-20"/>
          <w:szCs w:val="44"/>
        </w:rPr>
        <w:t>十三、河南省小额贷款公司变更审批工作指引</w:t>
      </w:r>
      <w:r>
        <w:tab/>
      </w:r>
      <w:r>
        <w:fldChar w:fldCharType="begin"/>
      </w:r>
      <w:r>
        <w:instrText xml:space="preserve"> PAGEREF _Toc19232 \h </w:instrText>
      </w:r>
      <w:r>
        <w:fldChar w:fldCharType="separate"/>
      </w:r>
      <w:r>
        <w:t>151</w:t>
      </w:r>
      <w:r>
        <w:fldChar w:fldCharType="end"/>
      </w:r>
      <w:r>
        <w:fldChar w:fldCharType="end"/>
      </w:r>
    </w:p>
    <w:p>
      <w:pPr>
        <w:pStyle w:val="11"/>
        <w:tabs>
          <w:tab w:val="right" w:leader="dot" w:pos="8306"/>
        </w:tabs>
      </w:pPr>
      <w:r>
        <w:fldChar w:fldCharType="begin"/>
      </w:r>
      <w:r>
        <w:instrText xml:space="preserve"> HYPERLINK \l "_Toc483" </w:instrText>
      </w:r>
      <w:r>
        <w:fldChar w:fldCharType="separate"/>
      </w:r>
      <w:r>
        <w:rPr>
          <w:rFonts w:asciiTheme="majorHAnsi" w:hAnsiTheme="majorHAnsi" w:eastAsiaTheme="majorEastAsia"/>
          <w:bCs/>
          <w:spacing w:val="-20"/>
          <w:szCs w:val="44"/>
        </w:rPr>
        <w:t>十四、河南省小额贷款公司监管评级工作指引</w:t>
      </w:r>
      <w:r>
        <w:tab/>
      </w:r>
      <w:r>
        <w:fldChar w:fldCharType="begin"/>
      </w:r>
      <w:r>
        <w:instrText xml:space="preserve"> PAGEREF _Toc483 \h </w:instrText>
      </w:r>
      <w:r>
        <w:fldChar w:fldCharType="separate"/>
      </w:r>
      <w:r>
        <w:t>162</w:t>
      </w:r>
      <w:r>
        <w:fldChar w:fldCharType="end"/>
      </w:r>
      <w:r>
        <w:fldChar w:fldCharType="end"/>
      </w:r>
    </w:p>
    <w:p>
      <w:pPr>
        <w:pStyle w:val="11"/>
        <w:tabs>
          <w:tab w:val="right" w:leader="dot" w:pos="8306"/>
        </w:tabs>
      </w:pPr>
      <w:r>
        <w:fldChar w:fldCharType="begin"/>
      </w:r>
      <w:r>
        <w:instrText xml:space="preserve"> HYPERLINK \l "_Toc14498" </w:instrText>
      </w:r>
      <w:r>
        <w:fldChar w:fldCharType="separate"/>
      </w:r>
      <w:r>
        <w:rPr>
          <w:rFonts w:asciiTheme="majorHAnsi" w:hAnsiTheme="majorHAnsi" w:eastAsiaTheme="majorEastAsia"/>
          <w:bCs/>
          <w:spacing w:val="-20"/>
          <w:szCs w:val="44"/>
        </w:rPr>
        <w:t>十五、河南省小额贷款公司设立审批工作指引</w:t>
      </w:r>
      <w:r>
        <w:tab/>
      </w:r>
      <w:r>
        <w:fldChar w:fldCharType="begin"/>
      </w:r>
      <w:r>
        <w:instrText xml:space="preserve"> PAGEREF _Toc14498 \h </w:instrText>
      </w:r>
      <w:r>
        <w:fldChar w:fldCharType="separate"/>
      </w:r>
      <w:r>
        <w:t>171</w:t>
      </w:r>
      <w:r>
        <w:fldChar w:fldCharType="end"/>
      </w:r>
      <w:r>
        <w:fldChar w:fldCharType="end"/>
      </w:r>
    </w:p>
    <w:p>
      <w:pPr>
        <w:pStyle w:val="11"/>
        <w:tabs>
          <w:tab w:val="right" w:leader="dot" w:pos="8306"/>
        </w:tabs>
      </w:pPr>
      <w:r>
        <w:fldChar w:fldCharType="begin"/>
      </w:r>
      <w:r>
        <w:instrText xml:space="preserve"> HYPERLINK \l "_Toc2364" </w:instrText>
      </w:r>
      <w:r>
        <w:fldChar w:fldCharType="separate"/>
      </w:r>
      <w:r>
        <w:rPr>
          <w:rFonts w:asciiTheme="majorHAnsi" w:hAnsiTheme="majorHAnsi" w:eastAsiaTheme="majorEastAsia"/>
          <w:bCs/>
          <w:spacing w:val="-20"/>
          <w:szCs w:val="44"/>
        </w:rPr>
        <w:t>十六、河南省小额贷款公司日常监管工作指引</w:t>
      </w:r>
      <w:r>
        <w:tab/>
      </w:r>
      <w:r>
        <w:fldChar w:fldCharType="begin"/>
      </w:r>
      <w:r>
        <w:instrText xml:space="preserve"> PAGEREF _Toc2364 \h </w:instrText>
      </w:r>
      <w:r>
        <w:fldChar w:fldCharType="separate"/>
      </w:r>
      <w:r>
        <w:t>184</w:t>
      </w:r>
      <w:r>
        <w:fldChar w:fldCharType="end"/>
      </w:r>
      <w:r>
        <w:fldChar w:fldCharType="end"/>
      </w:r>
    </w:p>
    <w:p>
      <w:pPr>
        <w:pStyle w:val="11"/>
        <w:tabs>
          <w:tab w:val="right" w:leader="dot" w:pos="8306"/>
        </w:tabs>
      </w:pPr>
      <w:r>
        <w:fldChar w:fldCharType="begin"/>
      </w:r>
      <w:r>
        <w:instrText xml:space="preserve"> HYPERLINK \l "_Toc26398" </w:instrText>
      </w:r>
      <w:r>
        <w:fldChar w:fldCharType="separate"/>
      </w:r>
      <w:r>
        <w:rPr>
          <w:rFonts w:hint="eastAsia" w:asciiTheme="majorHAnsi" w:hAnsiTheme="majorHAnsi" w:eastAsiaTheme="majorEastAsia"/>
          <w:bCs/>
          <w:spacing w:val="-20"/>
          <w:szCs w:val="44"/>
        </w:rPr>
        <w:t>十七、河南省小额贷款公司年审办法</w:t>
      </w:r>
      <w:r>
        <w:tab/>
      </w:r>
      <w:r>
        <w:fldChar w:fldCharType="begin"/>
      </w:r>
      <w:r>
        <w:instrText xml:space="preserve"> PAGEREF _Toc26398 \h </w:instrText>
      </w:r>
      <w:r>
        <w:fldChar w:fldCharType="separate"/>
      </w:r>
      <w:r>
        <w:t>217</w:t>
      </w:r>
      <w:r>
        <w:fldChar w:fldCharType="end"/>
      </w:r>
      <w:r>
        <w:fldChar w:fldCharType="end"/>
      </w:r>
    </w:p>
    <w:p>
      <w:pPr>
        <w:pStyle w:val="11"/>
        <w:tabs>
          <w:tab w:val="right" w:leader="dot" w:pos="8306"/>
        </w:tabs>
      </w:pPr>
      <w:r>
        <w:fldChar w:fldCharType="begin"/>
      </w:r>
      <w:r>
        <w:instrText xml:space="preserve"> HYPERLINK \l "_Toc5084" </w:instrText>
      </w:r>
      <w:r>
        <w:fldChar w:fldCharType="separate"/>
      </w:r>
      <w:r>
        <w:rPr>
          <w:rFonts w:hint="eastAsia"/>
          <w:bCs/>
          <w:szCs w:val="44"/>
        </w:rPr>
        <w:t>十八、中国银保监会办公厅关于加强小额贷款公司监督管理的通知</w:t>
      </w:r>
      <w:r>
        <w:rPr>
          <w:rFonts w:hint="eastAsia" w:ascii="仿宋_GB2312" w:hAnsi="仿宋_GB2312" w:eastAsia="仿宋_GB2312" w:cs="仿宋_GB2312"/>
          <w:szCs w:val="32"/>
        </w:rPr>
        <w:t>银保监办发〔2020〕86号</w:t>
      </w:r>
      <w:r>
        <w:tab/>
      </w:r>
      <w:r>
        <w:fldChar w:fldCharType="begin"/>
      </w:r>
      <w:r>
        <w:instrText xml:space="preserve"> PAGEREF _Toc5084 \h </w:instrText>
      </w:r>
      <w:r>
        <w:fldChar w:fldCharType="separate"/>
      </w:r>
      <w:r>
        <w:t>228</w:t>
      </w:r>
      <w:r>
        <w:fldChar w:fldCharType="end"/>
      </w:r>
      <w:r>
        <w:fldChar w:fldCharType="end"/>
      </w:r>
    </w:p>
    <w:p>
      <w:pPr>
        <w:pStyle w:val="11"/>
        <w:tabs>
          <w:tab w:val="right" w:leader="dot" w:pos="8306"/>
        </w:tabs>
      </w:pPr>
      <w:r>
        <w:fldChar w:fldCharType="begin"/>
      </w:r>
      <w:r>
        <w:instrText xml:space="preserve"> HYPERLINK \l "_Toc23077" </w:instrText>
      </w:r>
      <w:r>
        <w:fldChar w:fldCharType="separate"/>
      </w:r>
      <w:r>
        <w:rPr>
          <w:rFonts w:hint="eastAsia" w:asciiTheme="majorHAnsi" w:hAnsiTheme="majorHAnsi" w:eastAsiaTheme="majorEastAsia" w:cstheme="majorBidi"/>
          <w:bCs/>
          <w:kern w:val="2"/>
          <w:szCs w:val="44"/>
        </w:rPr>
        <w:t>十九、河南省地方金融监督管理局关于进一步深化放管服改革优化营商环境更好服务地方金融组织的通知</w:t>
      </w:r>
      <w:r>
        <w:tab/>
      </w:r>
      <w:r>
        <w:fldChar w:fldCharType="begin"/>
      </w:r>
      <w:r>
        <w:instrText xml:space="preserve"> PAGEREF _Toc23077 \h </w:instrText>
      </w:r>
      <w:r>
        <w:fldChar w:fldCharType="separate"/>
      </w:r>
      <w:r>
        <w:t>236</w:t>
      </w:r>
      <w:r>
        <w:fldChar w:fldCharType="end"/>
      </w:r>
      <w:r>
        <w:fldChar w:fldCharType="end"/>
      </w:r>
    </w:p>
    <w:p>
      <w:pPr>
        <w:pStyle w:val="11"/>
        <w:tabs>
          <w:tab w:val="right" w:leader="dot" w:pos="8306"/>
        </w:tabs>
      </w:pPr>
      <w:r>
        <w:fldChar w:fldCharType="begin"/>
      </w:r>
      <w:r>
        <w:instrText xml:space="preserve"> HYPERLINK \l "_Toc686" </w:instrText>
      </w:r>
      <w:r>
        <w:fldChar w:fldCharType="separate"/>
      </w:r>
      <w:r>
        <w:rPr>
          <w:rFonts w:hint="eastAsia" w:asciiTheme="majorEastAsia" w:hAnsiTheme="majorEastAsia" w:eastAsiaTheme="majorEastAsia" w:cstheme="majorEastAsia"/>
          <w:bCs/>
          <w:spacing w:val="-20"/>
        </w:rPr>
        <w:t>二十、优化营商环境、推动经济发展</w:t>
      </w:r>
      <w:r>
        <w:tab/>
      </w:r>
      <w:r>
        <w:fldChar w:fldCharType="begin"/>
      </w:r>
      <w:r>
        <w:instrText xml:space="preserve"> PAGEREF _Toc686 \h </w:instrText>
      </w:r>
      <w:r>
        <w:fldChar w:fldCharType="separate"/>
      </w:r>
      <w:r>
        <w:t>241</w:t>
      </w:r>
      <w:r>
        <w:fldChar w:fldCharType="end"/>
      </w:r>
      <w:r>
        <w:fldChar w:fldCharType="end"/>
      </w:r>
    </w:p>
    <w:p>
      <w:pPr>
        <w:pStyle w:val="11"/>
        <w:tabs>
          <w:tab w:val="right" w:leader="dot" w:pos="8306"/>
        </w:tabs>
      </w:pPr>
      <w:r>
        <w:fldChar w:fldCharType="begin"/>
      </w:r>
      <w:r>
        <w:instrText xml:space="preserve"> HYPERLINK \l "_Toc13331" </w:instrText>
      </w:r>
      <w:r>
        <w:fldChar w:fldCharType="separate"/>
      </w:r>
      <w:r>
        <w:rPr>
          <w:rFonts w:hint="eastAsia" w:asciiTheme="majorEastAsia" w:hAnsiTheme="majorEastAsia" w:eastAsiaTheme="majorEastAsia" w:cstheme="majorEastAsia"/>
          <w:bCs/>
          <w:spacing w:val="-20"/>
        </w:rPr>
        <w:t>二十一、地方金融组织监管政策及奖励机制</w:t>
      </w:r>
      <w:r>
        <w:tab/>
      </w:r>
      <w:r>
        <w:fldChar w:fldCharType="begin"/>
      </w:r>
      <w:r>
        <w:instrText xml:space="preserve"> PAGEREF _Toc13331 \h </w:instrText>
      </w:r>
      <w:r>
        <w:fldChar w:fldCharType="separate"/>
      </w:r>
      <w:r>
        <w:t>255</w:t>
      </w:r>
      <w:r>
        <w:fldChar w:fldCharType="end"/>
      </w:r>
      <w:r>
        <w:fldChar w:fldCharType="end"/>
      </w:r>
    </w:p>
    <w:p>
      <w:pPr>
        <w:pStyle w:val="11"/>
        <w:tabs>
          <w:tab w:val="right" w:leader="dot" w:pos="8306"/>
        </w:tabs>
      </w:pPr>
      <w:r>
        <w:fldChar w:fldCharType="begin"/>
      </w:r>
      <w:r>
        <w:instrText xml:space="preserve"> HYPERLINK \l "_Toc1877" </w:instrText>
      </w:r>
      <w:r>
        <w:fldChar w:fldCharType="separate"/>
      </w:r>
      <w:r>
        <w:rPr>
          <w:rFonts w:hint="eastAsia" w:asciiTheme="majorEastAsia" w:hAnsiTheme="majorEastAsia" w:eastAsiaTheme="majorEastAsia" w:cstheme="majorEastAsia"/>
          <w:bCs/>
          <w:spacing w:val="-20"/>
        </w:rPr>
        <w:t>二十二、典当行相关法规、规章及政策</w:t>
      </w:r>
      <w:r>
        <w:tab/>
      </w:r>
      <w:r>
        <w:fldChar w:fldCharType="begin"/>
      </w:r>
      <w:r>
        <w:instrText xml:space="preserve"> PAGEREF _Toc1877 \h </w:instrText>
      </w:r>
      <w:r>
        <w:fldChar w:fldCharType="separate"/>
      </w:r>
      <w:r>
        <w:t>271</w:t>
      </w:r>
      <w:r>
        <w:fldChar w:fldCharType="end"/>
      </w:r>
      <w:r>
        <w:fldChar w:fldCharType="end"/>
      </w:r>
    </w:p>
    <w:p>
      <w:pPr>
        <w:pStyle w:val="11"/>
        <w:tabs>
          <w:tab w:val="right" w:leader="dot" w:pos="8306"/>
        </w:tabs>
      </w:pPr>
      <w:r>
        <w:fldChar w:fldCharType="begin"/>
      </w:r>
      <w:r>
        <w:instrText xml:space="preserve"> HYPERLINK \l "_Toc24043" </w:instrText>
      </w:r>
      <w:r>
        <w:fldChar w:fldCharType="separate"/>
      </w:r>
      <w:r>
        <w:rPr>
          <w:rFonts w:hint="eastAsia" w:asciiTheme="majorEastAsia" w:hAnsiTheme="majorEastAsia" w:eastAsiaTheme="majorEastAsia" w:cstheme="majorEastAsia"/>
          <w:bCs/>
        </w:rPr>
        <w:t>二十三：河南省地方金融监督管理局国家税务总局河南省税务局关于做好融资租赁企业有关工作的通知</w:t>
      </w:r>
      <w:r>
        <w:tab/>
      </w:r>
      <w:r>
        <w:fldChar w:fldCharType="begin"/>
      </w:r>
      <w:r>
        <w:instrText xml:space="preserve"> PAGEREF _Toc24043 \h </w:instrText>
      </w:r>
      <w:r>
        <w:fldChar w:fldCharType="separate"/>
      </w:r>
      <w:r>
        <w:t>290</w:t>
      </w:r>
      <w:r>
        <w:fldChar w:fldCharType="end"/>
      </w:r>
      <w:r>
        <w:fldChar w:fldCharType="end"/>
      </w:r>
    </w:p>
    <w:p>
      <w:pPr>
        <w:pStyle w:val="11"/>
        <w:tabs>
          <w:tab w:val="right" w:leader="dot" w:pos="8306"/>
        </w:tabs>
      </w:pPr>
      <w:r>
        <w:fldChar w:fldCharType="begin"/>
      </w:r>
      <w:r>
        <w:instrText xml:space="preserve"> HYPERLINK \l "_Toc5387" </w:instrText>
      </w:r>
      <w:r>
        <w:fldChar w:fldCharType="separate"/>
      </w:r>
      <w:r>
        <w:rPr>
          <w:rFonts w:hint="eastAsia" w:asciiTheme="majorEastAsia" w:hAnsiTheme="majorEastAsia" w:eastAsiaTheme="majorEastAsia" w:cstheme="majorEastAsia"/>
          <w:bCs/>
          <w:spacing w:val="-20"/>
        </w:rPr>
        <w:t>二十四：河南省地方金融监督管理局 关于做好商业保理行业有关工作的通知</w:t>
      </w:r>
      <w:r>
        <w:tab/>
      </w:r>
      <w:r>
        <w:fldChar w:fldCharType="begin"/>
      </w:r>
      <w:r>
        <w:instrText xml:space="preserve"> PAGEREF _Toc5387 \h </w:instrText>
      </w:r>
      <w:r>
        <w:fldChar w:fldCharType="separate"/>
      </w:r>
      <w:r>
        <w:t>299</w:t>
      </w:r>
      <w:r>
        <w:fldChar w:fldCharType="end"/>
      </w:r>
      <w:r>
        <w:fldChar w:fldCharType="end"/>
      </w:r>
    </w:p>
    <w:p>
      <w:pPr>
        <w:pStyle w:val="11"/>
        <w:tabs>
          <w:tab w:val="right" w:leader="dot" w:pos="8306"/>
        </w:tabs>
      </w:pPr>
      <w:r>
        <w:fldChar w:fldCharType="begin"/>
      </w:r>
      <w:r>
        <w:instrText xml:space="preserve"> HYPERLINK \l "_Toc31543" </w:instrText>
      </w:r>
      <w:r>
        <w:fldChar w:fldCharType="separate"/>
      </w:r>
      <w:r>
        <w:rPr>
          <w:rFonts w:asciiTheme="majorHAnsi" w:hAnsiTheme="majorHAnsi" w:eastAsiaTheme="majorEastAsia"/>
          <w:bCs/>
          <w:szCs w:val="44"/>
        </w:rPr>
        <w:t>二十五、河南省金融支持经济社会平稳健康发展工 作方 案</w:t>
      </w:r>
      <w:r>
        <w:tab/>
      </w:r>
      <w:r>
        <w:fldChar w:fldCharType="begin"/>
      </w:r>
      <w:r>
        <w:instrText xml:space="preserve"> PAGEREF _Toc31543 \h </w:instrText>
      </w:r>
      <w:r>
        <w:fldChar w:fldCharType="separate"/>
      </w:r>
      <w:r>
        <w:t>306</w:t>
      </w:r>
      <w:r>
        <w:fldChar w:fldCharType="end"/>
      </w:r>
      <w:r>
        <w:fldChar w:fldCharType="end"/>
      </w:r>
    </w:p>
    <w:p>
      <w:pPr>
        <w:pStyle w:val="11"/>
        <w:tabs>
          <w:tab w:val="right" w:leader="dot" w:pos="8306"/>
        </w:tabs>
      </w:pPr>
      <w:r>
        <w:fldChar w:fldCharType="begin"/>
      </w:r>
      <w:r>
        <w:instrText xml:space="preserve"> HYPERLINK \l "_Toc12669" </w:instrText>
      </w:r>
      <w:r>
        <w:fldChar w:fldCharType="separate"/>
      </w:r>
      <w:r>
        <w:rPr>
          <w:rFonts w:hint="eastAsia" w:asciiTheme="majorHAnsi" w:hAnsiTheme="majorHAnsi"/>
          <w:bCs/>
          <w:szCs w:val="44"/>
        </w:rPr>
        <w:t>二十六</w:t>
      </w:r>
      <w:r>
        <w:rPr>
          <w:rFonts w:hint="eastAsia" w:asciiTheme="majorHAnsi" w:hAnsiTheme="majorHAnsi" w:eastAsiaTheme="majorEastAsia"/>
          <w:bCs/>
          <w:szCs w:val="44"/>
        </w:rPr>
        <w:t>、加大信贷支持力度</w:t>
      </w:r>
      <w:r>
        <w:tab/>
      </w:r>
      <w:r>
        <w:fldChar w:fldCharType="begin"/>
      </w:r>
      <w:r>
        <w:instrText xml:space="preserve"> PAGEREF _Toc12669 \h </w:instrText>
      </w:r>
      <w:r>
        <w:fldChar w:fldCharType="separate"/>
      </w:r>
      <w:r>
        <w:t>325</w:t>
      </w:r>
      <w:r>
        <w:fldChar w:fldCharType="end"/>
      </w:r>
      <w:r>
        <w:fldChar w:fldCharType="end"/>
      </w:r>
    </w:p>
    <w:p>
      <w:pPr>
        <w:pStyle w:val="11"/>
        <w:tabs>
          <w:tab w:val="right" w:leader="dot" w:pos="8306"/>
        </w:tabs>
      </w:pPr>
      <w:r>
        <w:fldChar w:fldCharType="begin"/>
      </w:r>
      <w:r>
        <w:instrText xml:space="preserve"> HYPERLINK \l "_Toc29176" </w:instrText>
      </w:r>
      <w:r>
        <w:fldChar w:fldCharType="separate"/>
      </w:r>
      <w:r>
        <w:rPr>
          <w:rFonts w:hint="eastAsia" w:asciiTheme="majorHAnsi" w:hAnsiTheme="majorHAnsi"/>
          <w:bCs/>
          <w:szCs w:val="44"/>
        </w:rPr>
        <w:t>二十七、优化续贷金融服务</w:t>
      </w:r>
      <w:r>
        <w:tab/>
      </w:r>
      <w:r>
        <w:fldChar w:fldCharType="begin"/>
      </w:r>
      <w:r>
        <w:instrText xml:space="preserve"> PAGEREF _Toc29176 \h </w:instrText>
      </w:r>
      <w:r>
        <w:fldChar w:fldCharType="separate"/>
      </w:r>
      <w:r>
        <w:t>325</w:t>
      </w:r>
      <w:r>
        <w:fldChar w:fldCharType="end"/>
      </w:r>
      <w:r>
        <w:fldChar w:fldCharType="end"/>
      </w:r>
    </w:p>
    <w:p>
      <w:pPr>
        <w:pStyle w:val="11"/>
        <w:tabs>
          <w:tab w:val="right" w:leader="dot" w:pos="8306"/>
        </w:tabs>
      </w:pPr>
      <w:r>
        <w:fldChar w:fldCharType="begin"/>
      </w:r>
      <w:r>
        <w:instrText xml:space="preserve"> HYPERLINK \l "_Toc28049" </w:instrText>
      </w:r>
      <w:r>
        <w:fldChar w:fldCharType="separate"/>
      </w:r>
      <w:r>
        <w:rPr>
          <w:rFonts w:hint="eastAsia" w:asciiTheme="majorHAnsi" w:hAnsiTheme="majorHAnsi"/>
          <w:bCs/>
          <w:szCs w:val="44"/>
        </w:rPr>
        <w:t>二十八、降低企业融资成本</w:t>
      </w:r>
      <w:r>
        <w:tab/>
      </w:r>
      <w:r>
        <w:fldChar w:fldCharType="begin"/>
      </w:r>
      <w:r>
        <w:instrText xml:space="preserve"> PAGEREF _Toc28049 \h </w:instrText>
      </w:r>
      <w:r>
        <w:fldChar w:fldCharType="separate"/>
      </w:r>
      <w:r>
        <w:t>326</w:t>
      </w:r>
      <w:r>
        <w:fldChar w:fldCharType="end"/>
      </w:r>
      <w:r>
        <w:fldChar w:fldCharType="end"/>
      </w:r>
    </w:p>
    <w:p>
      <w:pPr>
        <w:pStyle w:val="11"/>
        <w:tabs>
          <w:tab w:val="right" w:leader="dot" w:pos="8306"/>
        </w:tabs>
      </w:pPr>
      <w:r>
        <w:fldChar w:fldCharType="begin"/>
      </w:r>
      <w:r>
        <w:instrText xml:space="preserve"> HYPERLINK \l "_Toc20187" </w:instrText>
      </w:r>
      <w:r>
        <w:fldChar w:fldCharType="separate"/>
      </w:r>
      <w:r>
        <w:rPr>
          <w:rFonts w:hint="eastAsia" w:asciiTheme="majorHAnsi" w:hAnsiTheme="majorHAnsi"/>
          <w:bCs/>
          <w:szCs w:val="44"/>
        </w:rPr>
        <w:t>二十九、突出重点分类施策</w:t>
      </w:r>
      <w:r>
        <w:tab/>
      </w:r>
      <w:r>
        <w:fldChar w:fldCharType="begin"/>
      </w:r>
      <w:r>
        <w:instrText xml:space="preserve"> PAGEREF _Toc20187 \h </w:instrText>
      </w:r>
      <w:r>
        <w:fldChar w:fldCharType="separate"/>
      </w:r>
      <w:r>
        <w:t>326</w:t>
      </w:r>
      <w:r>
        <w:fldChar w:fldCharType="end"/>
      </w:r>
      <w:r>
        <w:fldChar w:fldCharType="end"/>
      </w:r>
    </w:p>
    <w:p>
      <w:pPr>
        <w:pStyle w:val="11"/>
        <w:tabs>
          <w:tab w:val="right" w:leader="dot" w:pos="8306"/>
        </w:tabs>
      </w:pPr>
      <w:r>
        <w:fldChar w:fldCharType="begin"/>
      </w:r>
      <w:r>
        <w:instrText xml:space="preserve"> HYPERLINK \l "_Toc19758" </w:instrText>
      </w:r>
      <w:r>
        <w:fldChar w:fldCharType="separate"/>
      </w:r>
      <w:r>
        <w:rPr>
          <w:rFonts w:hint="eastAsia" w:asciiTheme="majorHAnsi" w:hAnsiTheme="majorHAnsi"/>
          <w:bCs/>
          <w:szCs w:val="44"/>
        </w:rPr>
        <w:t>三十、优化制造业金融服务</w:t>
      </w:r>
      <w:r>
        <w:tab/>
      </w:r>
      <w:r>
        <w:fldChar w:fldCharType="begin"/>
      </w:r>
      <w:r>
        <w:instrText xml:space="preserve"> PAGEREF _Toc19758 \h </w:instrText>
      </w:r>
      <w:r>
        <w:fldChar w:fldCharType="separate"/>
      </w:r>
      <w:r>
        <w:t>327</w:t>
      </w:r>
      <w:r>
        <w:fldChar w:fldCharType="end"/>
      </w:r>
      <w:r>
        <w:fldChar w:fldCharType="end"/>
      </w:r>
    </w:p>
    <w:p>
      <w:pPr>
        <w:pStyle w:val="11"/>
        <w:tabs>
          <w:tab w:val="right" w:leader="dot" w:pos="8306"/>
        </w:tabs>
      </w:pPr>
      <w:r>
        <w:fldChar w:fldCharType="begin"/>
      </w:r>
      <w:r>
        <w:instrText xml:space="preserve"> HYPERLINK \l "_Toc20561" </w:instrText>
      </w:r>
      <w:r>
        <w:fldChar w:fldCharType="separate"/>
      </w:r>
      <w:r>
        <w:rPr>
          <w:rFonts w:hint="eastAsia" w:asciiTheme="majorHAnsi" w:hAnsiTheme="majorHAnsi"/>
          <w:bCs/>
          <w:szCs w:val="44"/>
        </w:rPr>
        <w:t>三十一、强化重大项目金融支持</w:t>
      </w:r>
      <w:r>
        <w:tab/>
      </w:r>
      <w:r>
        <w:fldChar w:fldCharType="begin"/>
      </w:r>
      <w:r>
        <w:instrText xml:space="preserve"> PAGEREF _Toc20561 \h </w:instrText>
      </w:r>
      <w:r>
        <w:fldChar w:fldCharType="separate"/>
      </w:r>
      <w:r>
        <w:t>328</w:t>
      </w:r>
      <w:r>
        <w:fldChar w:fldCharType="end"/>
      </w:r>
      <w:r>
        <w:fldChar w:fldCharType="end"/>
      </w:r>
    </w:p>
    <w:p>
      <w:pPr>
        <w:pStyle w:val="11"/>
        <w:tabs>
          <w:tab w:val="right" w:leader="dot" w:pos="8306"/>
        </w:tabs>
      </w:pPr>
      <w:r>
        <w:fldChar w:fldCharType="begin"/>
      </w:r>
      <w:r>
        <w:instrText xml:space="preserve"> HYPERLINK \l "_Toc24197" </w:instrText>
      </w:r>
      <w:r>
        <w:fldChar w:fldCharType="separate"/>
      </w:r>
      <w:r>
        <w:rPr>
          <w:rFonts w:asciiTheme="majorHAnsi" w:hAnsiTheme="majorHAnsi" w:eastAsiaTheme="majorEastAsia"/>
          <w:bCs/>
          <w:spacing w:val="-20"/>
          <w:szCs w:val="44"/>
        </w:rPr>
        <w:t>三十二、支持传统重点企业绿色低碳转型发展</w:t>
      </w:r>
      <w:r>
        <w:tab/>
      </w:r>
      <w:r>
        <w:fldChar w:fldCharType="begin"/>
      </w:r>
      <w:r>
        <w:instrText xml:space="preserve"> PAGEREF _Toc24197 \h </w:instrText>
      </w:r>
      <w:r>
        <w:fldChar w:fldCharType="separate"/>
      </w:r>
      <w:r>
        <w:t>328</w:t>
      </w:r>
      <w:r>
        <w:fldChar w:fldCharType="end"/>
      </w:r>
      <w:r>
        <w:fldChar w:fldCharType="end"/>
      </w:r>
    </w:p>
    <w:p>
      <w:pPr>
        <w:pStyle w:val="11"/>
        <w:tabs>
          <w:tab w:val="right" w:leader="dot" w:pos="8306"/>
        </w:tabs>
      </w:pPr>
      <w:r>
        <w:fldChar w:fldCharType="begin"/>
      </w:r>
      <w:r>
        <w:instrText xml:space="preserve"> HYPERLINK \l "_Toc30529" </w:instrText>
      </w:r>
      <w:r>
        <w:fldChar w:fldCharType="separate"/>
      </w:r>
      <w:r>
        <w:rPr>
          <w:rFonts w:hint="eastAsia" w:asciiTheme="majorHAnsi" w:hAnsiTheme="majorHAnsi"/>
          <w:bCs/>
          <w:spacing w:val="-20"/>
          <w:szCs w:val="44"/>
        </w:rPr>
        <w:t>三十三</w:t>
      </w:r>
      <w:r>
        <w:rPr>
          <w:rFonts w:hint="eastAsia" w:asciiTheme="majorHAnsi" w:hAnsiTheme="majorHAnsi" w:eastAsiaTheme="majorEastAsia"/>
          <w:bCs/>
          <w:spacing w:val="-20"/>
          <w:szCs w:val="44"/>
        </w:rPr>
        <w:t>、联合授信支持企业发展</w:t>
      </w:r>
      <w:r>
        <w:tab/>
      </w:r>
      <w:r>
        <w:fldChar w:fldCharType="begin"/>
      </w:r>
      <w:r>
        <w:instrText xml:space="preserve"> PAGEREF _Toc30529 \h </w:instrText>
      </w:r>
      <w:r>
        <w:fldChar w:fldCharType="separate"/>
      </w:r>
      <w:r>
        <w:t>329</w:t>
      </w:r>
      <w:r>
        <w:fldChar w:fldCharType="end"/>
      </w:r>
      <w:r>
        <w:fldChar w:fldCharType="end"/>
      </w:r>
    </w:p>
    <w:p>
      <w:pPr>
        <w:pStyle w:val="11"/>
        <w:tabs>
          <w:tab w:val="right" w:leader="dot" w:pos="8306"/>
        </w:tabs>
      </w:pPr>
      <w:r>
        <w:fldChar w:fldCharType="begin"/>
      </w:r>
      <w:r>
        <w:instrText xml:space="preserve"> HYPERLINK \l "_Toc1136" </w:instrText>
      </w:r>
      <w:r>
        <w:fldChar w:fldCharType="separate"/>
      </w:r>
      <w:r>
        <w:rPr>
          <w:rFonts w:hint="eastAsia" w:asciiTheme="majorHAnsi" w:hAnsiTheme="majorHAnsi"/>
          <w:bCs/>
          <w:spacing w:val="-20"/>
          <w:szCs w:val="44"/>
        </w:rPr>
        <w:t>三十四、发挥债委会支持作用</w:t>
      </w:r>
      <w:r>
        <w:tab/>
      </w:r>
      <w:r>
        <w:fldChar w:fldCharType="begin"/>
      </w:r>
      <w:r>
        <w:instrText xml:space="preserve"> PAGEREF _Toc1136 \h </w:instrText>
      </w:r>
      <w:r>
        <w:fldChar w:fldCharType="separate"/>
      </w:r>
      <w:r>
        <w:t>329</w:t>
      </w:r>
      <w:r>
        <w:fldChar w:fldCharType="end"/>
      </w:r>
      <w:r>
        <w:fldChar w:fldCharType="end"/>
      </w:r>
    </w:p>
    <w:p>
      <w:pPr>
        <w:ind w:firstLine="420" w:firstLineChars="200"/>
        <w:jc w:val="center"/>
        <w:rPr>
          <w:rFonts w:ascii="方正小标宋简体" w:hAnsi="方正小标宋简体" w:eastAsia="方正小标宋简体" w:cs="方正小标宋简体"/>
          <w:sz w:val="44"/>
          <w:szCs w:val="44"/>
        </w:rPr>
      </w:pPr>
      <w:r>
        <w:rPr>
          <w:rFonts w:ascii="方正小标宋简体" w:hAnsi="方正小标宋简体" w:eastAsia="方正小标宋简体" w:cs="方正小标宋简体"/>
          <w:szCs w:val="44"/>
        </w:rPr>
        <w:fldChar w:fldCharType="end"/>
      </w:r>
    </w:p>
    <w:p>
      <w:pP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br w:type="page"/>
      </w:r>
    </w:p>
    <w:p>
      <w:pPr>
        <w:pStyle w:val="2"/>
        <w:jc w:val="center"/>
      </w:pPr>
      <w:bookmarkStart w:id="0" w:name="_Toc16842"/>
      <w:r>
        <w:rPr>
          <w:rFonts w:hint="eastAsia"/>
        </w:rPr>
        <w:t>第一篇便企知识</w:t>
      </w:r>
      <w:bookmarkEnd w:id="0"/>
    </w:p>
    <w:p>
      <w:pPr>
        <w:pStyle w:val="3"/>
        <w:ind w:firstLine="643" w:firstLineChars="200"/>
      </w:pPr>
      <w:bookmarkStart w:id="1" w:name="_Toc27490"/>
      <w:r>
        <w:rPr>
          <w:rFonts w:hint="eastAsia"/>
        </w:rPr>
        <w:t>一、市金融工作局职能职责</w:t>
      </w:r>
      <w:bookmarkEnd w:id="1"/>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贯彻执行党和国家金融工作法律、法规和方针、政策，拟订有关金融监管工作的政策性措施;研究分析国内外金融形势和全市金融业发展重大问题，牵头拟订全市金融业发展中长期规划;拟订有关金融业发展的指导意见和政策性建议。</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负责协调联络金融监管部门、金融机构及其驻宛分支机构;引进市外和外资金融机构入驻南阳，推动市内金融机构“走出去”;组织开展政府与金融机构合作、金融机构和企业对接，引导、协调和鼓励金融机构加大对全市经济社会发展的支持力度。</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(三)促进全市资本市场的改革、培育和发展，推进多层次资本市场建设;统筹推动全市企业上市(挂牌);协调上市公司重组、兼并和再融资工作;联系和服务资本市场中介机构，协调期货市场发展。</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(四)牵头负责地方金融体系建设，指导、协调全市城市商业银行、村镇银行、农村商业银行、农村信用社等地方金融机构的改革、发展和重组及重大事项。</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负责对全市小额贷款公司、融资担保公司、区域性股权市场、典当行、融资租赁公司、商业保理公司、地方资产管理公司等监督管理;强化对辖区内投资公司、开展信用互助的农民专业合作社、社会众筹机构、地方各类交易场所等的监督管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(六)负责组织开展全市互联网金融风险防范化解处置工作;配合驻宛金融监管部门做好属地金融监督管理。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(七)会同有关部门防范、化解和处置全市金融风险;协调有关部门做好防范和处置非法集资、非法证券买卖和反洗钱、反假币工作;负责防范处置地方金融机构风险;牵头处置地方金融风险事件。</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(八)负责全市地方金融监管信息化建设工作;建立健全全市地方金融大数据监测体系，加强地方金融风险监测预警;会同有关部门推进全市金融生态环境建设;会同有关部门建立地方金融监管的问责机制。</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(九)负责全市地方金融行业人才建设和教育培训工作。</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(十)完成市委、市政府交办的其他任务。</w:t>
      </w:r>
    </w:p>
    <w:p>
      <w:pPr>
        <w:pStyle w:val="3"/>
        <w:ind w:firstLine="643" w:firstLineChars="200"/>
        <w:rPr>
          <w:rFonts w:ascii="仿宋_GB2312" w:hAnsi="仿宋_GB2312" w:eastAsia="仿宋_GB2312" w:cs="仿宋_GB2312"/>
        </w:rPr>
      </w:pPr>
      <w:bookmarkStart w:id="2" w:name="_Toc8320"/>
      <w:r>
        <w:rPr>
          <w:rFonts w:hint="eastAsia"/>
        </w:rPr>
        <w:t>二、市金融工作局常用信息</w:t>
      </w:r>
      <w:bookmarkEnd w:id="2"/>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内设科室：南阳市金融工作局共设置6个科室，分别为：综合科、银行保险科、资本市场科、地方金融一科、地方金融二科、金融稳定科。</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办公地址</w:t>
      </w:r>
      <w:r>
        <w:rPr>
          <w:rFonts w:hint="eastAsia" w:ascii="仿宋_GB2312" w:hAnsi="仿宋_GB2312" w:cs="仿宋_GB2312"/>
          <w:sz w:val="32"/>
          <w:szCs w:val="32"/>
        </w:rPr>
        <w:t>：</w:t>
      </w:r>
      <w:r>
        <w:rPr>
          <w:rFonts w:hint="eastAsia" w:ascii="仿宋_GB2312" w:hAnsi="仿宋_GB2312" w:eastAsia="仿宋_GB2312" w:cs="仿宋_GB2312"/>
          <w:sz w:val="32"/>
          <w:szCs w:val="32"/>
        </w:rPr>
        <w:t>南阳市范蠡东路1666号市民服务中心中区6号楼5层南阳市金融工作局</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办公时间：办公时间（工作日）：夏季 8：00-12：00   15：00-18：00 冬季 8：00-12：00   14：30-17：30</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值班电话：0377-63161936</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电子邮箱：ny63161936@163.com</w:t>
      </w:r>
    </w:p>
    <w:p>
      <w:pPr>
        <w:pStyle w:val="12"/>
        <w:widowControl/>
        <w:shd w:val="clear" w:color="auto" w:fill="FFFFFF"/>
        <w:spacing w:before="0" w:beforeAutospacing="0" w:after="0" w:afterAutospacing="0" w:line="315" w:lineRule="atLeast"/>
        <w:ind w:firstLine="640" w:firstLineChars="200"/>
        <w:jc w:val="both"/>
        <w:textAlignment w:val="top"/>
        <w:rPr>
          <w:rFonts w:ascii="仿宋_GB2312" w:hAnsi="仿宋_GB2312" w:cs="仿宋_GB2312"/>
          <w:kern w:val="2"/>
          <w:sz w:val="32"/>
        </w:rPr>
      </w:pPr>
      <w:r>
        <w:rPr>
          <w:rFonts w:hint="eastAsia" w:ascii="仿宋_GB2312" w:hAnsi="仿宋_GB2312" w:cs="仿宋_GB2312"/>
          <w:kern w:val="2"/>
          <w:sz w:val="32"/>
        </w:rPr>
        <w:t>官方网站：</w:t>
      </w:r>
      <w:r>
        <w:fldChar w:fldCharType="begin"/>
      </w:r>
      <w:r>
        <w:instrText xml:space="preserve"> HYPERLINK "http://jr.nanyang.gov.cn/" </w:instrText>
      </w:r>
      <w:r>
        <w:fldChar w:fldCharType="separate"/>
      </w:r>
      <w:r>
        <w:rPr>
          <w:rStyle w:val="18"/>
          <w:rFonts w:hint="eastAsia" w:ascii="仿宋_GB2312" w:hAnsi="仿宋_GB2312" w:cs="仿宋_GB2312"/>
          <w:kern w:val="2"/>
          <w:sz w:val="32"/>
        </w:rPr>
        <w:t>http://jr.nanyang.gov.cn/</w:t>
      </w:r>
      <w:r>
        <w:rPr>
          <w:rStyle w:val="18"/>
          <w:rFonts w:hint="eastAsia" w:ascii="仿宋_GB2312" w:hAnsi="仿宋_GB2312" w:cs="仿宋_GB2312"/>
          <w:kern w:val="2"/>
          <w:sz w:val="32"/>
        </w:rPr>
        <w:fldChar w:fldCharType="end"/>
      </w:r>
    </w:p>
    <w:p>
      <w:pPr>
        <w:pStyle w:val="12"/>
        <w:widowControl/>
        <w:shd w:val="clear" w:color="auto" w:fill="FFFFFF"/>
        <w:spacing w:before="0" w:beforeAutospacing="0" w:after="0" w:afterAutospacing="0" w:line="315" w:lineRule="atLeast"/>
        <w:ind w:firstLine="640" w:firstLineChars="200"/>
        <w:jc w:val="both"/>
        <w:textAlignment w:val="top"/>
        <w:rPr>
          <w:rFonts w:ascii="仿宋_GB2312" w:hAnsi="仿宋_GB2312" w:cs="仿宋_GB2312"/>
          <w:kern w:val="2"/>
          <w:sz w:val="32"/>
        </w:rPr>
      </w:pPr>
      <w:r>
        <w:rPr>
          <w:rFonts w:hint="eastAsia" w:ascii="仿宋_GB2312" w:hAnsi="仿宋_GB2312" w:cs="仿宋_GB2312"/>
          <w:kern w:val="2"/>
          <w:sz w:val="32"/>
        </w:rPr>
        <w:t>微信公众号：“南阳市金融工作局”</w:t>
      </w:r>
    </w:p>
    <w:p>
      <w:pPr>
        <w:pStyle w:val="3"/>
        <w:ind w:firstLine="643" w:firstLineChars="200"/>
      </w:pPr>
      <w:bookmarkStart w:id="3" w:name="_Toc32294"/>
      <w:r>
        <w:rPr>
          <w:rFonts w:hint="eastAsia"/>
        </w:rPr>
        <w:t>三、典当行</w:t>
      </w:r>
      <w:bookmarkEnd w:id="3"/>
      <w:r>
        <w:rPr>
          <w:rFonts w:hint="eastAsia"/>
        </w:rPr>
        <w:t>业务</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负责科室：南阳市金融工作局地方金融二科</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联系方式：0377-63135185</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设立</w:t>
      </w:r>
      <w:r>
        <w:rPr>
          <w:rFonts w:hint="eastAsia" w:ascii="仿宋_GB2312" w:hAnsi="仿宋_GB2312" w:cs="仿宋_GB2312"/>
          <w:sz w:val="32"/>
          <w:szCs w:val="32"/>
        </w:rPr>
        <w:t>：</w:t>
      </w:r>
      <w:r>
        <w:rPr>
          <w:rFonts w:hint="eastAsia" w:ascii="仿宋_GB2312" w:hAnsi="仿宋_GB2312" w:eastAsia="仿宋_GB2312" w:cs="仿宋_GB2312"/>
          <w:sz w:val="32"/>
          <w:szCs w:val="32"/>
        </w:rPr>
        <w:t>1.办理机构是南阳市金融工作局地方金融一科。2.收费标准为不收费。3.办理流程(1)申请。申请人应按照材料清单准备相关材料,向市金融工作局提交设立典当行及分支机构的申请文件和申报材料。(2)受理。市金融工作局受理申办材料，指导申请人完善设立申请文件和申报材料,对申请人的实际情况和拟设典当行的场所等进行核实。需要补正或说明情况的,应一次性告知需要补正的清单,并要求申请人限期完善;需要现场核查或面签约谈的,可组织律师事务所、会计师事务所等第三方机构参与核查;需要询证函查的,可向有关部门函证确认;需要公开的,应将审查结果通过监管部门官方网站进行公示。(3)初审。省辖市金融局对设立申请文件和申报材料进行完整性、合规性审查。申请材料齐全、符合法定形式且公示无异议后,向省地方金融监管局提交设立请示、《设立典当行推荐表》和申请材料。(4)决定。省地方金融监管局受理省辖市金融局提交的有关材料,对材料进行完整性、合规性审查,研究同意的在官方网站进行公示。公示无异议的,报国家银保监会备案,通过全国典当行业监督管理系统打印《典当经营许可证》正副本,申请全国典当行业监督管理信息系统秘钥。不予批准的,书面告知申请人。(5)送达。省地方金融监管局将准予同意设立的批复、《典当经营许可证》正副本和全国典当行业监督管理信息系统秘钥,通过邮寄或自行领取等方式送达省辖市金融局或申请人。</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变更：1.办理机构是南阳市金融工作局地方金融二科。2.收费标准为不收费。3.办理流程(1)申请。申请人应按照材料清单准备相关材料,向市金融工作局提交典当行变更的申报材料。(2)受理。市金融工作局受理申办材料，指导申请人完善设立申请文件和申报材料,对申请人的实际情况和拟设典当行的场所等进行核实。需要补正或说明情况的,应一次性告知需要补正的清单,并要求申请人限期完善;需要现场核查或面签约谈的,可组织律师事务所、会计师事务所等第三方机构参与核查;需要询证函查的,可向有关部门函证确认;需要公开的,应将审查结果通过监管部门官方网站进行公示。(3)初审。省辖市金融局对设立申请文件和申报材料进行完整性、合规性审查。申请材料齐全、符合法定形式且公示无异议后,向省地方金融监管局提交变更文件和典当行申请材料。(4)决定。省地方金融监管局受理省辖市金融局提交的有关材料,对材料进行完整性、合规性审查,研究同意的在官方网站进行公示。公示无异议的,下发公告。不予批准的,书面告知申请人。(5)送达。省地方金融监管局将变更的公告,通过邮寄或自行领取等方式送达省辖市金融局或申请人。</w:t>
      </w:r>
    </w:p>
    <w:p>
      <w:pPr>
        <w:pStyle w:val="3"/>
        <w:ind w:firstLine="643" w:firstLineChars="200"/>
      </w:pPr>
      <w:bookmarkStart w:id="4" w:name="_Toc30241"/>
      <w:r>
        <w:rPr>
          <w:rFonts w:hint="eastAsia"/>
        </w:rPr>
        <w:t>四、商业保理</w:t>
      </w:r>
      <w:bookmarkEnd w:id="4"/>
      <w:r>
        <w:rPr>
          <w:rFonts w:hint="eastAsia"/>
        </w:rPr>
        <w:t>业务</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负责科室：南阳市金融工作局地方金融一科</w:t>
      </w:r>
    </w:p>
    <w:p>
      <w:pPr>
        <w:ind w:firstLine="640" w:firstLineChars="200"/>
      </w:pPr>
      <w:r>
        <w:rPr>
          <w:rFonts w:hint="eastAsia" w:ascii="仿宋_GB2312" w:hAnsi="仿宋_GB2312" w:eastAsia="仿宋_GB2312" w:cs="仿宋_GB2312"/>
          <w:sz w:val="32"/>
          <w:szCs w:val="32"/>
        </w:rPr>
        <w:t>联系方式：0377-63168918</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设立：1.办理机构是南阳市金融工作局地方金融一科。2.收费标准为不收费。3.办理流程（1）申请。申请人符合本通知申请条件的，应按照材料清单准备相关材料,向市金融工作局提交申报材料。（2）初审。市金融工作局对材料进行完整性、合规性审查，申请材料齐全、符合法定形式并经公示无异议的，报省地方金融监管局。审查中，需要材料补正或情况说明的，要于收到申请材料后5个工作日内一次性告知需要补正的清单，并要求申请人限期完善；需要现场核查的，可组织现场核查，并书面告知申请人。不符合设立条件的，应书面告知申请人并说明理由。（3）决定。省地方金融监管局受理市金融工作局提交请示，对材料进行完整性、合规性审查。省税务局核实融资租赁企业（或股东）依法纳税情况。经研究同意的，分别在省地方金融监管局和省税务局官方网站进行公示，公示期7天。公示无异议的，由省地方金融监管局、省税务局联合发文确认融资租赁企业资格。不予批准的，省地方金融监管局书面告知申请人，并说明理由。（4）送达。省地方金融监管局将确认资格文件通过邮寄或自行领取等方式送达监管部门或申请人。属地监管部门应督促融资租赁企业5个工作日内登陆“全国融资租赁企业管理信息系统”填写完善相关基本信息。</w:t>
      </w:r>
    </w:p>
    <w:p>
      <w:pPr>
        <w:pStyle w:val="3"/>
        <w:ind w:firstLine="643" w:firstLineChars="200"/>
      </w:pPr>
      <w:bookmarkStart w:id="5" w:name="_Toc924"/>
      <w:r>
        <w:rPr>
          <w:rFonts w:hint="eastAsia"/>
        </w:rPr>
        <w:t>五、融资租赁</w:t>
      </w:r>
      <w:bookmarkEnd w:id="5"/>
      <w:r>
        <w:rPr>
          <w:rFonts w:hint="eastAsia"/>
        </w:rPr>
        <w:t>业务</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负责科室：南阳市金融工作局地方金融一科</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联系方式：0377-63168918</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设立：1.办理机构是南阳市金融工作局地方金融一科。2.收费标准为不收费。3.办理流程(1)申请。申请人符合设立条件的,应按照清单准备相关材料,通上报市金融工作局。(2)初审。市金融工作局对材料进行完整性、合规性审查， 申请材料齐全、符合法定形式并经公示无异议的,报省地方金融监管局。审查中,应当对办公场所进行现场核查;需要材料补正或情况说明的,应于收到申请材料后5个工作日内一次性告知需要补正的清单,并要求申请人限期完善;需要征求有关部门意见的,应直接向有关部门函证。不符合设立条件的,应书面告知申请人并说明理由。(3)决定。省地方金融监管局受理省辖市金融局提交的请示,对材料进行完整性、合规性审查,研究同意的在官方网站上进行公示。公示无异议的,下发同意设立批复;不予批准的,书面告知申请人,并说明理由。(四)送达。省地方金融监管局将批准文件通过邮寄或自行领取等方式送达监管部门或申请人。属地监管部门应督促商业保理企业5个工作日内登陆 “商业保理信息管理系统”填写完善相关基本信息。</w:t>
      </w:r>
    </w:p>
    <w:p>
      <w:pPr>
        <w:ind w:firstLine="640" w:firstLineChars="200"/>
        <w:rPr>
          <w:rFonts w:ascii="仿宋_GB2312" w:hAnsi="仿宋_GB2312" w:eastAsia="仿宋_GB2312" w:cs="仿宋_GB2312"/>
          <w:sz w:val="32"/>
          <w:szCs w:val="32"/>
        </w:rPr>
      </w:pPr>
    </w:p>
    <w:p>
      <w:pPr>
        <w:pStyle w:val="12"/>
        <w:widowControl/>
        <w:shd w:val="clear" w:color="auto" w:fill="FFFFFF"/>
        <w:spacing w:before="0" w:beforeAutospacing="0" w:after="0" w:afterAutospacing="0" w:line="315" w:lineRule="atLeast"/>
        <w:ind w:firstLine="640" w:firstLineChars="200"/>
        <w:jc w:val="both"/>
        <w:textAlignment w:val="top"/>
        <w:rPr>
          <w:rFonts w:ascii="仿宋_GB2312" w:hAnsi="仿宋_GB2312" w:cs="仿宋_GB2312"/>
          <w:kern w:val="2"/>
          <w:sz w:val="32"/>
        </w:rPr>
      </w:pPr>
    </w:p>
    <w:p>
      <w:pPr>
        <w:pStyle w:val="2"/>
        <w:jc w:val="center"/>
      </w:pPr>
      <w:bookmarkStart w:id="6" w:name="_Toc16986"/>
      <w:r>
        <w:rPr>
          <w:rFonts w:hint="eastAsia"/>
        </w:rPr>
        <w:t>第二篇 金融知识</w:t>
      </w:r>
      <w:bookmarkEnd w:id="6"/>
    </w:p>
    <w:p>
      <w:pPr>
        <w:pStyle w:val="3"/>
        <w:ind w:firstLine="643" w:firstLineChars="200"/>
      </w:pPr>
      <w:bookmarkStart w:id="7" w:name="_Toc14915"/>
      <w:r>
        <w:rPr>
          <w:rFonts w:hint="eastAsia"/>
        </w:rPr>
        <w:t>一、证券公司</w:t>
      </w:r>
      <w:bookmarkEnd w:id="7"/>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证券公司是指依照《中华人民共和国公司法》(以下简称《公司法》)和《证券法》规定并经国务院证券监督管理机构批准成立的经营证券业务,具有独立法人地位的有限责任公司或者股份有限公司。证券公司具有证券交易所的会员资格,是可以承销发行、自营买卖或自营兼代理买卖证券的证券类金融机构。证券公司业务包括证券经纪,证券投资咨询,与证券交易、证券投资活动有关的财务顾问,证券承销与保荐,证券自营,证券资产管理,融资融券等。</w:t>
      </w:r>
    </w:p>
    <w:p>
      <w:pPr>
        <w:pStyle w:val="3"/>
        <w:ind w:firstLine="643" w:firstLineChars="200"/>
      </w:pPr>
      <w:bookmarkStart w:id="8" w:name="_Toc14604"/>
      <w:r>
        <w:rPr>
          <w:rFonts w:hint="eastAsia"/>
        </w:rPr>
        <w:t>二、证券交易场所和证券登记结算公司</w:t>
      </w:r>
      <w:bookmarkEnd w:id="8"/>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证券交易所是指依法设立的,为证券的集中和有组织的交易提供场所、设施,并履行相关职责,实行自律性管理的法人。我国内地有两家证券交易所:上海证券交易所和深圳证券交易所。</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证券交易所的主要职能包括:提供证券交易的场所和设施;制定证券交易所的业务规则;接受上市申请,安排证券上市;组织、监督证券交易;对会员、上市公司进行监管;管理和公布市场信息等。</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证券登记结算公司是为证券交易提供集中登记、存管与结算服务,不以盈利为目的的法人机构。设立证券登记结算公司必须经证券监督管理机构批准。证券登记结算采取全国集中统一的运营方式。证券登记结算公司的主要职能包括:证券账户、结算账户的设立和管理;证券的存管和过户;证券持有人名册登记及权益登记;证券交易场所上市证券及挂牌交易的清算、交收及相关管理;受发行人委托派发证券权益;办理与上述业务有关的查询、信息、咨询和培训服务。</w:t>
      </w:r>
    </w:p>
    <w:p>
      <w:pPr>
        <w:pStyle w:val="3"/>
        <w:ind w:firstLine="643" w:firstLineChars="200"/>
      </w:pPr>
      <w:bookmarkStart w:id="9" w:name="_Toc16468"/>
      <w:r>
        <w:rPr>
          <w:rFonts w:hint="eastAsia"/>
        </w:rPr>
        <w:t>三、基金管理公司</w:t>
      </w:r>
      <w:bookmarkEnd w:id="9"/>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基金管理公司是指经中国证监会批准、在中国境内设立、从事证券投资基金管理业务的企业法人。基金管理公司将众多投资者的资金集中起来,形成独立财产,由基金托管人托管,基金管理人管理,按照利益共享、风险共担的方式,以投资组合的方法进行证券投资或其他项目投资。按照面向发行者的不同,可将基金管理公司分为公募基金和私募基金。公募基金是指面向非特定投资者公开发行受益凭证的基金。私募基金是指面向特定投资者募集资金而设立的基金。我国基金管理公司的业务主要包括证券投资基金业务、特定客户资产管理业务和投资咨询业务。</w:t>
      </w:r>
    </w:p>
    <w:p>
      <w:pPr>
        <w:pStyle w:val="3"/>
        <w:ind w:firstLine="643" w:firstLineChars="200"/>
      </w:pPr>
      <w:bookmarkStart w:id="10" w:name="_Toc14850"/>
      <w:r>
        <w:rPr>
          <w:rFonts w:hint="eastAsia"/>
        </w:rPr>
        <w:t>四、期货公司</w:t>
      </w:r>
      <w:bookmarkEnd w:id="10"/>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期货公司是依照《公司法》、《期货交易管理条例》的规定设立的经营期货业务的金融机构。期货公司可以依法从事商品期货经纪、金融期货经纪、境外期货经纪、期货投资咨询、资产管理业务。</w:t>
      </w:r>
    </w:p>
    <w:p>
      <w:pPr>
        <w:pStyle w:val="3"/>
        <w:ind w:firstLine="643" w:firstLineChars="200"/>
      </w:pPr>
      <w:bookmarkStart w:id="11" w:name="_Toc3866"/>
      <w:r>
        <w:rPr>
          <w:rFonts w:hint="eastAsia"/>
        </w:rPr>
        <w:t>五、证券公司的金融服务</w:t>
      </w:r>
      <w:bookmarkEnd w:id="11"/>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证券公司可以经营下列部分或者全部业务:证券经纪;证券投资咨询;与证券交易、证券投资活动有关的财务顾问;证券保荐与承销;证券自营;证券资产管理和其他证券业务。2012年以来,证券公司业务范围、投资方式限制进一步放宽,证券公司传统服务能力不断强化,新产品、新业务也不断创新和发展。</w:t>
      </w:r>
    </w:p>
    <w:p>
      <w:pPr>
        <w:pStyle w:val="3"/>
        <w:ind w:firstLine="630" w:firstLineChars="196"/>
      </w:pPr>
      <w:bookmarkStart w:id="12" w:name="_Toc14170"/>
      <w:r>
        <w:rPr>
          <w:rFonts w:hint="eastAsia"/>
        </w:rPr>
        <w:t>六、证券经纪业务</w:t>
      </w:r>
      <w:bookmarkEnd w:id="12"/>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证券经纪业务又称代理买卖证券业务,是指证券公司接受客户委托,按照客户要求代理客户买卖证券并提供相关服务,证券公司收取佣金作为报酬的证券中介业务。</w:t>
      </w:r>
    </w:p>
    <w:p>
      <w:pPr>
        <w:pStyle w:val="3"/>
        <w:ind w:firstLine="643" w:firstLineChars="200"/>
      </w:pPr>
      <w:bookmarkStart w:id="13" w:name="_Toc15921"/>
      <w:r>
        <w:rPr>
          <w:rFonts w:hint="eastAsia"/>
        </w:rPr>
        <w:t>七、保荐与承销业务</w:t>
      </w:r>
      <w:bookmarkEnd w:id="13"/>
    </w:p>
    <w:p>
      <w:pPr>
        <w:ind w:firstLine="640" w:firstLineChars="200"/>
        <w:rPr>
          <w:rFonts w:ascii="楷体" w:hAnsi="楷体" w:eastAsia="楷体" w:cs="仿宋_GB2312"/>
          <w:sz w:val="32"/>
          <w:szCs w:val="32"/>
        </w:rPr>
      </w:pPr>
      <w:r>
        <w:rPr>
          <w:rFonts w:hint="eastAsia" w:ascii="楷体" w:hAnsi="楷体" w:eastAsia="楷体" w:cs="仿宋_GB2312"/>
          <w:sz w:val="32"/>
          <w:szCs w:val="32"/>
        </w:rPr>
        <w:t>（一）保荐业务。</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承担保荐人的证券公司提供的金融服务主要包括:发行上市前辅导;推荐发行上市;监督信息披露;发行上市后督导。</w:t>
      </w:r>
    </w:p>
    <w:p>
      <w:pPr>
        <w:ind w:firstLine="640" w:firstLineChars="200"/>
        <w:rPr>
          <w:rFonts w:ascii="楷体" w:hAnsi="楷体" w:eastAsia="楷体" w:cs="仿宋_GB2312"/>
          <w:sz w:val="32"/>
          <w:szCs w:val="32"/>
        </w:rPr>
      </w:pPr>
      <w:r>
        <w:rPr>
          <w:rFonts w:hint="eastAsia" w:ascii="楷体" w:hAnsi="楷体" w:eastAsia="楷体" w:cs="仿宋_GB2312"/>
          <w:sz w:val="32"/>
          <w:szCs w:val="32"/>
        </w:rPr>
        <w:t>（二）承销业务。</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证券承销业务可以采取代销或者包销的方式。证券代销是证券公司代发行人发售证券,在承销期结束时,将未售出的证券全部退还给发行人。证券包销是证券公司将发行人的证券按照协议全部购入或者在承销期结束时将售后剩余证券全部自行购入。</w:t>
      </w:r>
    </w:p>
    <w:p>
      <w:pPr>
        <w:pStyle w:val="3"/>
        <w:ind w:firstLine="643" w:firstLineChars="200"/>
      </w:pPr>
      <w:bookmarkStart w:id="14" w:name="_Toc2130"/>
      <w:r>
        <w:rPr>
          <w:rFonts w:hint="eastAsia"/>
        </w:rPr>
        <w:t>八、投资咨询业务</w:t>
      </w:r>
      <w:bookmarkEnd w:id="14"/>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证券公司投资咨询业务主要包括证券投资顾问业务和发布研究报告两种基本的服务形式。证券投资顾问业务是指证券公司接受客户委托,按照约定,向客户提供涉及证券及证券相关产品的投资建议服务,辅助客户作出投资决策,并直接或者间接获取经济利益的经营活动。</w:t>
      </w:r>
    </w:p>
    <w:p>
      <w:pPr>
        <w:pStyle w:val="3"/>
        <w:ind w:firstLine="643" w:firstLineChars="200"/>
      </w:pPr>
      <w:bookmarkStart w:id="15" w:name="_Toc13742"/>
      <w:r>
        <w:rPr>
          <w:rFonts w:hint="eastAsia"/>
        </w:rPr>
        <w:t>九、资产管理业务</w:t>
      </w:r>
      <w:bookmarkEnd w:id="15"/>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资产管理业务是指证券公司作为资产管理人,接受客户的委托或信托,根据有关法律、法规和与投资者签订的资产管理合同,按照资产管理合同约定的方式、条件、要求和限制,为投资者提供证券及其他金融产品的投资管理服务,客户取得收益并承担投资风险的证券中介业务。</w:t>
      </w:r>
    </w:p>
    <w:p>
      <w:pPr>
        <w:pStyle w:val="3"/>
        <w:ind w:firstLine="643" w:firstLineChars="200"/>
      </w:pPr>
      <w:bookmarkStart w:id="16" w:name="_Toc21329"/>
      <w:r>
        <w:rPr>
          <w:rFonts w:hint="eastAsia"/>
        </w:rPr>
        <w:t>十、财务顾问业务</w:t>
      </w:r>
      <w:bookmarkEnd w:id="16"/>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证券公司从事的与财务顾问活动主要包括:为企业申请证券发行和上市提供改制改组、资产重组、前期辅导等方面的咨询服务;为上市公司重大投资、收购兼并、关联交易等业务提供咨询服务;为法人、自然人及其他组织收购上市公司及相关的资产重组、债务重组等提供咨询服务;为上市公司完善法人治理结构、设计经理层股票期权、职工持股计划、投资者关系管理等提供咨询服务;为上市公司再融资、资产重组、债务重组等资本营运提供融资策划、方案设计、推介路演等方面的咨询服务;为上市公司的债权人、债务人对上市公司进行债务重组、资产重组、相关的股权重组等提供咨询服务等。</w:t>
      </w:r>
    </w:p>
    <w:p>
      <w:pPr>
        <w:pStyle w:val="3"/>
        <w:ind w:firstLine="643" w:firstLineChars="200"/>
      </w:pPr>
      <w:bookmarkStart w:id="17" w:name="_Toc28273"/>
      <w:r>
        <w:rPr>
          <w:rFonts w:hint="eastAsia"/>
        </w:rPr>
        <w:t>十一、创新业务</w:t>
      </w:r>
      <w:bookmarkEnd w:id="17"/>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融资融券业务。是指在证券交易所或者国务院批准的其他证券交易场所进行的证券交易中,证券公司向客户出借资金供其买入证券(融资)或者出借证券供其卖出(融券),并由客户交存相应担保物的经营活动。</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柜台交易业务。柜台业务初期是销售和转让证券公司理财产品、代销金融产品,且多为证券公司自己创设、开发和管理的金融产品,主要针对机构客户,交易方式以协议交易为主,并逐步尝试开展报价交易或做市商交易机制。</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股票约定式回购交易业务。是指符合条件的投资者以约定价格向证券公司卖出特定股票,并约定在未来某日期按照另一约定价格从证券公司购回的交易行为。</w:t>
      </w:r>
    </w:p>
    <w:p>
      <w:pPr>
        <w:pStyle w:val="3"/>
        <w:ind w:firstLine="643" w:firstLineChars="200"/>
      </w:pPr>
      <w:bookmarkStart w:id="18" w:name="_Toc20839"/>
      <w:r>
        <w:rPr>
          <w:rFonts w:hint="eastAsia"/>
        </w:rPr>
        <w:t>十二、基金管理公司及私募基金的金融服务</w:t>
      </w:r>
      <w:bookmarkEnd w:id="18"/>
    </w:p>
    <w:p>
      <w:pPr>
        <w:ind w:firstLine="640" w:firstLineChars="200"/>
        <w:rPr>
          <w:rFonts w:ascii="楷体" w:hAnsi="楷体" w:eastAsia="楷体" w:cs="仿宋_GB2312"/>
          <w:sz w:val="32"/>
          <w:szCs w:val="32"/>
        </w:rPr>
      </w:pPr>
      <w:r>
        <w:rPr>
          <w:rFonts w:hint="eastAsia" w:ascii="楷体" w:hAnsi="楷体" w:eastAsia="楷体" w:cs="仿宋_GB2312"/>
          <w:sz w:val="32"/>
          <w:szCs w:val="32"/>
        </w:rPr>
        <w:t>(一)证券投资基金业务</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证券投资基金业务。是基金管理公司最主要的业务。包括基金募集与销售、基金的投资管理,以及以基金注册登记、核算与估值、基金清算和信息披露为主要内容的基金运营服务。</w:t>
      </w:r>
    </w:p>
    <w:p>
      <w:pPr>
        <w:ind w:firstLine="640" w:firstLineChars="200"/>
        <w:rPr>
          <w:rFonts w:ascii="楷体" w:hAnsi="楷体" w:eastAsia="楷体" w:cs="仿宋_GB2312"/>
          <w:sz w:val="32"/>
          <w:szCs w:val="32"/>
        </w:rPr>
      </w:pPr>
      <w:r>
        <w:rPr>
          <w:rFonts w:hint="eastAsia" w:ascii="楷体" w:hAnsi="楷体" w:eastAsia="楷体" w:cs="仿宋_GB2312"/>
          <w:sz w:val="32"/>
          <w:szCs w:val="32"/>
        </w:rPr>
        <w:t>(二)特定客户资产管理业务</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基金管理公司可以为单一客户办理特定客户资产管理业务,也可以为特定的多个客户办理特定客户资产管理业务。</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基金管理公司特定客户资产管理业务也即专户理财业务,是基金管理公司向特定客户募集资金或者接受特定客户财产委托担任资产管理人,由商业银行担任资产托管人,为资产委托人的利益,运用委托财产进行的证券投资活动。目前,基金管理公司主要为社保基金、企业年金等开展特定客户资产管理服务。</w:t>
      </w:r>
    </w:p>
    <w:p>
      <w:pPr>
        <w:ind w:firstLine="640" w:firstLineChars="200"/>
        <w:rPr>
          <w:rFonts w:ascii="楷体" w:hAnsi="楷体" w:eastAsia="楷体" w:cs="仿宋_GB2312"/>
          <w:sz w:val="32"/>
          <w:szCs w:val="32"/>
        </w:rPr>
      </w:pPr>
      <w:r>
        <w:rPr>
          <w:rFonts w:hint="eastAsia" w:ascii="楷体" w:hAnsi="楷体" w:eastAsia="楷体" w:cs="仿宋_GB2312"/>
          <w:sz w:val="32"/>
          <w:szCs w:val="32"/>
        </w:rPr>
        <w:t>(三)投资咨询业务</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基金管理公司不需报经中国证监会审批,可以直接向合格境外机构投资者、境内保险公司及其他依法设立运作的机构等特定对象提供投资咨询服务。</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基金管理公司需要将投资咨询业务与基金投资管理等业务相分离,在投资咨询业务中不能承诺投资收益,不能与投资咨询客户约定分享投资收益或者分担投资损失,不能通过广告等方式招揽投资咨询客户,也不能代理投资咨询客户从事证券投资。</w:t>
      </w:r>
    </w:p>
    <w:p>
      <w:pPr>
        <w:pStyle w:val="3"/>
        <w:ind w:firstLine="643" w:firstLineChars="200"/>
      </w:pPr>
      <w:bookmarkStart w:id="19" w:name="_Toc6713"/>
      <w:r>
        <w:rPr>
          <w:rFonts w:hint="eastAsia"/>
        </w:rPr>
        <w:t>十三、QDII业务</w:t>
      </w:r>
      <w:bookmarkEnd w:id="19"/>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QDII是指在人民币资本项目不完全可兑换、资本市场未充分开放的条件下,在一国境内设立、经有关部门批准,可以有控制地投资境外资本市场的境内机构。通过基金公司的QDII业务,国内投资者得以直接参与国外资本市场,开展股票、债券等有价证券投资业务,从而获取全球市场收益。</w:t>
      </w:r>
    </w:p>
    <w:p>
      <w:pPr>
        <w:pStyle w:val="3"/>
        <w:ind w:firstLine="643" w:firstLineChars="200"/>
      </w:pPr>
      <w:bookmarkStart w:id="20" w:name="_Toc32406"/>
      <w:r>
        <w:rPr>
          <w:rFonts w:hint="eastAsia"/>
        </w:rPr>
        <w:t>十四、期货公司的金融服务</w:t>
      </w:r>
      <w:bookmarkEnd w:id="20"/>
    </w:p>
    <w:p>
      <w:pPr>
        <w:ind w:firstLine="640" w:firstLineChars="200"/>
        <w:rPr>
          <w:rFonts w:ascii="楷体" w:hAnsi="楷体" w:eastAsia="楷体" w:cs="仿宋_GB2312"/>
          <w:sz w:val="32"/>
          <w:szCs w:val="32"/>
        </w:rPr>
      </w:pPr>
      <w:r>
        <w:rPr>
          <w:rFonts w:hint="eastAsia" w:ascii="楷体" w:hAnsi="楷体" w:eastAsia="楷体" w:cs="仿宋_GB2312"/>
          <w:sz w:val="32"/>
          <w:szCs w:val="32"/>
        </w:rPr>
        <w:t>(一)经纪业务</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由于期货交易的高风险性,期货交易所执行严格的会员交易制度,非会员不得人场交易,一般投资者只能委托期货公司进行期货交易,期货公司接受客户委托,以自己的名义为客户进行期货交易。期货经纪业务本质上是一种代理活动,期货公司遵照客户指令代理买卖期货合约,并办理结算和交割手续。</w:t>
      </w:r>
    </w:p>
    <w:p>
      <w:pPr>
        <w:ind w:firstLine="640" w:firstLineChars="200"/>
        <w:rPr>
          <w:rFonts w:ascii="楷体" w:hAnsi="楷体" w:eastAsia="楷体" w:cs="仿宋_GB2312"/>
          <w:sz w:val="32"/>
          <w:szCs w:val="32"/>
        </w:rPr>
      </w:pPr>
      <w:r>
        <w:rPr>
          <w:rFonts w:hint="eastAsia" w:ascii="楷体" w:hAnsi="楷体" w:eastAsia="楷体" w:cs="仿宋_GB2312"/>
          <w:sz w:val="32"/>
          <w:szCs w:val="32"/>
        </w:rPr>
        <w:t>(二)投资咨询业务</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期货公司可以从事风险管理顾问、期货研究分析、期货交易咨询等盈利性服务。其中,风险管理顾问包括协助客户建立风险管理制度、操作流程,提供风险管理咨询、专项培训等;期货研究分析包括收集整理期货市场及各类经济信息,研究分析期货市场及相关现货市场的价格及其相关影响因素,制作提供研究分析报告和资讯信息;期货交易咨询包括为客户设计套期保值、套利等投资方案,拟定期货交易操作策略等。</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楷体" w:hAnsi="楷体" w:eastAsia="楷体" w:cs="仿宋_GB2312"/>
          <w:sz w:val="32"/>
          <w:szCs w:val="32"/>
        </w:rPr>
        <w:t>三)资产管理业务</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获得资产管理业务试点资格的期货公司,可以接受单一客户或者特定多个客户的书面委托,运用客户委托资产进行投资,并按照合同约定收取费用或者报酬。</w:t>
      </w:r>
    </w:p>
    <w:p>
      <w:pPr>
        <w:ind w:firstLine="640" w:firstLineChars="200"/>
        <w:rPr>
          <w:rFonts w:ascii="楷体" w:hAnsi="楷体" w:eastAsia="楷体" w:cs="仿宋_GB2312"/>
          <w:sz w:val="32"/>
          <w:szCs w:val="32"/>
        </w:rPr>
      </w:pPr>
      <w:r>
        <w:rPr>
          <w:rFonts w:hint="eastAsia" w:ascii="楷体" w:hAnsi="楷体" w:eastAsia="楷体" w:cs="仿宋_GB2312"/>
          <w:sz w:val="32"/>
          <w:szCs w:val="32"/>
        </w:rPr>
        <w:t>(四)期现结合业务</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期货公司可以通过设立子公司的方式,为实体企业提供丰富多样的期现结合产品及服务,内容涵盖仓单服务、合作套保、基差交易、定价服务等。做市业务是指风险管理子公司为特定的期货、期权等衍生品合约提供连续报价或回应询价,并利用自有资金作为交易对手方提供市场流动性服务的业务行为。</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仓单服务,即现货业务子公司为实体企业客户提供仓单串换、仓单回购、仓单收购、仓单销售等业务,以此提高仓单市场的流动性。此外,基于期货公司在套期保值上的经验优势,现货业务子公司还可以将买卖仓单与套期保值相结合。合作套保,相比传统的套期保值,合作套保更侧重在与企业结成利益关联方的基础上,通过更深入地了解客户的经营环节,共同参与套保流程的制定和操作,为企业量身定做更个性化的套保服务,提升企业套保的实际效果和风险管理水平。</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基差交易,即以某月份的期货价格为计价基础,以期货价格加上或减去双方协商同意的基差,来确定双方买卖现货商品的价格的一种交易方式。基差交易在海外期货市场中的运用极为广泛,主要是与套期保值联合运用。</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定价服务,即期货公司子公司可以在基差贸易的基础上,为现货企业提供点价交易、均价交易、远期和互换等个性化的定价和风险管理工具。</w:t>
      </w:r>
    </w:p>
    <w:p>
      <w:pPr>
        <w:pStyle w:val="3"/>
        <w:ind w:firstLine="643" w:firstLineChars="200"/>
      </w:pPr>
      <w:bookmarkStart w:id="21" w:name="_Toc6453"/>
      <w:r>
        <w:rPr>
          <w:rFonts w:hint="eastAsia"/>
        </w:rPr>
        <w:t>十五、多层次资本市场</w:t>
      </w:r>
      <w:bookmarkEnd w:id="21"/>
    </w:p>
    <w:p>
      <w:pPr>
        <w:ind w:firstLine="640" w:firstLineChars="200"/>
        <w:rPr>
          <w:rFonts w:ascii="楷体" w:hAnsi="楷体" w:eastAsia="楷体" w:cs="仿宋_GB2312"/>
          <w:sz w:val="32"/>
          <w:szCs w:val="32"/>
        </w:rPr>
      </w:pPr>
      <w:r>
        <w:rPr>
          <w:rFonts w:hint="eastAsia" w:ascii="楷体" w:hAnsi="楷体" w:eastAsia="楷体" w:cs="仿宋_GB2312"/>
          <w:sz w:val="32"/>
          <w:szCs w:val="32"/>
        </w:rPr>
        <w:t>（一）主板市场</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包括上海主板(股票代码以600开头)和深圳主板(股票代码以000开头),设立于1990年。是指传统意义上的证券市场,是一个国家或地区证券发行、上市及交易的主要场所,上市企业多为规模较大、已步入成熟期的上市蓝筹公司,如中石油、中石化、工商银行等。</w:t>
      </w:r>
    </w:p>
    <w:p>
      <w:pPr>
        <w:ind w:firstLine="640" w:firstLineChars="200"/>
        <w:rPr>
          <w:rFonts w:ascii="楷体" w:hAnsi="楷体" w:eastAsia="楷体" w:cs="仿宋_GB2312"/>
          <w:sz w:val="32"/>
          <w:szCs w:val="32"/>
        </w:rPr>
      </w:pPr>
      <w:r>
        <w:rPr>
          <w:rFonts w:hint="eastAsia" w:ascii="楷体" w:hAnsi="楷体" w:eastAsia="楷体" w:cs="仿宋_GB2312"/>
          <w:sz w:val="32"/>
          <w:szCs w:val="32"/>
        </w:rPr>
        <w:t>（二）中小板市场</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2004年设立,指流通盘1亿元以下的创业板块,是相对于主板市场而言的,主要服务于处于成熟期且盈利比较稳定的企业,更多是传统行业企业。</w:t>
      </w:r>
    </w:p>
    <w:p>
      <w:pPr>
        <w:ind w:firstLine="640" w:firstLineChars="200"/>
        <w:rPr>
          <w:rFonts w:ascii="楷体" w:hAnsi="楷体" w:eastAsia="楷体" w:cs="仿宋_GB2312"/>
          <w:sz w:val="32"/>
          <w:szCs w:val="32"/>
        </w:rPr>
      </w:pPr>
      <w:r>
        <w:rPr>
          <w:rFonts w:hint="eastAsia" w:ascii="楷体" w:hAnsi="楷体" w:eastAsia="楷体" w:cs="仿宋_GB2312"/>
          <w:sz w:val="32"/>
          <w:szCs w:val="32"/>
        </w:rPr>
        <w:t>（三）创业板市场</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2009年设立,是地位次于主板市场的二板证券市场,在我国特指深圳创业板(股票代码以300开头),主要服务于成长期且具有一定盈利能力的企业,更多是新兴行业企业。　　          </w:t>
      </w:r>
      <w:r>
        <w:rPr>
          <w:rFonts w:hint="eastAsia" w:ascii="楷体" w:hAnsi="楷体" w:eastAsia="楷体" w:cs="仿宋_GB2312"/>
          <w:sz w:val="32"/>
          <w:szCs w:val="32"/>
        </w:rPr>
        <w:t>（四）全国中小企业股份转让系统(新三板)</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新三板是国务院依法设立的全国性证券交易场所,其前身是证券公司代办股份转让系统,2013年揭牌运行,目前有挂牌企业12000家。企业在新三板挂牌主要程序有5步:①企业股份制改造,约2-3个月;②主办券商尽职调查,梳理解决拟挂牌公司在内部控制、财务风险、持续经营能力、公司治理等方面的问题;③主办券商内核,发现存在问题的,提出整改思路;同意挂牌的,向监管机构推荐。尽职调查和内核约需1-2个月;④股转系统审核并提出反馈意见,由券商完善意见后给予答复,约2个月;⑤股份登记和托管。新三板挂牌全部流程至少需要一年时间,如果企业历史遗留问题较多,需要花费的时间会更长。</w:t>
      </w:r>
    </w:p>
    <w:p>
      <w:pPr>
        <w:ind w:firstLine="640" w:firstLineChars="200"/>
        <w:rPr>
          <w:rFonts w:ascii="楷体" w:hAnsi="楷体" w:eastAsia="楷体" w:cs="仿宋_GB2312"/>
          <w:sz w:val="32"/>
          <w:szCs w:val="32"/>
        </w:rPr>
      </w:pPr>
      <w:r>
        <w:rPr>
          <w:rFonts w:hint="eastAsia" w:ascii="楷体" w:hAnsi="楷体" w:eastAsia="楷体" w:cs="仿宋_GB2312"/>
          <w:sz w:val="32"/>
          <w:szCs w:val="32"/>
        </w:rPr>
        <w:t>（五）区域股权交易市场</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俗称“四板市场”,主要为其所在省级行政区域内的企业特别是中小企业提供股权、债权转让和融资服务的私募市场。目前全国有40多家区域股权市场,我省中原股权交易中心成立较晚,设立于2015年9月,但发展较快,目前有挂牌企业2395家,我市有190家。2017年7月1日实施的《区域性股权市场监督管理试行办法》明确规定,四板市场不得为其所在省级行政区域外的企业提供服务,其所在地省级政府负责对该市场进行监督管理和风险处置。</w:t>
      </w:r>
    </w:p>
    <w:p>
      <w:pPr>
        <w:pStyle w:val="3"/>
        <w:ind w:firstLine="643" w:firstLineChars="200"/>
      </w:pPr>
      <w:bookmarkStart w:id="22" w:name="_Toc9636"/>
      <w:r>
        <w:rPr>
          <w:rFonts w:hint="eastAsia"/>
        </w:rPr>
        <w:t>十六、首次公开发行(IPO)</w:t>
      </w:r>
      <w:bookmarkEnd w:id="22"/>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指一家股份有限公司第一次将它的股份向社会公众投资者发售的行为。实务中,IPO需经过中国证监会批准,在简政放权的大背景下的IPO注册制改革可能会给审核体制带来改变。</w:t>
      </w:r>
    </w:p>
    <w:p>
      <w:pPr>
        <w:pStyle w:val="3"/>
        <w:ind w:firstLine="643" w:firstLineChars="200"/>
      </w:pPr>
      <w:bookmarkStart w:id="23" w:name="_Toc4382"/>
      <w:r>
        <w:rPr>
          <w:rFonts w:hint="eastAsia"/>
        </w:rPr>
        <w:t>十七、融资担保公司</w:t>
      </w:r>
      <w:bookmarkEnd w:id="23"/>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是指依法设立、经营融资担保业务的有限责任公司或者股份有限公司。</w:t>
      </w:r>
    </w:p>
    <w:p>
      <w:pPr>
        <w:pStyle w:val="3"/>
        <w:ind w:firstLine="643" w:firstLineChars="200"/>
      </w:pPr>
      <w:bookmarkStart w:id="24" w:name="_Toc27469"/>
      <w:r>
        <w:rPr>
          <w:rFonts w:hint="eastAsia"/>
        </w:rPr>
        <w:t>十八、小额贷款公司</w:t>
      </w:r>
      <w:bookmarkEnd w:id="24"/>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是由自然人、企业法人与其他社会组织投资设立，不吸收公众存款，经营小额贷款业务的有限责任公司或股份有限公司。小额贷款公司是企业法人，有独立的法人财产，享有法人财产权，以全部财产对其债务承担民事责任。小额贷款公司股东依法享有资产收益、参与重大决策和选择管理者等权利，以其认缴的出资额或认购的股份为限对公司承担责任。</w:t>
      </w:r>
    </w:p>
    <w:p>
      <w:pPr>
        <w:pStyle w:val="3"/>
        <w:ind w:firstLine="643" w:firstLineChars="200"/>
      </w:pPr>
      <w:bookmarkStart w:id="25" w:name="_Toc23071"/>
      <w:r>
        <w:rPr>
          <w:rFonts w:hint="eastAsia"/>
        </w:rPr>
        <w:t>十九、典当行</w:t>
      </w:r>
      <w:bookmarkEnd w:id="25"/>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典当行亦称典当公司或当铺，是主要以财物作为质押进行有偿有期借贷融资的非银行金融机构,是以货币借贷为主和商品销售为辅的市场组织。</w:t>
      </w:r>
    </w:p>
    <w:p>
      <w:pPr>
        <w:pStyle w:val="3"/>
        <w:ind w:firstLine="643" w:firstLineChars="200"/>
      </w:pPr>
      <w:bookmarkStart w:id="26" w:name="_Toc23546"/>
      <w:r>
        <w:rPr>
          <w:rFonts w:hint="eastAsia"/>
        </w:rPr>
        <w:t>二十、商业保理</w:t>
      </w:r>
      <w:bookmarkEnd w:id="26"/>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商业保理是指卖方将其现在或将来的基于其与买方订立的货物销售、服务合同所产生的应收账款转让给保理商(提供保理服务的金融机构)，由保理商向其提供资金融通、买方资信评估、销售账户管理、信用风险担保、账款催收等一系列服务的综合金融服务方式。</w:t>
      </w:r>
    </w:p>
    <w:p>
      <w:pPr>
        <w:pStyle w:val="3"/>
        <w:ind w:firstLine="643" w:firstLineChars="200"/>
      </w:pPr>
      <w:bookmarkStart w:id="27" w:name="_Toc22559"/>
      <w:r>
        <w:rPr>
          <w:rFonts w:hint="eastAsia"/>
        </w:rPr>
        <w:t>二十一、融资租赁</w:t>
      </w:r>
      <w:bookmarkEnd w:id="27"/>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融资租赁是指出租人根据承租人对租赁物件的特定要求和对供货人的选择，出资向供货人购买租赁物件，并租给承租人使用，承租人则分期向出租人支付租金，在租赁期内租赁物件的所有权属于出租人所有，承租人拥有租赁物件的使用权。租期届满，租金支付完毕并且承租人根据融资租赁合同的规定履行完全部义务后，对租赁物的归属没有约定的或者约定不明的，可以协议补充;不能达成补充协议的，按照合同有关条款或者交易习惯确定，仍然不能确定的，租赁物件所有权归出租人所有。</w:t>
      </w:r>
    </w:p>
    <w:p>
      <w:r>
        <w:br w:type="page"/>
      </w:r>
    </w:p>
    <w:p>
      <w:pPr>
        <w:pStyle w:val="2"/>
        <w:jc w:val="center"/>
        <w:rPr>
          <w:rFonts w:eastAsia="宋体"/>
        </w:rPr>
      </w:pPr>
      <w:bookmarkStart w:id="28" w:name="_Toc22656"/>
      <w:r>
        <w:rPr>
          <w:rFonts w:hint="eastAsia"/>
        </w:rPr>
        <w:t>第三篇 金融政策</w:t>
      </w:r>
      <w:bookmarkEnd w:id="28"/>
    </w:p>
    <w:p>
      <w:pPr>
        <w:pStyle w:val="3"/>
        <w:jc w:val="center"/>
        <w:rPr>
          <w:rFonts w:hint="eastAsia"/>
          <w:sz w:val="44"/>
          <w:szCs w:val="44"/>
        </w:rPr>
      </w:pPr>
      <w:bookmarkStart w:id="29" w:name="_Toc130995812"/>
      <w:bookmarkStart w:id="30" w:name="_Toc19231"/>
      <w:r>
        <w:rPr>
          <w:rFonts w:hint="eastAsia"/>
          <w:sz w:val="44"/>
          <w:szCs w:val="44"/>
        </w:rPr>
        <w:t>一、南阳市促进私募股权投资基金发展奖励办法（试行）</w:t>
      </w:r>
      <w:bookmarkEnd w:id="29"/>
      <w:bookmarkEnd w:id="30"/>
    </w:p>
    <w:p>
      <w:pPr>
        <w:keepNext/>
        <w:keepLines/>
        <w:spacing w:line="560" w:lineRule="exact"/>
        <w:ind w:firstLine="480" w:firstLineChars="200"/>
        <w:jc w:val="center"/>
        <w:rPr>
          <w:rStyle w:val="19"/>
          <w:rFonts w:hint="eastAsia" w:ascii="楷体" w:hAnsi="楷体" w:eastAsia="楷体" w:cs="楷体"/>
          <w:color w:val="000000"/>
          <w:sz w:val="24"/>
          <w:szCs w:val="24"/>
        </w:rPr>
      </w:pPr>
      <w:r>
        <w:rPr>
          <w:rStyle w:val="19"/>
          <w:rFonts w:hint="eastAsia" w:ascii="楷体" w:hAnsi="楷体" w:eastAsia="楷体" w:cs="楷体"/>
          <w:color w:val="000000"/>
          <w:sz w:val="24"/>
          <w:szCs w:val="24"/>
          <w:lang w:eastAsia="zh-CN"/>
        </w:rPr>
        <w:t>南阳市人民政府办公室文件</w:t>
      </w:r>
      <w:r>
        <w:rPr>
          <w:rStyle w:val="19"/>
          <w:rFonts w:hint="eastAsia" w:ascii="楷体" w:hAnsi="楷体" w:eastAsia="楷体" w:cs="楷体"/>
          <w:color w:val="000000"/>
          <w:sz w:val="24"/>
          <w:szCs w:val="24"/>
          <w:lang w:val="en-US" w:eastAsia="zh-CN"/>
        </w:rPr>
        <w:t xml:space="preserve"> </w:t>
      </w:r>
      <w:r>
        <w:rPr>
          <w:rStyle w:val="19"/>
          <w:rFonts w:hint="eastAsia" w:ascii="楷体" w:hAnsi="楷体" w:eastAsia="楷体" w:cs="楷体"/>
          <w:color w:val="000000"/>
          <w:sz w:val="24"/>
          <w:szCs w:val="24"/>
        </w:rPr>
        <w:t>宛政办〔2021〕</w:t>
      </w:r>
      <w:r>
        <w:rPr>
          <w:rStyle w:val="19"/>
          <w:rFonts w:hint="eastAsia" w:ascii="楷体" w:hAnsi="楷体" w:eastAsia="楷体" w:cs="楷体"/>
          <w:color w:val="000000"/>
          <w:sz w:val="24"/>
          <w:szCs w:val="24"/>
          <w:lang w:val="en-US" w:eastAsia="zh-CN"/>
        </w:rPr>
        <w:t>5</w:t>
      </w:r>
      <w:r>
        <w:rPr>
          <w:rStyle w:val="19"/>
          <w:rFonts w:hint="eastAsia" w:ascii="楷体" w:hAnsi="楷体" w:eastAsia="楷体" w:cs="楷体"/>
          <w:color w:val="000000"/>
          <w:sz w:val="24"/>
          <w:szCs w:val="24"/>
        </w:rPr>
        <w:t>号</w:t>
      </w:r>
    </w:p>
    <w:p>
      <w:pPr>
        <w:keepNext/>
        <w:keepLines/>
        <w:spacing w:line="560" w:lineRule="exact"/>
        <w:ind w:firstLine="480" w:firstLineChars="200"/>
        <w:jc w:val="center"/>
        <w:rPr>
          <w:rStyle w:val="19"/>
          <w:rFonts w:hint="eastAsia" w:ascii="楷体" w:hAnsi="楷体" w:eastAsia="楷体" w:cs="楷体"/>
          <w:color w:val="000000"/>
          <w:sz w:val="24"/>
          <w:szCs w:val="24"/>
        </w:rPr>
      </w:pPr>
      <w:r>
        <w:rPr>
          <w:rStyle w:val="19"/>
          <w:rFonts w:hint="eastAsia" w:ascii="楷体" w:hAnsi="楷体" w:eastAsia="楷体" w:cs="楷体"/>
          <w:color w:val="000000"/>
          <w:sz w:val="24"/>
          <w:szCs w:val="24"/>
        </w:rPr>
        <w:t>2021年</w:t>
      </w:r>
      <w:r>
        <w:rPr>
          <w:rStyle w:val="19"/>
          <w:rFonts w:hint="eastAsia" w:ascii="楷体" w:hAnsi="楷体" w:eastAsia="楷体" w:cs="楷体"/>
          <w:color w:val="000000"/>
          <w:sz w:val="24"/>
          <w:szCs w:val="24"/>
          <w:lang w:val="en-US" w:eastAsia="zh-CN"/>
        </w:rPr>
        <w:t>2</w:t>
      </w:r>
      <w:r>
        <w:rPr>
          <w:rStyle w:val="19"/>
          <w:rFonts w:hint="eastAsia" w:ascii="楷体" w:hAnsi="楷体" w:eastAsia="楷体" w:cs="楷体"/>
          <w:color w:val="000000"/>
          <w:sz w:val="24"/>
          <w:szCs w:val="24"/>
        </w:rPr>
        <w:t>月</w:t>
      </w:r>
      <w:r>
        <w:rPr>
          <w:rStyle w:val="19"/>
          <w:rFonts w:hint="eastAsia" w:ascii="楷体" w:hAnsi="楷体" w:eastAsia="楷体" w:cs="楷体"/>
          <w:color w:val="000000"/>
          <w:sz w:val="24"/>
          <w:szCs w:val="24"/>
          <w:lang w:val="en-US" w:eastAsia="zh-CN"/>
        </w:rPr>
        <w:t>23</w:t>
      </w:r>
      <w:r>
        <w:rPr>
          <w:rStyle w:val="19"/>
          <w:rFonts w:hint="eastAsia" w:ascii="楷体" w:hAnsi="楷体" w:eastAsia="楷体" w:cs="楷体"/>
          <w:color w:val="000000"/>
          <w:sz w:val="24"/>
          <w:szCs w:val="24"/>
        </w:rPr>
        <w:t>日印发</w:t>
      </w:r>
    </w:p>
    <w:p/>
    <w:p>
      <w:pPr>
        <w:jc w:val="center"/>
        <w:rPr>
          <w:rFonts w:ascii="黑体" w:hAnsi="黑体" w:eastAsia="黑体" w:cs="黑体"/>
          <w:sz w:val="32"/>
        </w:rPr>
      </w:pPr>
      <w:r>
        <w:rPr>
          <w:rFonts w:hint="eastAsia" w:ascii="黑体" w:hAnsi="黑体" w:eastAsia="黑体" w:cs="黑体"/>
          <w:sz w:val="32"/>
        </w:rPr>
        <w:t>第一章  总  则</w:t>
      </w:r>
    </w:p>
    <w:p>
      <w:pPr>
        <w:pStyle w:val="12"/>
        <w:widowControl/>
        <w:adjustRightInd w:val="0"/>
        <w:snapToGrid w:val="0"/>
        <w:spacing w:beforeAutospacing="0" w:afterAutospacing="0" w:line="570" w:lineRule="exact"/>
        <w:ind w:firstLine="640" w:firstLineChars="200"/>
        <w:jc w:val="both"/>
        <w:rPr>
          <w:rFonts w:ascii="微软雅黑" w:hAnsi="微软雅黑" w:eastAsia="微软雅黑" w:cs="微软雅黑"/>
          <w:color w:val="535353"/>
          <w:szCs w:val="24"/>
        </w:rPr>
      </w:pPr>
      <w:r>
        <w:rPr>
          <w:rFonts w:hint="eastAsia" w:ascii="仿宋" w:hAnsi="仿宋" w:eastAsia="仿宋" w:cs="仿宋"/>
          <w:kern w:val="2"/>
          <w:sz w:val="32"/>
        </w:rPr>
        <w:t>第一条  为吸引私募股权投资基金和基金管理企业来我市发展，改善我市投资结构，壮大基金投资规模，提高直接融资比重，推动更多的经过基金专业化团队筛选的优质项目落地，促进我市产业发展，借鉴先进地区经验，结合我市实际，制定本办法。</w:t>
      </w:r>
    </w:p>
    <w:p>
      <w:pPr>
        <w:adjustRightInd w:val="0"/>
        <w:snapToGrid w:val="0"/>
        <w:spacing w:line="570" w:lineRule="exact"/>
        <w:ind w:firstLine="640" w:firstLineChars="200"/>
        <w:jc w:val="center"/>
        <w:rPr>
          <w:rFonts w:ascii="黑体" w:hAnsi="黑体" w:eastAsia="黑体" w:cs="黑体"/>
          <w:sz w:val="32"/>
          <w:szCs w:val="32"/>
        </w:rPr>
      </w:pPr>
      <w:r>
        <w:rPr>
          <w:rFonts w:hint="eastAsia" w:ascii="黑体" w:hAnsi="黑体" w:eastAsia="黑体" w:cs="黑体"/>
          <w:sz w:val="32"/>
          <w:szCs w:val="32"/>
        </w:rPr>
        <w:t>第二章适用范围</w:t>
      </w:r>
    </w:p>
    <w:p>
      <w:pPr>
        <w:pStyle w:val="12"/>
        <w:widowControl/>
        <w:adjustRightInd w:val="0"/>
        <w:snapToGrid w:val="0"/>
        <w:spacing w:beforeAutospacing="0" w:afterAutospacing="0" w:line="570" w:lineRule="exact"/>
        <w:ind w:firstLine="640" w:firstLineChars="200"/>
        <w:jc w:val="both"/>
        <w:rPr>
          <w:rFonts w:ascii="仿宋" w:hAnsi="仿宋" w:eastAsia="仿宋" w:cs="仿宋"/>
          <w:kern w:val="2"/>
          <w:sz w:val="32"/>
        </w:rPr>
      </w:pPr>
      <w:r>
        <w:rPr>
          <w:rFonts w:hint="eastAsia" w:ascii="仿宋" w:hAnsi="仿宋" w:eastAsia="仿宋" w:cs="仿宋"/>
          <w:kern w:val="2"/>
          <w:sz w:val="32"/>
        </w:rPr>
        <w:t>第二条  本办法适用于按照国家有关法律法规规定，在本市新注册或新迁入的以公司制、合伙制组织形式设立的私募股权投资基金、私募股权投资基金管理企业及企业高级管理人员。</w:t>
      </w:r>
    </w:p>
    <w:p>
      <w:pPr>
        <w:pStyle w:val="12"/>
        <w:widowControl/>
        <w:adjustRightInd w:val="0"/>
        <w:snapToGrid w:val="0"/>
        <w:spacing w:beforeAutospacing="0" w:afterAutospacing="0" w:line="570" w:lineRule="exact"/>
        <w:ind w:firstLine="640" w:firstLineChars="200"/>
        <w:jc w:val="both"/>
        <w:rPr>
          <w:rFonts w:ascii="仿宋" w:hAnsi="仿宋" w:eastAsia="仿宋" w:cs="仿宋"/>
          <w:kern w:val="2"/>
          <w:sz w:val="32"/>
        </w:rPr>
      </w:pPr>
      <w:r>
        <w:rPr>
          <w:rFonts w:hint="eastAsia" w:ascii="仿宋" w:hAnsi="仿宋" w:eastAsia="仿宋" w:cs="仿宋"/>
          <w:kern w:val="2"/>
          <w:sz w:val="32"/>
        </w:rPr>
        <w:t>私募股权投资基金(以下简称“私募基金”)是指以非公开方式向特定对象募集设立的对非上市企业进行股权投资并提供增值服务的非证券类投资基金（包括产业投资基金、创业投资基金等）。</w:t>
      </w:r>
    </w:p>
    <w:p>
      <w:pPr>
        <w:pStyle w:val="12"/>
        <w:widowControl/>
        <w:adjustRightInd w:val="0"/>
        <w:snapToGrid w:val="0"/>
        <w:spacing w:beforeAutospacing="0" w:afterAutospacing="0" w:line="570" w:lineRule="exact"/>
        <w:ind w:firstLine="640" w:firstLineChars="200"/>
        <w:jc w:val="both"/>
        <w:rPr>
          <w:rFonts w:ascii="仿宋" w:hAnsi="仿宋" w:eastAsia="仿宋" w:cs="仿宋"/>
          <w:kern w:val="2"/>
          <w:sz w:val="32"/>
        </w:rPr>
      </w:pPr>
      <w:r>
        <w:rPr>
          <w:rFonts w:hint="eastAsia" w:ascii="仿宋" w:hAnsi="仿宋" w:eastAsia="仿宋" w:cs="仿宋"/>
          <w:kern w:val="2"/>
          <w:sz w:val="32"/>
        </w:rPr>
        <w:t>私募股权投资基金管理企业(以下简称“基金管理企业”)是指注册或迁入我市后在我市发行运作私募股权投资基金的企业。</w:t>
      </w:r>
    </w:p>
    <w:p>
      <w:pPr>
        <w:pStyle w:val="12"/>
        <w:widowControl/>
        <w:adjustRightInd w:val="0"/>
        <w:snapToGrid w:val="0"/>
        <w:spacing w:beforeAutospacing="0" w:afterAutospacing="0" w:line="570" w:lineRule="exact"/>
        <w:ind w:firstLine="640" w:firstLineChars="200"/>
        <w:jc w:val="both"/>
        <w:rPr>
          <w:rFonts w:ascii="微软雅黑" w:hAnsi="微软雅黑" w:eastAsia="微软雅黑" w:cs="微软雅黑"/>
          <w:color w:val="000000"/>
          <w:szCs w:val="24"/>
        </w:rPr>
      </w:pPr>
      <w:r>
        <w:rPr>
          <w:rFonts w:hint="eastAsia" w:ascii="仿宋" w:hAnsi="仿宋" w:eastAsia="仿宋" w:cs="仿宋"/>
          <w:kern w:val="2"/>
          <w:sz w:val="32"/>
        </w:rPr>
        <w:t>第三条  企业享受奖励政策须符合以下基本条件：（一）符合国家法律法规和政策规定，在南阳市范围内办理工商注册并依法纳税；（二）</w:t>
      </w:r>
      <w:r>
        <w:rPr>
          <w:rFonts w:ascii="仿宋" w:hAnsi="仿宋" w:eastAsia="仿宋" w:cs="仿宋"/>
          <w:kern w:val="2"/>
          <w:sz w:val="32"/>
        </w:rPr>
        <w:t>在中国证券投资基金业协会完成私募基金或</w:t>
      </w:r>
      <w:r>
        <w:rPr>
          <w:rFonts w:hint="eastAsia" w:ascii="仿宋" w:hAnsi="仿宋" w:eastAsia="仿宋" w:cs="仿宋"/>
          <w:kern w:val="2"/>
          <w:sz w:val="32"/>
        </w:rPr>
        <w:t>基金管理企业</w:t>
      </w:r>
      <w:r>
        <w:rPr>
          <w:rFonts w:ascii="仿宋" w:hAnsi="仿宋" w:eastAsia="仿宋" w:cs="仿宋"/>
          <w:kern w:val="2"/>
          <w:sz w:val="32"/>
        </w:rPr>
        <w:t>登记备案手续。</w:t>
      </w:r>
    </w:p>
    <w:p>
      <w:pPr>
        <w:adjustRightInd w:val="0"/>
        <w:snapToGrid w:val="0"/>
        <w:spacing w:line="570" w:lineRule="exact"/>
        <w:ind w:firstLine="640" w:firstLineChars="200"/>
        <w:jc w:val="center"/>
        <w:rPr>
          <w:rFonts w:ascii="黑体" w:hAnsi="黑体" w:eastAsia="黑体" w:cs="黑体"/>
          <w:sz w:val="32"/>
          <w:szCs w:val="32"/>
        </w:rPr>
      </w:pPr>
      <w:r>
        <w:rPr>
          <w:rFonts w:hint="eastAsia" w:ascii="黑体" w:hAnsi="黑体" w:eastAsia="黑体" w:cs="黑体"/>
          <w:sz w:val="32"/>
          <w:szCs w:val="32"/>
        </w:rPr>
        <w:t>第三章奖励措施</w:t>
      </w:r>
    </w:p>
    <w:p>
      <w:pPr>
        <w:pStyle w:val="12"/>
        <w:widowControl/>
        <w:adjustRightInd w:val="0"/>
        <w:snapToGrid w:val="0"/>
        <w:spacing w:beforeAutospacing="0" w:afterAutospacing="0" w:line="570" w:lineRule="exact"/>
        <w:ind w:firstLine="640" w:firstLineChars="200"/>
        <w:jc w:val="both"/>
        <w:rPr>
          <w:rFonts w:ascii="仿宋" w:hAnsi="仿宋" w:eastAsia="仿宋" w:cs="仿宋"/>
          <w:kern w:val="2"/>
          <w:sz w:val="32"/>
        </w:rPr>
      </w:pPr>
      <w:r>
        <w:rPr>
          <w:rFonts w:hint="eastAsia" w:ascii="仿宋" w:hAnsi="仿宋" w:eastAsia="仿宋" w:cs="仿宋"/>
          <w:kern w:val="2"/>
          <w:sz w:val="32"/>
        </w:rPr>
        <w:t xml:space="preserve">第四条  </w:t>
      </w:r>
      <w:r>
        <w:rPr>
          <w:rFonts w:hint="eastAsia" w:ascii="仿宋" w:hAnsi="仿宋" w:eastAsia="仿宋" w:cs="仿宋"/>
          <w:color w:val="040404"/>
          <w:sz w:val="32"/>
          <w:shd w:val="clear" w:color="auto" w:fill="FFFFFF"/>
        </w:rPr>
        <w:t>基金落地奖励。</w:t>
      </w:r>
      <w:r>
        <w:rPr>
          <w:rFonts w:hint="eastAsia" w:ascii="仿宋" w:hAnsi="仿宋" w:eastAsia="仿宋" w:cs="仿宋"/>
          <w:kern w:val="2"/>
          <w:sz w:val="32"/>
        </w:rPr>
        <w:t>在我市新注册或者新迁入的私募基金可以享受落户奖励。基金实缴规模1亿元（含）至5亿元的，奖励50万元；实缴规模5亿元（含）以上的，奖励100万元。</w:t>
      </w:r>
    </w:p>
    <w:p>
      <w:pPr>
        <w:pStyle w:val="12"/>
        <w:widowControl/>
        <w:adjustRightInd w:val="0"/>
        <w:snapToGrid w:val="0"/>
        <w:spacing w:beforeAutospacing="0" w:afterAutospacing="0" w:line="570" w:lineRule="exact"/>
        <w:ind w:firstLine="640" w:firstLineChars="200"/>
        <w:jc w:val="both"/>
        <w:rPr>
          <w:rFonts w:ascii="仿宋" w:hAnsi="仿宋" w:eastAsia="仿宋" w:cs="仿宋"/>
          <w:kern w:val="2"/>
          <w:sz w:val="32"/>
        </w:rPr>
      </w:pPr>
      <w:r>
        <w:rPr>
          <w:rFonts w:hint="eastAsia" w:ascii="仿宋" w:hAnsi="仿宋" w:eastAsia="仿宋" w:cs="仿宋"/>
          <w:kern w:val="2"/>
          <w:sz w:val="32"/>
        </w:rPr>
        <w:t xml:space="preserve">    第五条  </w:t>
      </w:r>
      <w:r>
        <w:rPr>
          <w:rFonts w:hint="eastAsia" w:ascii="仿宋" w:hAnsi="仿宋" w:eastAsia="仿宋" w:cs="仿宋"/>
          <w:color w:val="040404"/>
          <w:sz w:val="32"/>
          <w:shd w:val="clear" w:color="auto" w:fill="FFFFFF"/>
        </w:rPr>
        <w:t>项目落地奖励。</w:t>
      </w:r>
      <w:r>
        <w:rPr>
          <w:rFonts w:hint="eastAsia" w:ascii="仿宋" w:hAnsi="仿宋" w:eastAsia="仿宋" w:cs="仿宋"/>
          <w:kern w:val="2"/>
          <w:sz w:val="32"/>
        </w:rPr>
        <w:t>对落户我市的私募基金，按照其当年对我市企业或项目股权投资额的2%给予奖励，最高不超过1000万元。同时按照基金奖励金额的30%对基金管理企业给予奖励，最高不超过300万元。</w:t>
      </w:r>
    </w:p>
    <w:p>
      <w:pPr>
        <w:pStyle w:val="12"/>
        <w:widowControl/>
        <w:adjustRightInd w:val="0"/>
        <w:snapToGrid w:val="0"/>
        <w:spacing w:beforeAutospacing="0" w:afterAutospacing="0" w:line="570" w:lineRule="exact"/>
        <w:ind w:firstLine="640" w:firstLineChars="200"/>
        <w:jc w:val="both"/>
        <w:rPr>
          <w:rFonts w:ascii="仿宋" w:hAnsi="仿宋" w:eastAsia="仿宋" w:cs="仿宋"/>
          <w:color w:val="040404"/>
          <w:kern w:val="2"/>
          <w:sz w:val="32"/>
          <w:shd w:val="clear" w:color="auto" w:fill="FFFFFF"/>
        </w:rPr>
      </w:pPr>
      <w:r>
        <w:rPr>
          <w:rFonts w:hint="eastAsia" w:ascii="仿宋" w:hAnsi="仿宋" w:eastAsia="仿宋" w:cs="仿宋"/>
          <w:kern w:val="2"/>
          <w:sz w:val="32"/>
        </w:rPr>
        <w:t xml:space="preserve">    第六条  </w:t>
      </w:r>
      <w:r>
        <w:rPr>
          <w:rFonts w:hint="eastAsia" w:ascii="仿宋" w:hAnsi="仿宋" w:eastAsia="仿宋" w:cs="仿宋"/>
          <w:color w:val="040404"/>
          <w:sz w:val="32"/>
          <w:shd w:val="clear" w:color="auto" w:fill="FFFFFF"/>
        </w:rPr>
        <w:t>地方经济发展贡献奖励。</w:t>
      </w:r>
    </w:p>
    <w:p>
      <w:pPr>
        <w:pStyle w:val="12"/>
        <w:widowControl/>
        <w:adjustRightInd w:val="0"/>
        <w:snapToGrid w:val="0"/>
        <w:spacing w:beforeAutospacing="0" w:afterAutospacing="0" w:line="570" w:lineRule="exact"/>
        <w:ind w:firstLine="640" w:firstLineChars="200"/>
        <w:jc w:val="both"/>
        <w:rPr>
          <w:rFonts w:ascii="仿宋" w:hAnsi="仿宋" w:eastAsia="仿宋" w:cs="仿宋"/>
          <w:kern w:val="2"/>
          <w:sz w:val="32"/>
        </w:rPr>
      </w:pPr>
      <w:r>
        <w:rPr>
          <w:rFonts w:hint="eastAsia" w:ascii="仿宋" w:hAnsi="仿宋" w:eastAsia="仿宋" w:cs="仿宋"/>
          <w:kern w:val="2"/>
          <w:sz w:val="32"/>
        </w:rPr>
        <w:t>（一）对于私募基金的奖励，按其投资退出或获得收益后在我市缴纳的企业所得税、个人所得税地方留成部分，给予奖励。其中，投资我市企业或项目的，给予其100%等额奖励；投资我市以外企业或项目的，给予其80%等额奖励。</w:t>
      </w:r>
    </w:p>
    <w:p>
      <w:pPr>
        <w:pStyle w:val="12"/>
        <w:widowControl/>
        <w:adjustRightInd w:val="0"/>
        <w:snapToGrid w:val="0"/>
        <w:spacing w:beforeAutospacing="0" w:afterAutospacing="0" w:line="570" w:lineRule="exact"/>
        <w:ind w:firstLine="640" w:firstLineChars="200"/>
        <w:jc w:val="both"/>
        <w:rPr>
          <w:rFonts w:ascii="仿宋" w:hAnsi="仿宋" w:eastAsia="仿宋" w:cs="仿宋"/>
          <w:kern w:val="2"/>
          <w:sz w:val="32"/>
        </w:rPr>
      </w:pPr>
      <w:r>
        <w:rPr>
          <w:rFonts w:hint="eastAsia" w:ascii="仿宋" w:hAnsi="仿宋" w:eastAsia="仿宋" w:cs="仿宋"/>
          <w:kern w:val="2"/>
          <w:sz w:val="32"/>
        </w:rPr>
        <w:t>（二）基金管理企业自获利年度起在我市缴纳的企业所得税地方留成部分，给予100%等额奖励。</w:t>
      </w:r>
    </w:p>
    <w:p>
      <w:pPr>
        <w:pStyle w:val="12"/>
        <w:widowControl/>
        <w:adjustRightInd w:val="0"/>
        <w:snapToGrid w:val="0"/>
        <w:spacing w:beforeAutospacing="0" w:afterAutospacing="0" w:line="570" w:lineRule="exact"/>
        <w:ind w:firstLine="640" w:firstLineChars="200"/>
        <w:jc w:val="both"/>
        <w:rPr>
          <w:rFonts w:ascii="仿宋" w:hAnsi="仿宋" w:eastAsia="仿宋" w:cs="仿宋"/>
          <w:kern w:val="2"/>
          <w:sz w:val="32"/>
        </w:rPr>
      </w:pPr>
      <w:r>
        <w:rPr>
          <w:rFonts w:hint="eastAsia" w:ascii="仿宋" w:hAnsi="仿宋" w:eastAsia="仿宋" w:cs="仿宋"/>
          <w:kern w:val="2"/>
          <w:sz w:val="32"/>
        </w:rPr>
        <w:t>（三）给予每个基金管理企业5名高级管理人员名额，按照其上一年度所缴纳工薪收入个人所得税年度地方留成部分的100%等额奖励至个人，奖励期限5年，每人累计最高150万元。如果入职未满一个完整会计年度，从入职企业、且在本企业缴纳个人所得税之日起计算奖励金额。</w:t>
      </w:r>
    </w:p>
    <w:p>
      <w:pPr>
        <w:pStyle w:val="12"/>
        <w:widowControl/>
        <w:adjustRightInd w:val="0"/>
        <w:snapToGrid w:val="0"/>
        <w:spacing w:beforeAutospacing="0" w:afterAutospacing="0" w:line="570" w:lineRule="exact"/>
        <w:ind w:firstLine="640" w:firstLineChars="200"/>
        <w:jc w:val="both"/>
        <w:rPr>
          <w:rFonts w:ascii="楷体" w:hAnsi="楷体" w:eastAsia="楷体" w:cs="楷体"/>
          <w:color w:val="040404"/>
          <w:kern w:val="2"/>
          <w:sz w:val="32"/>
          <w:shd w:val="clear" w:color="auto" w:fill="FFFFFF"/>
        </w:rPr>
      </w:pPr>
      <w:r>
        <w:rPr>
          <w:rFonts w:hint="eastAsia" w:ascii="仿宋" w:hAnsi="仿宋" w:eastAsia="仿宋" w:cs="仿宋"/>
          <w:kern w:val="2"/>
          <w:sz w:val="32"/>
        </w:rPr>
        <w:t xml:space="preserve">第七条  </w:t>
      </w:r>
      <w:r>
        <w:rPr>
          <w:rFonts w:hint="eastAsia" w:ascii="仿宋" w:hAnsi="仿宋" w:eastAsia="仿宋" w:cs="仿宋"/>
          <w:color w:val="040404"/>
          <w:sz w:val="32"/>
          <w:shd w:val="clear" w:color="auto" w:fill="FFFFFF"/>
        </w:rPr>
        <w:t>办公用房补贴。</w:t>
      </w:r>
    </w:p>
    <w:p>
      <w:pPr>
        <w:pStyle w:val="12"/>
        <w:widowControl/>
        <w:adjustRightInd w:val="0"/>
        <w:snapToGrid w:val="0"/>
        <w:spacing w:beforeAutospacing="0" w:afterAutospacing="0" w:line="570" w:lineRule="exact"/>
        <w:ind w:firstLine="640" w:firstLineChars="200"/>
        <w:jc w:val="both"/>
        <w:rPr>
          <w:rFonts w:ascii="仿宋" w:hAnsi="仿宋" w:eastAsia="仿宋" w:cs="仿宋"/>
          <w:kern w:val="2"/>
          <w:sz w:val="32"/>
        </w:rPr>
      </w:pPr>
      <w:r>
        <w:rPr>
          <w:rFonts w:hint="eastAsia" w:ascii="仿宋" w:hAnsi="仿宋" w:eastAsia="仿宋" w:cs="仿宋"/>
          <w:kern w:val="2"/>
          <w:sz w:val="32"/>
        </w:rPr>
        <w:t>（一）购置办公用房支持。符合条件的私募基金和基金管理企业在我市金融集聚区内购置自用办公用房，按实际购房价格10%给予补贴，最高不超过300万元。所购房屋7年内需自行使用，否则须退还补贴资金。</w:t>
      </w:r>
    </w:p>
    <w:p>
      <w:pPr>
        <w:pStyle w:val="12"/>
        <w:widowControl/>
        <w:adjustRightInd w:val="0"/>
        <w:snapToGrid w:val="0"/>
        <w:spacing w:beforeAutospacing="0" w:afterAutospacing="0" w:line="570" w:lineRule="exact"/>
        <w:ind w:firstLine="640" w:firstLineChars="200"/>
        <w:jc w:val="both"/>
        <w:rPr>
          <w:rFonts w:ascii="仿宋" w:hAnsi="仿宋" w:eastAsia="仿宋" w:cs="仿宋"/>
          <w:kern w:val="2"/>
          <w:sz w:val="32"/>
        </w:rPr>
      </w:pPr>
      <w:r>
        <w:rPr>
          <w:rFonts w:hint="eastAsia" w:ascii="仿宋" w:hAnsi="仿宋" w:eastAsia="仿宋" w:cs="仿宋"/>
          <w:kern w:val="2"/>
          <w:sz w:val="32"/>
        </w:rPr>
        <w:t>（二）租赁办公用房支持。符合条件的私募基金和基金管理企业在我市金融集聚区内租赁自用办公用房，三年内给予房租100%补贴（补贴面积不超过500平方米），累计补贴不超过80万元。申请租房补贴的企业在享受补贴期间需自行使用，否则须退还补贴资金。</w:t>
      </w:r>
    </w:p>
    <w:p>
      <w:pPr>
        <w:adjustRightInd w:val="0"/>
        <w:snapToGrid w:val="0"/>
        <w:spacing w:line="570" w:lineRule="exact"/>
        <w:ind w:firstLine="640" w:firstLineChars="200"/>
        <w:rPr>
          <w:rFonts w:ascii="仿宋" w:hAnsi="仿宋" w:eastAsia="仿宋" w:cs="仿宋"/>
          <w:sz w:val="32"/>
          <w:szCs w:val="32"/>
        </w:rPr>
      </w:pPr>
      <w:r>
        <w:rPr>
          <w:rFonts w:hint="eastAsia" w:ascii="仿宋" w:hAnsi="仿宋" w:eastAsia="仿宋" w:cs="仿宋"/>
          <w:sz w:val="32"/>
          <w:szCs w:val="32"/>
        </w:rPr>
        <w:t>第八条  对私募基金和基金管理企业的高管人员及核心骨干人员，按照《中共南阳市委南阳市人民政府关于深化人才发展体制机制改革实施“诸葛英才计划”加快建设人才强市的意见》（宛发〔2018〕5号）予以支持。</w:t>
      </w:r>
    </w:p>
    <w:p>
      <w:pPr>
        <w:adjustRightInd w:val="0"/>
        <w:snapToGrid w:val="0"/>
        <w:spacing w:line="570" w:lineRule="exact"/>
        <w:ind w:firstLine="640" w:firstLineChars="200"/>
        <w:rPr>
          <w:rFonts w:ascii="仿宋" w:hAnsi="仿宋" w:eastAsia="仿宋" w:cs="仿宋"/>
          <w:sz w:val="32"/>
          <w:szCs w:val="32"/>
        </w:rPr>
      </w:pPr>
      <w:r>
        <w:rPr>
          <w:rFonts w:hint="eastAsia" w:ascii="仿宋" w:hAnsi="仿宋" w:eastAsia="仿宋" w:cs="仿宋"/>
          <w:sz w:val="32"/>
          <w:szCs w:val="32"/>
        </w:rPr>
        <w:t>第九条  我市优秀上市后备企业优先推荐给在我市注册的私募基金。对私募基金投资的我市企业，优先列入市级重点上市后备企业库并积极申报省级上市后备企业，支持其在国内外资本市场上市。</w:t>
      </w:r>
    </w:p>
    <w:p>
      <w:pPr>
        <w:adjustRightInd w:val="0"/>
        <w:snapToGrid w:val="0"/>
        <w:spacing w:line="570" w:lineRule="exact"/>
        <w:ind w:firstLine="640" w:firstLineChars="200"/>
        <w:jc w:val="center"/>
        <w:rPr>
          <w:rFonts w:ascii="黑体" w:hAnsi="黑体" w:eastAsia="黑体" w:cs="黑体"/>
          <w:sz w:val="32"/>
          <w:szCs w:val="32"/>
        </w:rPr>
      </w:pPr>
      <w:r>
        <w:rPr>
          <w:rFonts w:hint="eastAsia" w:ascii="黑体" w:hAnsi="黑体" w:eastAsia="黑体" w:cs="黑体"/>
          <w:sz w:val="32"/>
          <w:szCs w:val="32"/>
        </w:rPr>
        <w:t>第四章组织保障</w:t>
      </w:r>
    </w:p>
    <w:p>
      <w:pPr>
        <w:adjustRightInd w:val="0"/>
        <w:snapToGrid w:val="0"/>
        <w:spacing w:line="570" w:lineRule="exact"/>
        <w:ind w:firstLine="640" w:firstLineChars="200"/>
        <w:rPr>
          <w:rFonts w:ascii="仿宋" w:hAnsi="仿宋" w:eastAsia="仿宋" w:cs="仿宋"/>
          <w:sz w:val="32"/>
          <w:szCs w:val="32"/>
        </w:rPr>
      </w:pPr>
      <w:r>
        <w:rPr>
          <w:rFonts w:hint="eastAsia" w:ascii="仿宋" w:hAnsi="仿宋" w:eastAsia="仿宋" w:cs="仿宋"/>
          <w:sz w:val="32"/>
          <w:szCs w:val="32"/>
        </w:rPr>
        <w:t>第十条  为确保以上奖励措施顺利实施，成立由市委常委、常务副市长任组长，分管金融的副市长任副组长，市财政局、金融工作局、税务局、发展改革委、商务局等部门主要负责同志为成员的领导小组，对基金设立和奖励兑现等进行领导、协调。</w:t>
      </w:r>
    </w:p>
    <w:p>
      <w:pPr>
        <w:adjustRightInd w:val="0"/>
        <w:snapToGrid w:val="0"/>
        <w:spacing w:line="570" w:lineRule="exact"/>
        <w:ind w:firstLine="640" w:firstLineChars="200"/>
        <w:jc w:val="center"/>
        <w:rPr>
          <w:rFonts w:ascii="黑体" w:hAnsi="黑体" w:eastAsia="黑体" w:cs="黑体"/>
          <w:sz w:val="32"/>
          <w:szCs w:val="32"/>
        </w:rPr>
      </w:pPr>
      <w:r>
        <w:rPr>
          <w:rFonts w:hint="eastAsia" w:ascii="黑体" w:hAnsi="黑体" w:eastAsia="黑体" w:cs="黑体"/>
          <w:sz w:val="32"/>
          <w:szCs w:val="32"/>
        </w:rPr>
        <w:t>第五章附则</w:t>
      </w:r>
    </w:p>
    <w:p>
      <w:pPr>
        <w:adjustRightInd w:val="0"/>
        <w:snapToGrid w:val="0"/>
        <w:spacing w:line="570" w:lineRule="exact"/>
        <w:ind w:firstLine="640" w:firstLineChars="200"/>
        <w:rPr>
          <w:rFonts w:ascii="仿宋" w:hAnsi="仿宋" w:eastAsia="仿宋" w:cs="仿宋"/>
          <w:sz w:val="32"/>
          <w:szCs w:val="32"/>
        </w:rPr>
      </w:pPr>
      <w:r>
        <w:rPr>
          <w:rFonts w:hint="eastAsia" w:ascii="仿宋" w:hAnsi="仿宋" w:eastAsia="仿宋" w:cs="仿宋"/>
          <w:sz w:val="32"/>
          <w:szCs w:val="32"/>
        </w:rPr>
        <w:t>第十一条  符合条件的企业或个人在形成地方财政贡献的次年，向受益财政部门申报。由南阳市财政资金参与设立的基金，需扣除财政出资部分，再享受本办法的资金奖励。</w:t>
      </w:r>
    </w:p>
    <w:p>
      <w:pPr>
        <w:adjustRightInd w:val="0"/>
        <w:snapToGrid w:val="0"/>
        <w:spacing w:line="570" w:lineRule="exact"/>
        <w:ind w:firstLine="640" w:firstLineChars="200"/>
        <w:rPr>
          <w:rFonts w:ascii="仿宋" w:hAnsi="仿宋" w:eastAsia="仿宋" w:cs="仿宋"/>
          <w:sz w:val="32"/>
          <w:szCs w:val="32"/>
        </w:rPr>
      </w:pPr>
      <w:r>
        <w:rPr>
          <w:rFonts w:hint="eastAsia" w:ascii="仿宋" w:hAnsi="仿宋" w:eastAsia="仿宋" w:cs="仿宋"/>
          <w:sz w:val="32"/>
          <w:szCs w:val="32"/>
        </w:rPr>
        <w:t>第十二条  享受本奖励办法的机构及单位（企业），中途迁离南阳市或进行注销，应无条件退还所有的奖励和补贴资金。</w:t>
      </w:r>
    </w:p>
    <w:p>
      <w:pPr>
        <w:adjustRightInd w:val="0"/>
        <w:snapToGrid w:val="0"/>
        <w:spacing w:line="570" w:lineRule="exact"/>
        <w:ind w:firstLine="640" w:firstLineChars="200"/>
        <w:rPr>
          <w:rFonts w:ascii="仿宋" w:hAnsi="仿宋" w:eastAsia="仿宋" w:cs="仿宋"/>
          <w:sz w:val="32"/>
          <w:szCs w:val="32"/>
        </w:rPr>
      </w:pPr>
      <w:r>
        <w:rPr>
          <w:rFonts w:hint="eastAsia" w:ascii="仿宋" w:hAnsi="仿宋" w:eastAsia="仿宋" w:cs="仿宋"/>
          <w:sz w:val="32"/>
          <w:szCs w:val="32"/>
        </w:rPr>
        <w:t>第十三条  对重大项目的引进，按照“一事一议”的方式，协商确定奖励标准。</w:t>
      </w:r>
    </w:p>
    <w:p>
      <w:pPr>
        <w:ind w:firstLine="640" w:firstLineChars="200"/>
        <w:rPr>
          <w:rFonts w:ascii="仿宋" w:hAnsi="仿宋" w:eastAsia="仿宋" w:cs="仿宋"/>
          <w:sz w:val="32"/>
          <w:szCs w:val="32"/>
        </w:rPr>
      </w:pPr>
      <w:r>
        <w:rPr>
          <w:rFonts w:hint="eastAsia" w:ascii="仿宋" w:hAnsi="仿宋" w:eastAsia="仿宋" w:cs="仿宋"/>
          <w:sz w:val="32"/>
          <w:szCs w:val="32"/>
        </w:rPr>
        <w:t>第十四条  本办法自发布之日起施行。我市原有关政策与本办法不一致的，按本办法执行。</w:t>
      </w:r>
    </w:p>
    <w:p>
      <w:pPr>
        <w:rPr>
          <w:rFonts w:ascii="仿宋" w:hAnsi="仿宋" w:eastAsia="仿宋" w:cs="仿宋"/>
          <w:sz w:val="32"/>
          <w:szCs w:val="32"/>
        </w:rPr>
      </w:pPr>
      <w:r>
        <w:rPr>
          <w:rFonts w:hint="eastAsia" w:ascii="仿宋" w:hAnsi="仿宋" w:eastAsia="仿宋" w:cs="仿宋"/>
          <w:sz w:val="32"/>
          <w:szCs w:val="32"/>
        </w:rPr>
        <w:br w:type="page"/>
      </w:r>
    </w:p>
    <w:p>
      <w:bookmarkStart w:id="31" w:name="_Toc130995813"/>
    </w:p>
    <w:p>
      <w:pPr>
        <w:pStyle w:val="3"/>
        <w:jc w:val="center"/>
        <w:rPr>
          <w:sz w:val="44"/>
          <w:szCs w:val="44"/>
        </w:rPr>
      </w:pPr>
      <w:bookmarkStart w:id="32" w:name="_Toc24935"/>
      <w:r>
        <w:rPr>
          <w:rFonts w:hint="eastAsia"/>
          <w:sz w:val="44"/>
          <w:szCs w:val="44"/>
        </w:rPr>
        <w:t>二、南阳市企业上市三年倍增行动实施方案</w:t>
      </w:r>
      <w:bookmarkEnd w:id="31"/>
      <w:bookmarkEnd w:id="32"/>
    </w:p>
    <w:p>
      <w:pPr>
        <w:keepNext/>
        <w:keepLines/>
        <w:spacing w:line="560" w:lineRule="exact"/>
        <w:ind w:firstLine="480" w:firstLineChars="200"/>
        <w:jc w:val="center"/>
        <w:rPr>
          <w:rStyle w:val="19"/>
          <w:rFonts w:hint="eastAsia" w:ascii="楷体" w:hAnsi="楷体" w:eastAsia="楷体" w:cs="楷体"/>
          <w:color w:val="000000"/>
          <w:sz w:val="24"/>
          <w:szCs w:val="24"/>
        </w:rPr>
      </w:pPr>
      <w:r>
        <w:rPr>
          <w:rStyle w:val="19"/>
          <w:rFonts w:hint="eastAsia" w:ascii="楷体" w:hAnsi="楷体" w:eastAsia="楷体" w:cs="楷体"/>
          <w:color w:val="000000"/>
          <w:sz w:val="24"/>
          <w:szCs w:val="24"/>
          <w:lang w:eastAsia="zh-CN"/>
        </w:rPr>
        <w:t>南阳市人民政府办公室文件</w:t>
      </w:r>
      <w:r>
        <w:rPr>
          <w:rStyle w:val="19"/>
          <w:rFonts w:hint="eastAsia" w:ascii="楷体" w:hAnsi="楷体" w:eastAsia="楷体" w:cs="楷体"/>
          <w:color w:val="000000"/>
          <w:sz w:val="24"/>
          <w:szCs w:val="24"/>
          <w:lang w:val="en-US" w:eastAsia="zh-CN"/>
        </w:rPr>
        <w:t xml:space="preserve"> </w:t>
      </w:r>
      <w:r>
        <w:rPr>
          <w:rStyle w:val="19"/>
          <w:rFonts w:hint="eastAsia" w:ascii="楷体" w:hAnsi="楷体" w:eastAsia="楷体" w:cs="楷体"/>
          <w:color w:val="000000"/>
          <w:sz w:val="24"/>
          <w:szCs w:val="24"/>
        </w:rPr>
        <w:t>宛政办〔202</w:t>
      </w:r>
      <w:r>
        <w:rPr>
          <w:rStyle w:val="19"/>
          <w:rFonts w:hint="eastAsia" w:ascii="楷体" w:hAnsi="楷体" w:eastAsia="楷体" w:cs="楷体"/>
          <w:color w:val="000000"/>
          <w:sz w:val="24"/>
          <w:szCs w:val="24"/>
          <w:lang w:val="en-US" w:eastAsia="zh-CN"/>
        </w:rPr>
        <w:t>2</w:t>
      </w:r>
      <w:r>
        <w:rPr>
          <w:rStyle w:val="19"/>
          <w:rFonts w:hint="eastAsia" w:ascii="楷体" w:hAnsi="楷体" w:eastAsia="楷体" w:cs="楷体"/>
          <w:color w:val="000000"/>
          <w:sz w:val="24"/>
          <w:szCs w:val="24"/>
        </w:rPr>
        <w:t>〕</w:t>
      </w:r>
      <w:r>
        <w:rPr>
          <w:rStyle w:val="19"/>
          <w:rFonts w:hint="eastAsia" w:ascii="楷体" w:hAnsi="楷体" w:eastAsia="楷体" w:cs="楷体"/>
          <w:color w:val="000000"/>
          <w:sz w:val="24"/>
          <w:szCs w:val="24"/>
          <w:lang w:val="en-US" w:eastAsia="zh-CN"/>
        </w:rPr>
        <w:t>87</w:t>
      </w:r>
      <w:r>
        <w:rPr>
          <w:rStyle w:val="19"/>
          <w:rFonts w:hint="eastAsia" w:ascii="楷体" w:hAnsi="楷体" w:eastAsia="楷体" w:cs="楷体"/>
          <w:color w:val="000000"/>
          <w:sz w:val="24"/>
          <w:szCs w:val="24"/>
        </w:rPr>
        <w:t>号</w:t>
      </w:r>
    </w:p>
    <w:p>
      <w:pPr>
        <w:keepNext/>
        <w:keepLines/>
        <w:spacing w:line="560" w:lineRule="exact"/>
        <w:ind w:firstLine="480" w:firstLineChars="200"/>
        <w:jc w:val="center"/>
        <w:rPr>
          <w:rFonts w:hint="eastAsia" w:ascii="仿宋" w:hAnsi="仿宋" w:eastAsia="仿宋" w:cs="仿宋"/>
          <w:kern w:val="2"/>
          <w:sz w:val="32"/>
        </w:rPr>
      </w:pPr>
      <w:r>
        <w:rPr>
          <w:rStyle w:val="19"/>
          <w:rFonts w:hint="eastAsia" w:ascii="楷体" w:hAnsi="楷体" w:eastAsia="楷体" w:cs="楷体"/>
          <w:color w:val="000000"/>
          <w:sz w:val="24"/>
          <w:szCs w:val="24"/>
        </w:rPr>
        <w:t>202</w:t>
      </w:r>
      <w:r>
        <w:rPr>
          <w:rStyle w:val="19"/>
          <w:rFonts w:hint="eastAsia" w:ascii="楷体" w:hAnsi="楷体" w:eastAsia="楷体" w:cs="楷体"/>
          <w:color w:val="000000"/>
          <w:sz w:val="24"/>
          <w:szCs w:val="24"/>
          <w:lang w:val="en-US" w:eastAsia="zh-CN"/>
        </w:rPr>
        <w:t>2</w:t>
      </w:r>
      <w:r>
        <w:rPr>
          <w:rStyle w:val="19"/>
          <w:rFonts w:hint="eastAsia" w:ascii="楷体" w:hAnsi="楷体" w:eastAsia="楷体" w:cs="楷体"/>
          <w:color w:val="000000"/>
          <w:sz w:val="24"/>
          <w:szCs w:val="24"/>
        </w:rPr>
        <w:t>年</w:t>
      </w:r>
      <w:r>
        <w:rPr>
          <w:rStyle w:val="19"/>
          <w:rFonts w:hint="eastAsia" w:ascii="楷体" w:hAnsi="楷体" w:eastAsia="楷体" w:cs="楷体"/>
          <w:color w:val="000000"/>
          <w:sz w:val="24"/>
          <w:szCs w:val="24"/>
          <w:lang w:val="en-US" w:eastAsia="zh-CN"/>
        </w:rPr>
        <w:t>12</w:t>
      </w:r>
      <w:r>
        <w:rPr>
          <w:rStyle w:val="19"/>
          <w:rFonts w:hint="eastAsia" w:ascii="楷体" w:hAnsi="楷体" w:eastAsia="楷体" w:cs="楷体"/>
          <w:color w:val="000000"/>
          <w:sz w:val="24"/>
          <w:szCs w:val="24"/>
        </w:rPr>
        <w:t>月</w:t>
      </w:r>
      <w:r>
        <w:rPr>
          <w:rStyle w:val="19"/>
          <w:rFonts w:hint="eastAsia" w:ascii="楷体" w:hAnsi="楷体" w:eastAsia="楷体" w:cs="楷体"/>
          <w:color w:val="000000"/>
          <w:sz w:val="24"/>
          <w:szCs w:val="24"/>
          <w:lang w:val="en-US" w:eastAsia="zh-CN"/>
        </w:rPr>
        <w:t>15</w:t>
      </w:r>
      <w:r>
        <w:rPr>
          <w:rStyle w:val="19"/>
          <w:rFonts w:hint="eastAsia" w:ascii="楷体" w:hAnsi="楷体" w:eastAsia="楷体" w:cs="楷体"/>
          <w:color w:val="000000"/>
          <w:sz w:val="24"/>
          <w:szCs w:val="24"/>
        </w:rPr>
        <w:t>日印发</w:t>
      </w:r>
    </w:p>
    <w:p>
      <w:pPr>
        <w:pStyle w:val="12"/>
        <w:widowControl/>
        <w:adjustRightInd w:val="0"/>
        <w:snapToGrid w:val="0"/>
        <w:spacing w:beforeAutospacing="0" w:afterAutospacing="0" w:line="570" w:lineRule="exact"/>
        <w:ind w:firstLine="640" w:firstLineChars="200"/>
        <w:jc w:val="both"/>
        <w:rPr>
          <w:rFonts w:ascii="仿宋" w:hAnsi="仿宋" w:eastAsia="仿宋" w:cs="仿宋"/>
          <w:kern w:val="2"/>
          <w:sz w:val="32"/>
        </w:rPr>
      </w:pPr>
      <w:r>
        <w:rPr>
          <w:rFonts w:hint="eastAsia" w:ascii="仿宋" w:hAnsi="仿宋" w:eastAsia="仿宋" w:cs="仿宋"/>
          <w:kern w:val="2"/>
          <w:sz w:val="32"/>
        </w:rPr>
        <w:t>为贯彻落实党中央、国务院关于资本市场改革的各项政策措施，充分发挥资本市场在促进产业转型升级、培育经济发展新动能等方面的重要作用，助推我市高水平建设现代化省域副中心城市，按照《河南省人民政府办公厅关于印发河南省推进企业上市五年倍增行动实施方案的通知》（豫政办〔2022〕61号）有关要求，制定本实施方案。</w:t>
      </w:r>
    </w:p>
    <w:p>
      <w:pPr>
        <w:numPr>
          <w:ilvl w:val="0"/>
          <w:numId w:val="1"/>
        </w:numPr>
        <w:spacing w:line="560" w:lineRule="exact"/>
        <w:ind w:firstLine="640" w:firstLineChars="200"/>
        <w:rPr>
          <w:rFonts w:ascii="黑体" w:hAnsi="黑体" w:eastAsia="黑体" w:cstheme="majorBidi"/>
          <w:bCs/>
          <w:sz w:val="32"/>
          <w:szCs w:val="32"/>
        </w:rPr>
      </w:pPr>
      <w:r>
        <w:rPr>
          <w:rFonts w:hint="eastAsia" w:ascii="黑体" w:hAnsi="黑体" w:eastAsia="黑体" w:cstheme="majorBidi"/>
          <w:bCs/>
          <w:sz w:val="32"/>
          <w:szCs w:val="32"/>
        </w:rPr>
        <w:t>总体要求</w:t>
      </w:r>
    </w:p>
    <w:p>
      <w:pPr>
        <w:numPr>
          <w:ilvl w:val="0"/>
          <w:numId w:val="2"/>
        </w:numPr>
        <w:spacing w:line="560" w:lineRule="exact"/>
        <w:ind w:firstLine="640" w:firstLineChars="200"/>
        <w:rPr>
          <w:rFonts w:ascii="楷体" w:hAnsi="楷体" w:eastAsia="楷体" w:cstheme="majorBidi"/>
          <w:sz w:val="32"/>
          <w:szCs w:val="32"/>
        </w:rPr>
      </w:pPr>
      <w:r>
        <w:rPr>
          <w:rFonts w:hint="eastAsia" w:ascii="楷体" w:hAnsi="楷体" w:eastAsia="楷体" w:cstheme="majorBidi"/>
          <w:sz w:val="32"/>
          <w:szCs w:val="32"/>
        </w:rPr>
        <w:t>指导思想</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坚持以习近平新时代中国特色社会主义思想为指导，全面贯彻落实省第十一次党代会精神，锚定省委“两个确保”“十大战略”，紧紧围绕全市“一二三六十”工作布局，强化市场主体培育，加快推动企业股份制改造，促进更多企业在多层次资本市场上市挂牌，企业融资能力持续增强，助力全市产业结构优化升级和经济高质量发展。</w:t>
      </w:r>
    </w:p>
    <w:p>
      <w:pPr>
        <w:numPr>
          <w:ilvl w:val="0"/>
          <w:numId w:val="2"/>
        </w:numPr>
        <w:spacing w:line="560" w:lineRule="exact"/>
        <w:ind w:firstLine="640" w:firstLineChars="200"/>
        <w:rPr>
          <w:rFonts w:ascii="楷体" w:hAnsi="楷体" w:eastAsia="楷体" w:cstheme="majorBidi"/>
          <w:sz w:val="32"/>
          <w:szCs w:val="32"/>
        </w:rPr>
      </w:pPr>
      <w:r>
        <w:rPr>
          <w:rFonts w:hint="eastAsia" w:ascii="楷体" w:hAnsi="楷体" w:eastAsia="楷体" w:cstheme="majorBidi"/>
          <w:sz w:val="32"/>
          <w:szCs w:val="32"/>
        </w:rPr>
        <w:t>工作目标</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自2023年起，除鸭河工区、官庄工区、卧龙综合保税区外的15个县（市、区），每年分别新增1家上市企业(在境内外主流资本市场上市或在新三板挂牌)、3家完成股份制改造后备企业和3家省定重点上市后备企业，力争“十四五”期间，实现上市公司和新三板挂牌公司数量倍数增长。其中，邓州市、宛城区、高新区、镇平县、唐河县、南召县、桐柏县、方城县、城乡一体化示范区实现上市公司零的突破，西峡县、内乡县、淅川县、新野县、社旗县、卧龙区实现上市公司稳步增长。</w:t>
      </w:r>
    </w:p>
    <w:p>
      <w:pPr>
        <w:spacing w:line="560" w:lineRule="exact"/>
        <w:ind w:firstLine="640" w:firstLineChars="200"/>
        <w:rPr>
          <w:rFonts w:ascii="黑体" w:hAnsi="黑体" w:eastAsia="黑体" w:cstheme="majorBidi"/>
          <w:bCs/>
          <w:sz w:val="32"/>
          <w:szCs w:val="32"/>
        </w:rPr>
      </w:pPr>
      <w:r>
        <w:rPr>
          <w:rFonts w:hint="eastAsia" w:ascii="黑体" w:hAnsi="黑体" w:eastAsia="黑体" w:cstheme="majorBidi"/>
          <w:bCs/>
          <w:sz w:val="32"/>
          <w:szCs w:val="32"/>
        </w:rPr>
        <w:t>二、重点工作</w:t>
      </w:r>
    </w:p>
    <w:p>
      <w:pPr>
        <w:spacing w:line="560" w:lineRule="exact"/>
        <w:ind w:firstLine="640" w:firstLineChars="200"/>
        <w:rPr>
          <w:rFonts w:asciiTheme="majorHAnsi" w:hAnsiTheme="majorHAnsi" w:eastAsiaTheme="majorEastAsia" w:cstheme="majorBidi"/>
        </w:rPr>
      </w:pPr>
      <w:r>
        <w:rPr>
          <w:rFonts w:hint="eastAsia" w:ascii="楷体" w:hAnsi="楷体" w:eastAsia="楷体" w:cstheme="majorBidi"/>
          <w:sz w:val="32"/>
          <w:szCs w:val="32"/>
        </w:rPr>
        <w:t>（一）加强上市后备企业资源库建设</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各行业主管部门和各县（市、区）政府（管委会）定期对本行业和辖区企业进行摸底排查，挖掘和筛选一批智能装备制造、信息技术、半导体、生物医药等“两高六新”、专精特新“小巨人”、省级“专精特新”、“单项冠军”、“独角兽”企业纳入上市后备企业资源库。市金融工作局对上市后备企业资源库实施动态管理，及时向社会公布，按照企业拟报板块及发展情况，梯次培育推进。对入库企业，按照属地管理原则，各县（市、区）政府（管委会）要明确分包领导，逐个企业建立专班，制定针对性培育计划，明确专人跟进、定期走访、重点支持、精准培育。（责任单位：市金融工作局、市发展改革委、市工业和信息化局、市科技局、市农业农村局、市中医药发展局、市商务局、市文化广电和旅游局等相关市直单位，各县〔市、区〕政府〔管委会〕）</w:t>
      </w:r>
    </w:p>
    <w:p>
      <w:pPr>
        <w:spacing w:line="560" w:lineRule="exact"/>
        <w:ind w:left="-10" w:leftChars="-5" w:firstLine="320" w:firstLineChars="100"/>
        <w:rPr>
          <w:rFonts w:ascii="楷体" w:hAnsi="楷体" w:eastAsia="楷体" w:cstheme="majorBidi"/>
          <w:sz w:val="32"/>
          <w:szCs w:val="32"/>
        </w:rPr>
      </w:pPr>
      <w:r>
        <w:rPr>
          <w:rFonts w:hint="eastAsia" w:ascii="楷体" w:hAnsi="楷体" w:eastAsia="楷体" w:cstheme="majorBidi"/>
          <w:sz w:val="32"/>
          <w:szCs w:val="32"/>
        </w:rPr>
        <w:t>（二）加快推动企业股份制改造</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坚持市场导向、企业为主、政府推动的原则，充分发挥市场在资源配置中的决定性作用，有重点、分阶段的推进企业股份制改造，打牢企业上市基础。鼓励有意向上市挂牌的新设市场主体初始登记为股份公司。各县（市、区）政府（管委会）组织证券公司等中介机构对辖区上市后备企业集中“把脉问诊”，列出股改清单，制定股改计划，倒排时间节点，明确责任单位，规范公司治理。引导证券公司、会计师事务所、律师事务所等中介机构发挥自身专业优势，加大对企业股改、财务规范等方面的业务指导。（责任单位:市工业和信息化局、市市场监督管理局、市自然资源和规划局、市生态环境局、市不动产登记服务中心等相关市直单位，各县〔市、区〕政府〔管委会〕）</w:t>
      </w:r>
    </w:p>
    <w:p>
      <w:pPr>
        <w:spacing w:line="560" w:lineRule="exact"/>
        <w:ind w:left="-10" w:leftChars="-5" w:firstLine="480" w:firstLineChars="150"/>
        <w:rPr>
          <w:rFonts w:ascii="楷体" w:hAnsi="楷体" w:eastAsia="楷体" w:cstheme="majorBidi"/>
          <w:sz w:val="32"/>
          <w:szCs w:val="32"/>
        </w:rPr>
      </w:pPr>
      <w:r>
        <w:rPr>
          <w:rFonts w:hint="eastAsia" w:ascii="楷体" w:hAnsi="楷体" w:eastAsia="楷体" w:cstheme="majorBidi"/>
          <w:sz w:val="32"/>
          <w:szCs w:val="32"/>
        </w:rPr>
        <w:t>（三）加大上市培育力度</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强化企业上市培育，指导企业规范运作。各县（市、区）政府（管委会）和行业部门要常态化开展资本市场专题培训，组织重点上市后备企业集中走进证券交易所，实地感受上市氛围，提升企业上市认识，精准把握当前政策形势，合理规划上市路径。积极联系证券交易所、证券公司等机构，通过上门服务、点面结合、面对面交流等形式，激发企业在多层次资本市场挂牌上市和直接融资的积极性，不断提高企业的资本市场运作能力和市场竞争力。鼓励有上市条件的企业根据自身情况选择合适的资本市场板块，鼓励暂不符合上市条件的企业在新三板挂牌，鼓励外向型企业在境外资本市场上市。积极引进与县（市、区）产业关联度高、互补性强的市外企业并扶持其上市。（责任单位：市金融工作局、市发展改革委、市工业和信息化局、市科技局、市招商投资促进局、市商务局、市农业农村局、市中医药发展局，各县〔市、区〕政府〔管委会〕）</w:t>
      </w:r>
    </w:p>
    <w:p>
      <w:pPr>
        <w:spacing w:line="560" w:lineRule="exact"/>
        <w:ind w:left="-10" w:leftChars="-5" w:firstLine="480" w:firstLineChars="150"/>
        <w:rPr>
          <w:rFonts w:ascii="楷体" w:hAnsi="楷体" w:eastAsia="楷体" w:cstheme="majorBidi"/>
          <w:sz w:val="32"/>
          <w:szCs w:val="32"/>
        </w:rPr>
      </w:pPr>
      <w:r>
        <w:rPr>
          <w:rFonts w:hint="eastAsia" w:ascii="楷体" w:hAnsi="楷体" w:eastAsia="楷体" w:cstheme="majorBidi"/>
          <w:sz w:val="32"/>
          <w:szCs w:val="32"/>
        </w:rPr>
        <w:t>（四）提升“绿色通道”服务质效</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各级各有关部门要主动履职尽责，建立、完善企业上市“绿色通道”制度，建立线上线下协同服务模式，帮助企业对接投资机构、资本市场中介机构和证券交易所，协调解决企业上市过程中遇到的合规性证明开具、资产权属确认、政策落实等问题。对企业改制上市过程中涉及的土地房产确权、股权纠纷、证照补办、历史欠款、行政许可衔接等问题，按照“一事一议”“一企一策”原则协调解决，要简化办事程序，提高办事效率，避免影响上市进程。各级行政执法部门在履职过程中，发现上市后备企业出现轻微违法行为苗头的，要谨慎处理，督促其整改完善，避免因处罚造成对企业上市的实质性障碍。（责任单位：市金融工作局、市发展改革委、市工业和信息化局、市财政局、市人力资源和社会保障局、市应急管理局、市公安局、市中级人民法院、市自然资源和规划局、市生态环境局、市住房和城乡建设局、市不动产登记服务中心、国家税务总局南阳市税务局、市城市管理局、市市场监督管理局、市住房公积金管理中心、市科技局、人行南阳市中心支行、南阳银保监分局、南阳海关，各县〔市、区〕政府〔管委会〕）</w:t>
      </w:r>
    </w:p>
    <w:p>
      <w:pPr>
        <w:spacing w:line="560" w:lineRule="exact"/>
        <w:ind w:left="-10" w:leftChars="-5" w:firstLine="480" w:firstLineChars="150"/>
        <w:rPr>
          <w:rFonts w:ascii="楷体" w:hAnsi="楷体" w:eastAsia="楷体" w:cstheme="majorBidi"/>
          <w:sz w:val="32"/>
          <w:szCs w:val="32"/>
        </w:rPr>
      </w:pPr>
      <w:r>
        <w:rPr>
          <w:rFonts w:hint="eastAsia" w:ascii="楷体" w:hAnsi="楷体" w:eastAsia="楷体" w:cstheme="majorBidi"/>
          <w:sz w:val="32"/>
          <w:szCs w:val="32"/>
        </w:rPr>
        <w:t>（五）加大企业上市挂牌奖励力度</w:t>
      </w:r>
    </w:p>
    <w:p>
      <w:pPr>
        <w:ind w:firstLine="640" w:firstLineChars="200"/>
        <w:rPr>
          <w:rFonts w:ascii="仿宋" w:hAnsi="仿宋" w:eastAsia="仿宋" w:cs="仿宋"/>
          <w:sz w:val="32"/>
          <w:szCs w:val="32"/>
        </w:rPr>
      </w:pPr>
      <w:r>
        <w:rPr>
          <w:rFonts w:hint="eastAsia" w:ascii="仿宋" w:hAnsi="仿宋" w:eastAsia="仿宋" w:cs="仿宋"/>
          <w:sz w:val="32"/>
          <w:szCs w:val="32"/>
        </w:rPr>
        <w:t>对注册地在我市的企业，申请在上海、深圳、北京证券交易所首次公开发行股票并上市的，按照河南证监局辅导备案登记、中国证监会（证券交易所）受理申报、上市交易三个节点，由两级财政按税收收益比例分别给予一次性200万元、300万元（通过北京证券交易所受理申报的企业在该阶段给予220万元奖励）、100万元奖励。对在境外主流资本市场上市并实现融资的企业，由两级财政按税收收益比例给予一次性200万元奖励。对在全国中小企业股份转让系统（新三板）基础层挂牌的企业，由两级财政按税收收益比例给予一次性80万元奖励。对在中原股权交易中心交易板挂牌的企业，由两级财政按税收收益比例给予一次性20万元奖励。对在南阳行政区域之外的境内上市公司迁址我市并完成工商登记、纳税登记变更的企业，由两级财政按税收收益比例给予一次性300万元奖励。鼓励各县（市、区）依据自身情况，提升完善奖补政策。（责任单位：市金融工作局、市财政局，各县〔市、区〕政府〔管委会〕）</w:t>
      </w:r>
    </w:p>
    <w:p>
      <w:pPr>
        <w:spacing w:line="560" w:lineRule="exact"/>
        <w:ind w:firstLine="640" w:firstLineChars="200"/>
        <w:rPr>
          <w:rFonts w:ascii="楷体" w:hAnsi="楷体" w:eastAsia="楷体" w:cstheme="majorBidi"/>
          <w:sz w:val="32"/>
          <w:szCs w:val="32"/>
        </w:rPr>
      </w:pPr>
      <w:r>
        <w:rPr>
          <w:rFonts w:hint="eastAsia" w:ascii="楷体" w:hAnsi="楷体" w:eastAsia="楷体" w:cstheme="majorBidi"/>
          <w:sz w:val="32"/>
          <w:szCs w:val="32"/>
        </w:rPr>
        <w:t>（六）强化税收支持</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企业在上市股改过程中以未分配利润、资本公积和盈余公积转增注册资本，产生的个人所得税由受益财政视财力给予企业相应的奖励；企业在上市股改过程中因优化股权结构，以引进战略投资等方式转让股权而产生的企业所得税由受益财政视财力给予企业相应奖励；企业在上市股改过程中，因正常调整以前年度应纳税所得额而增加的企业税收地方留成部分，由受益财政视财力给予企业相应奖励。（责任单位：市财政局、国家税务总局南阳市税务局，各县〔市、区〕政府〔管委会〕）</w:t>
      </w:r>
    </w:p>
    <w:p>
      <w:pPr>
        <w:spacing w:line="560" w:lineRule="exact"/>
        <w:ind w:firstLine="640" w:firstLineChars="200"/>
        <w:rPr>
          <w:rFonts w:ascii="楷体" w:hAnsi="楷体" w:eastAsia="楷体" w:cstheme="majorBidi"/>
          <w:sz w:val="32"/>
          <w:szCs w:val="32"/>
        </w:rPr>
      </w:pPr>
      <w:r>
        <w:rPr>
          <w:rFonts w:hint="eastAsia" w:ascii="楷体" w:hAnsi="楷体" w:eastAsia="楷体" w:cstheme="majorBidi"/>
          <w:sz w:val="32"/>
          <w:szCs w:val="32"/>
        </w:rPr>
        <w:t>（七）加强金融综合服务</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鼓励银行、融资担保、信用增进等机构为上市后备企业提供综合金融服务，拓宽融资渠道，降低融资成本。支持银行业金融机构在风险可控的前提下，对上市后备企业制定综合融资方案，开展灵活多样的组合融资，创新金融产品和服务模式，重点对“专精特新”和“小巨人”企业，开展银行直贷、银担合作和投贷联动等信用类金融服务，满足企业不同阶段的资金需求。各县（市、区）政府（管委会）要积极推动融资担保机构与银行业金融机构合作，开展以上市后备企业为主要服务对象的转贷款、担保贷款等业务，引导政府性融资担保机构将平均担保费率降至1%以下，放宽反担保要求。支持社会资本设立股权投资基金，邀请私募股权投资机构到我市投资，助力企业加快上市。（责任单位：市金融工作局、市财政局、市工业和信息化局、市发展改革委、人行南阳市中心支行、南阳银保监分局，各县〔市、区〕政府〔管委会〕）</w:t>
      </w:r>
    </w:p>
    <w:p>
      <w:pPr>
        <w:spacing w:line="560" w:lineRule="exact"/>
        <w:ind w:firstLine="640" w:firstLineChars="200"/>
        <w:rPr>
          <w:rFonts w:ascii="楷体" w:hAnsi="楷体" w:eastAsia="楷体" w:cstheme="majorBidi"/>
          <w:sz w:val="32"/>
          <w:szCs w:val="32"/>
        </w:rPr>
      </w:pPr>
      <w:r>
        <w:rPr>
          <w:rFonts w:hint="eastAsia" w:ascii="楷体" w:hAnsi="楷体" w:eastAsia="楷体" w:cstheme="majorBidi"/>
          <w:sz w:val="32"/>
          <w:szCs w:val="32"/>
        </w:rPr>
        <w:t>（八）发挥中介机构专业优势</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有关部门要与证券公司、会计师事务所、律师事务所等中介机构建立紧密合作的工作机制，制作中介机构联系手册，增大上市后备企业选择空间，推动成熟企业与中介机构优质资源的高效匹配。建立证券等中介机构执业评价机制，完善资本市场服务专家库，采用问题通报、公布黑名单和正向激励等形式，督促中介机构严格履行核查验证等法定职责，为企业上市提供高质量服务。(责任单位：市金融工作局、市财政局、市司法局)</w:t>
      </w:r>
    </w:p>
    <w:p>
      <w:pPr>
        <w:spacing w:line="560" w:lineRule="exact"/>
        <w:ind w:firstLine="640" w:firstLineChars="200"/>
        <w:rPr>
          <w:rFonts w:ascii="楷体" w:hAnsi="楷体" w:eastAsia="楷体" w:cstheme="majorBidi"/>
          <w:sz w:val="32"/>
          <w:szCs w:val="32"/>
        </w:rPr>
      </w:pPr>
      <w:r>
        <w:rPr>
          <w:rFonts w:hint="eastAsia" w:ascii="楷体" w:hAnsi="楷体" w:eastAsia="楷体" w:cstheme="majorBidi"/>
          <w:sz w:val="32"/>
          <w:szCs w:val="32"/>
        </w:rPr>
        <w:t>(九）提高上市公司发展质量</w:t>
      </w:r>
    </w:p>
    <w:p>
      <w:pPr>
        <w:widowControl/>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加强对上市公司的动态监测和分析研判，督导上市公司、挂牌公司加强行业信用建设，加强规范自律，真实、准确、完整、及时、公平披露信息；积极做好投资者关系管理，通过媒体、网站、官方公众号等多渠道对外主动发声，正面回应市场热点和投资者关切，提振投资者信心，切实保护中小投资者权益。鼓励上市公司引入战略股东，优化股东结构，提升资本实力，扩大市值规模。深入实施“招金入宛”工程，支持鼓励金融机构、政府引导基金等参与上市公司并购重组。推动上市公司合理运用增发、配股、优先股等股债融资工具，扩大直接融资规模，优化资本结构。（责任单位：市金融工作局、市财政局、市发展改革委、市工业和信息化局、市工商联）</w:t>
      </w:r>
    </w:p>
    <w:p>
      <w:pPr>
        <w:spacing w:line="560" w:lineRule="exact"/>
        <w:ind w:firstLine="640" w:firstLineChars="200"/>
        <w:rPr>
          <w:rFonts w:ascii="黑体" w:hAnsi="黑体" w:eastAsia="黑体" w:cstheme="majorBidi"/>
          <w:bCs/>
          <w:sz w:val="32"/>
          <w:szCs w:val="32"/>
        </w:rPr>
      </w:pPr>
      <w:r>
        <w:rPr>
          <w:rFonts w:hint="eastAsia" w:ascii="黑体" w:hAnsi="黑体" w:eastAsia="黑体" w:cstheme="majorBidi"/>
          <w:bCs/>
          <w:sz w:val="32"/>
          <w:szCs w:val="32"/>
        </w:rPr>
        <w:t>三、保障措施</w:t>
      </w:r>
    </w:p>
    <w:p>
      <w:pPr>
        <w:spacing w:line="560" w:lineRule="exact"/>
        <w:ind w:firstLine="640" w:firstLineChars="200"/>
        <w:rPr>
          <w:rFonts w:ascii="楷体" w:hAnsi="楷体" w:eastAsia="楷体" w:cstheme="majorBidi"/>
          <w:sz w:val="32"/>
          <w:szCs w:val="32"/>
        </w:rPr>
      </w:pPr>
      <w:bookmarkStart w:id="33" w:name="_Toc130995814"/>
      <w:r>
        <w:rPr>
          <w:rFonts w:hint="eastAsia" w:ascii="楷体" w:hAnsi="楷体" w:eastAsia="楷体" w:cstheme="majorBidi"/>
          <w:sz w:val="32"/>
          <w:szCs w:val="32"/>
        </w:rPr>
        <w:t>（一）加强组织领导</w:t>
      </w:r>
      <w:bookmarkEnd w:id="33"/>
    </w:p>
    <w:p>
      <w:pPr>
        <w:spacing w:line="560" w:lineRule="exact"/>
        <w:ind w:firstLine="640" w:firstLineChars="200"/>
        <w:rPr>
          <w:rStyle w:val="19"/>
          <w:rFonts w:ascii="仿宋" w:hAnsi="仿宋" w:eastAsia="仿宋"/>
          <w:color w:val="000000"/>
          <w:sz w:val="32"/>
          <w:szCs w:val="32"/>
        </w:rPr>
      </w:pPr>
      <w:r>
        <w:rPr>
          <w:rStyle w:val="19"/>
          <w:rFonts w:hint="eastAsia" w:ascii="仿宋" w:hAnsi="仿宋" w:eastAsia="仿宋"/>
          <w:color w:val="000000"/>
          <w:sz w:val="32"/>
          <w:szCs w:val="32"/>
        </w:rPr>
        <w:t>市企业上市工作领导小组负责统筹推进全市企业上市工作，市金融工作局负责领导小组办公室日常工作。各县（市、区）要加强对企业上市工作的组织领导，成立由党政主要领导任组长，分管副县（市、区）长（副主任）任副组长，相关单位主要负责人为成员的企业上市工作领导小组，建立推动企业上市的长效机制，细化分解目标任务，协调解决企业上市中存在的问题，确保全年目标任务落到实处。市直相关单位要根据单位职责和所服务的产业链情况，明确分管负责同志协调对接上市工作，将企业上市列入重点工作内容，制定时间表和路线图，确保年度任务按时完成。（责任单位：市金融工作局、市工业和信息化局及其他市企业上市工作领导小组成员单位，各县〔市、区〕政府〔管委会〕）</w:t>
      </w:r>
    </w:p>
    <w:p>
      <w:pPr>
        <w:spacing w:line="560" w:lineRule="exact"/>
        <w:ind w:firstLine="640" w:firstLineChars="200"/>
        <w:rPr>
          <w:rFonts w:ascii="楷体" w:hAnsi="楷体" w:eastAsia="楷体" w:cstheme="majorBidi"/>
          <w:sz w:val="32"/>
          <w:szCs w:val="32"/>
        </w:rPr>
      </w:pPr>
      <w:r>
        <w:rPr>
          <w:rFonts w:hint="eastAsia" w:ascii="楷体" w:hAnsi="楷体" w:eastAsia="楷体" w:cstheme="majorBidi"/>
          <w:sz w:val="32"/>
          <w:szCs w:val="32"/>
        </w:rPr>
        <w:t>（二）强化服务保障</w:t>
      </w:r>
    </w:p>
    <w:p>
      <w:pPr>
        <w:spacing w:line="560" w:lineRule="exact"/>
        <w:ind w:firstLine="640" w:firstLineChars="200"/>
        <w:rPr>
          <w:rStyle w:val="19"/>
          <w:rFonts w:ascii="仿宋" w:hAnsi="仿宋" w:eastAsia="仿宋"/>
          <w:color w:val="000000"/>
          <w:sz w:val="32"/>
          <w:szCs w:val="32"/>
        </w:rPr>
      </w:pPr>
      <w:r>
        <w:rPr>
          <w:rStyle w:val="19"/>
          <w:rFonts w:hint="eastAsia" w:ascii="仿宋" w:hAnsi="仿宋" w:eastAsia="仿宋"/>
          <w:color w:val="000000"/>
          <w:sz w:val="32"/>
          <w:szCs w:val="32"/>
        </w:rPr>
        <w:t>各县（市、区）和行业主管部门要密切配合，做好上市后备企业的资源摸排、遴选、培育工作。各县（市、区）要明确专人负责跟踪落实企业上市进度，收集企业上市过程中存在的困难和问题，及时予以协调解决。相关职能部门要创优营商环境，指导企业依法合规经营，避免以罚代管。（责任单位：市金融工作局、市发展改革委、市工业和信息化局、市财政局、市商务局、市科技局、市农业农村局、市林业局、市卫健体委、市文化广电和旅游局、市水利局、市人力资源和社会保障局、市自然资源和规划局、市住房和城乡建设局、市生态环境局、市交通运输局、市不动产登记服务中心、市市场监督管理局、国家税务总局南阳市税务局、市住房公积金管理中心、人行南阳市中心支行、南阳银保监分局，各县〔市、区〕政府〔管委会〕）</w:t>
      </w:r>
    </w:p>
    <w:p>
      <w:pPr>
        <w:spacing w:line="560" w:lineRule="exact"/>
        <w:ind w:firstLine="640" w:firstLineChars="200"/>
        <w:rPr>
          <w:rFonts w:ascii="楷体" w:hAnsi="楷体" w:eastAsia="楷体" w:cstheme="majorBidi"/>
          <w:sz w:val="32"/>
          <w:szCs w:val="32"/>
        </w:rPr>
      </w:pPr>
      <w:bookmarkStart w:id="34" w:name="_Toc130995815"/>
      <w:r>
        <w:rPr>
          <w:rFonts w:hint="eastAsia" w:ascii="楷体" w:hAnsi="楷体" w:eastAsia="楷体" w:cstheme="majorBidi"/>
          <w:sz w:val="32"/>
          <w:szCs w:val="32"/>
        </w:rPr>
        <w:t>（三）加强督导考核</w:t>
      </w:r>
      <w:bookmarkEnd w:id="34"/>
    </w:p>
    <w:p>
      <w:pPr>
        <w:spacing w:line="560" w:lineRule="exact"/>
        <w:ind w:firstLine="640" w:firstLineChars="200"/>
        <w:rPr>
          <w:rStyle w:val="19"/>
          <w:rFonts w:ascii="仿宋" w:hAnsi="仿宋" w:eastAsia="仿宋"/>
          <w:color w:val="000000"/>
          <w:sz w:val="32"/>
          <w:szCs w:val="32"/>
        </w:rPr>
      </w:pPr>
      <w:r>
        <w:rPr>
          <w:rStyle w:val="19"/>
          <w:rFonts w:hint="eastAsia" w:ascii="仿宋" w:hAnsi="仿宋" w:eastAsia="仿宋"/>
          <w:color w:val="000000"/>
          <w:sz w:val="32"/>
          <w:szCs w:val="32"/>
        </w:rPr>
        <w:t>要将企业上市工作纳入各县（市、区）及相关行业主管部门的年度绩效考评体系。市金融工作局要定期对各县（市、区）和部门工作任务完成情况进行考核。对工作进展缓慢、措施不力的，将约谈相关县（市、区）政府（管委会）和相关部门主要领导、分管领导；未完成年度目标任务的，要对相关县（市、区）政府（管委会）主要领导进行问责；连续两年未完成目标任务的，要对相关县（市、区）党委（党工委）主要领导进行问责。（责任单位：市纪委监委、市委市政府督查局、市金融工作局）</w:t>
      </w:r>
    </w:p>
    <w:p>
      <w:pPr>
        <w:spacing w:line="560" w:lineRule="exact"/>
        <w:ind w:firstLine="640" w:firstLineChars="200"/>
        <w:rPr>
          <w:rFonts w:cstheme="majorBidi"/>
          <w:bCs/>
        </w:rPr>
      </w:pPr>
      <w:bookmarkStart w:id="35" w:name="_Toc130995816"/>
      <w:r>
        <w:rPr>
          <w:rFonts w:hint="eastAsia" w:ascii="黑体" w:hAnsi="黑体" w:eastAsia="黑体" w:cstheme="majorBidi"/>
          <w:bCs/>
          <w:sz w:val="32"/>
          <w:szCs w:val="32"/>
        </w:rPr>
        <w:t>四、申报要求及程序</w:t>
      </w:r>
      <w:bookmarkEnd w:id="35"/>
    </w:p>
    <w:p>
      <w:pPr>
        <w:spacing w:line="560" w:lineRule="exact"/>
        <w:ind w:firstLine="640" w:firstLineChars="200"/>
        <w:rPr>
          <w:rFonts w:ascii="仿宋" w:hAnsi="仿宋" w:eastAsia="仿宋" w:cs="Times New Roman"/>
          <w:color w:val="000000"/>
          <w:sz w:val="32"/>
          <w:szCs w:val="32"/>
        </w:rPr>
      </w:pPr>
      <w:r>
        <w:rPr>
          <w:rStyle w:val="19"/>
          <w:rFonts w:hint="eastAsia" w:ascii="仿宋" w:hAnsi="仿宋" w:eastAsia="仿宋"/>
          <w:color w:val="000000"/>
          <w:sz w:val="32"/>
          <w:szCs w:val="32"/>
        </w:rPr>
        <w:t>企业签订协议、完成股改、辅导备案等重大事项未在市、县两级金融工作部门报告备案的，不享受本文件规定的奖励政策。申请以上奖励补贴的企业应承诺十年内不迁离南阳市。每年3月31日前，符合条件的企业，向属地县（市、区）金融工作部门、财政部门进行申报。4月15日前，各县（市、区）金融工作部门会同财政部门对本辖区内企业的申报材料进行审核后，上报市金融工作局、市财政局。由市金融工作局商市财政局审核后共同提出申请奖补报告，报请市政府同意后，由市、县（市、区）财政部门按税收收益比例拨款。申报企业须按规定如实报送有关材料，不得弄虚作假，骗取、套取奖励资金。对虚报材料，骗取、套取奖补资金的，市金融工作局将会同财政部门依法追回奖励资金，并按照《财政违法行为处罚处分条例》（国务院令第427号）等有关规定严肃处理。（责任单位：市金融工作局、市财政局，各县〔市、区〕政府〔管委会〕）</w:t>
      </w:r>
    </w:p>
    <w:p>
      <w:pPr>
        <w:ind w:firstLine="640" w:firstLineChars="200"/>
        <w:rPr>
          <w:rStyle w:val="19"/>
          <w:rFonts w:ascii="仿宋" w:hAnsi="仿宋" w:eastAsia="仿宋"/>
          <w:sz w:val="32"/>
          <w:szCs w:val="32"/>
        </w:rPr>
      </w:pPr>
      <w:r>
        <w:rPr>
          <w:rStyle w:val="19"/>
          <w:rFonts w:hint="eastAsia" w:ascii="仿宋" w:hAnsi="仿宋" w:eastAsia="仿宋"/>
          <w:color w:val="000000"/>
          <w:sz w:val="32"/>
          <w:szCs w:val="32"/>
        </w:rPr>
        <w:t>同一项目、同一事项同时符合市本级其他政策规定的奖补条件的，按照就高不重复的原则享受奖补政策。本方案自发布之日起实施，《南阳市人民政府关于印发南阳市企业上市倍增计划的通知》（宛政〔2021〕</w:t>
      </w:r>
      <w:r>
        <w:rPr>
          <w:rStyle w:val="19"/>
          <w:rFonts w:hint="eastAsia" w:ascii="仿宋" w:hAnsi="仿宋" w:eastAsia="仿宋"/>
          <w:sz w:val="32"/>
          <w:szCs w:val="32"/>
        </w:rPr>
        <w:t>13号）同时废止。本方案在具体执行过程中，遇到上级相关政策调整变化或者与法律法规相抵触的，按上级政策和法律法规执行。</w:t>
      </w:r>
    </w:p>
    <w:p>
      <w:pPr>
        <w:rPr>
          <w:rFonts w:asciiTheme="majorEastAsia" w:hAnsiTheme="majorEastAsia" w:eastAsiaTheme="majorEastAsia" w:cstheme="majorEastAsia"/>
          <w:b/>
          <w:bCs/>
          <w:sz w:val="32"/>
          <w:szCs w:val="32"/>
        </w:rPr>
      </w:pPr>
      <w:r>
        <w:rPr>
          <w:rStyle w:val="19"/>
          <w:rFonts w:hint="eastAsia" w:ascii="仿宋" w:hAnsi="仿宋" w:eastAsia="仿宋"/>
          <w:sz w:val="32"/>
          <w:szCs w:val="32"/>
        </w:rPr>
        <w:br w:type="page"/>
      </w:r>
    </w:p>
    <w:p>
      <w:pPr>
        <w:pStyle w:val="3"/>
        <w:numPr>
          <w:numId w:val="0"/>
        </w:numPr>
        <w:ind w:leftChars="200"/>
        <w:jc w:val="center"/>
        <w:rPr>
          <w:rFonts w:hint="eastAsia"/>
          <w:sz w:val="44"/>
          <w:szCs w:val="44"/>
        </w:rPr>
      </w:pPr>
      <w:bookmarkStart w:id="36" w:name="_Toc14288"/>
      <w:r>
        <w:rPr>
          <w:rFonts w:hint="eastAsia"/>
          <w:sz w:val="44"/>
          <w:szCs w:val="44"/>
          <w:lang w:eastAsia="zh-CN"/>
        </w:rPr>
        <w:t>三、</w:t>
      </w:r>
      <w:r>
        <w:rPr>
          <w:rFonts w:hint="eastAsia"/>
          <w:sz w:val="44"/>
          <w:szCs w:val="44"/>
        </w:rPr>
        <w:t>南阳市企业上市挂牌“绿色通道”实施办法</w:t>
      </w:r>
      <w:bookmarkEnd w:id="36"/>
    </w:p>
    <w:p>
      <w:pPr>
        <w:keepNext/>
        <w:keepLines/>
        <w:spacing w:line="560" w:lineRule="exact"/>
        <w:ind w:firstLine="480" w:firstLineChars="200"/>
        <w:jc w:val="center"/>
        <w:rPr>
          <w:rStyle w:val="19"/>
          <w:rFonts w:hint="eastAsia" w:ascii="楷体" w:hAnsi="楷体" w:eastAsia="楷体" w:cs="楷体"/>
          <w:color w:val="000000"/>
          <w:sz w:val="24"/>
          <w:szCs w:val="24"/>
        </w:rPr>
      </w:pPr>
      <w:r>
        <w:rPr>
          <w:rStyle w:val="19"/>
          <w:rFonts w:hint="eastAsia" w:ascii="楷体" w:hAnsi="楷体" w:eastAsia="楷体" w:cs="楷体"/>
          <w:color w:val="000000"/>
          <w:sz w:val="24"/>
          <w:szCs w:val="24"/>
          <w:lang w:eastAsia="zh-CN"/>
        </w:rPr>
        <w:t>南阳市市政府文件</w:t>
      </w:r>
      <w:r>
        <w:rPr>
          <w:rStyle w:val="19"/>
          <w:rFonts w:hint="eastAsia" w:ascii="楷体" w:hAnsi="楷体" w:eastAsia="楷体" w:cs="楷体"/>
          <w:color w:val="000000"/>
          <w:sz w:val="24"/>
          <w:szCs w:val="24"/>
          <w:lang w:val="en-US" w:eastAsia="zh-CN"/>
        </w:rPr>
        <w:t xml:space="preserve"> </w:t>
      </w:r>
      <w:r>
        <w:rPr>
          <w:rStyle w:val="19"/>
          <w:rFonts w:hint="eastAsia" w:ascii="楷体" w:hAnsi="楷体" w:eastAsia="楷体" w:cs="楷体"/>
          <w:color w:val="000000"/>
          <w:sz w:val="24"/>
          <w:szCs w:val="24"/>
        </w:rPr>
        <w:t>宛政办〔2021〕1号</w:t>
      </w:r>
    </w:p>
    <w:p>
      <w:pPr>
        <w:keepNext/>
        <w:keepLines/>
        <w:spacing w:line="560" w:lineRule="exact"/>
        <w:ind w:firstLine="480" w:firstLineChars="200"/>
        <w:jc w:val="center"/>
        <w:rPr>
          <w:rStyle w:val="19"/>
          <w:rFonts w:hint="eastAsia" w:ascii="楷体" w:hAnsi="楷体" w:eastAsia="楷体" w:cs="楷体"/>
          <w:color w:val="000000"/>
          <w:sz w:val="24"/>
          <w:szCs w:val="24"/>
        </w:rPr>
      </w:pPr>
      <w:r>
        <w:rPr>
          <w:rStyle w:val="19"/>
          <w:rFonts w:hint="eastAsia" w:ascii="楷体" w:hAnsi="楷体" w:eastAsia="楷体" w:cs="楷体"/>
          <w:color w:val="000000"/>
          <w:sz w:val="24"/>
          <w:szCs w:val="24"/>
        </w:rPr>
        <w:t>2021年1月20日印发</w:t>
      </w:r>
    </w:p>
    <w:p>
      <w:pPr>
        <w:keepNext/>
        <w:keepLines/>
        <w:spacing w:line="560" w:lineRule="exact"/>
        <w:ind w:firstLine="640" w:firstLineChars="200"/>
        <w:rPr>
          <w:rStyle w:val="19"/>
          <w:rFonts w:ascii="仿宋" w:hAnsi="仿宋" w:eastAsia="仿宋"/>
          <w:color w:val="000000"/>
          <w:sz w:val="32"/>
          <w:szCs w:val="32"/>
        </w:rPr>
      </w:pPr>
      <w:r>
        <w:rPr>
          <w:rStyle w:val="19"/>
          <w:rFonts w:hint="eastAsia" w:ascii="仿宋" w:hAnsi="仿宋" w:eastAsia="仿宋"/>
          <w:color w:val="000000"/>
          <w:sz w:val="32"/>
          <w:szCs w:val="32"/>
        </w:rPr>
        <w:t>为进一步加大金融服务实体经济力度,加强对企业上市挂牌工作的组织领导,推动我市更多优质企业通过资本市场做大做强,结合我市实际,制定本办法。</w:t>
      </w:r>
    </w:p>
    <w:p>
      <w:pPr>
        <w:ind w:firstLine="320" w:firstLineChars="100"/>
        <w:jc w:val="left"/>
        <w:rPr>
          <w:rFonts w:ascii="仿宋_GB2312" w:hAnsi="仿宋_GB2312" w:eastAsia="仿宋_GB2312" w:cs="仿宋_GB2312"/>
          <w:b/>
          <w:bCs/>
          <w:sz w:val="32"/>
          <w:szCs w:val="32"/>
        </w:rPr>
      </w:pPr>
      <w:r>
        <w:rPr>
          <w:rFonts w:hint="eastAsia" w:ascii="黑体" w:hAnsi="黑体" w:eastAsia="黑体" w:cs="黑体"/>
          <w:sz w:val="32"/>
          <w:szCs w:val="32"/>
        </w:rPr>
        <w:t>　一、工作原则</w:t>
      </w:r>
    </w:p>
    <w:p>
      <w:pPr>
        <w:spacing w:line="560" w:lineRule="exact"/>
        <w:ind w:firstLine="640" w:firstLineChars="200"/>
        <w:rPr>
          <w:rStyle w:val="19"/>
          <w:rFonts w:ascii="仿宋" w:hAnsi="仿宋" w:eastAsia="仿宋"/>
          <w:color w:val="000000"/>
          <w:sz w:val="32"/>
          <w:szCs w:val="32"/>
        </w:rPr>
      </w:pPr>
      <w:r>
        <w:rPr>
          <w:rStyle w:val="19"/>
          <w:rFonts w:hint="eastAsia" w:ascii="仿宋" w:hAnsi="仿宋" w:eastAsia="仿宋"/>
          <w:color w:val="000000"/>
          <w:sz w:val="32"/>
          <w:szCs w:val="32"/>
        </w:rPr>
        <w:t>1.部门负责。对企业在上市挂牌前后遇到涉及单个部门的事项,相关职能部门要切实履行职责,提高服务质量和办事效率,依法依规限时办理。</w:t>
      </w:r>
    </w:p>
    <w:p>
      <w:pPr>
        <w:spacing w:line="560" w:lineRule="exact"/>
        <w:ind w:firstLine="640" w:firstLineChars="200"/>
        <w:rPr>
          <w:rStyle w:val="19"/>
          <w:rFonts w:ascii="仿宋" w:hAnsi="仿宋" w:eastAsia="仿宋"/>
          <w:color w:val="000000"/>
          <w:sz w:val="32"/>
          <w:szCs w:val="32"/>
        </w:rPr>
      </w:pPr>
      <w:r>
        <w:rPr>
          <w:rStyle w:val="19"/>
          <w:rFonts w:hint="eastAsia" w:ascii="仿宋" w:hAnsi="仿宋" w:eastAsia="仿宋"/>
          <w:color w:val="000000"/>
          <w:sz w:val="32"/>
          <w:szCs w:val="32"/>
        </w:rPr>
        <w:t>2.分级办理。凡本级政府及其部门能够协调解决的事项,应予解决,不得推诿。</w:t>
      </w:r>
    </w:p>
    <w:p>
      <w:pPr>
        <w:spacing w:line="560" w:lineRule="exact"/>
        <w:ind w:firstLine="640" w:firstLineChars="200"/>
        <w:rPr>
          <w:rStyle w:val="19"/>
          <w:rFonts w:ascii="仿宋" w:hAnsi="仿宋" w:eastAsia="仿宋"/>
          <w:color w:val="000000"/>
          <w:sz w:val="32"/>
          <w:szCs w:val="32"/>
        </w:rPr>
      </w:pPr>
      <w:r>
        <w:rPr>
          <w:rStyle w:val="19"/>
          <w:rFonts w:hint="eastAsia" w:ascii="仿宋" w:hAnsi="仿宋" w:eastAsia="仿宋"/>
          <w:color w:val="000000"/>
          <w:sz w:val="32"/>
          <w:szCs w:val="32"/>
        </w:rPr>
        <w:t>3.统筹协调。涉及县市区多部门的事项由各县市区政府统筹协调、研究办理。超出县市区政府或其部门职责范围的,应提交市加快企业上市重大专项办公室统筹协调解决。</w:t>
      </w:r>
    </w:p>
    <w:p>
      <w:pPr>
        <w:ind w:firstLine="320" w:firstLineChars="100"/>
        <w:jc w:val="left"/>
        <w:rPr>
          <w:rFonts w:ascii="黑体" w:hAnsi="黑体" w:eastAsia="黑体" w:cs="黑体"/>
          <w:sz w:val="32"/>
          <w:szCs w:val="32"/>
        </w:rPr>
      </w:pPr>
      <w:r>
        <w:rPr>
          <w:rFonts w:hint="eastAsia" w:ascii="黑体" w:hAnsi="黑体" w:eastAsia="黑体" w:cs="黑体"/>
          <w:sz w:val="32"/>
          <w:szCs w:val="32"/>
        </w:rPr>
        <w:t>　二、服务对象</w:t>
      </w:r>
    </w:p>
    <w:p>
      <w:pPr>
        <w:ind w:firstLine="640" w:firstLineChars="200"/>
        <w:rPr>
          <w:rStyle w:val="19"/>
          <w:rFonts w:ascii="仿宋" w:hAnsi="仿宋" w:eastAsia="仿宋"/>
          <w:color w:val="000000"/>
          <w:sz w:val="32"/>
          <w:szCs w:val="32"/>
        </w:rPr>
      </w:pPr>
      <w:r>
        <w:rPr>
          <w:rStyle w:val="19"/>
          <w:rFonts w:hint="eastAsia" w:ascii="仿宋" w:hAnsi="仿宋" w:eastAsia="仿宋"/>
          <w:color w:val="000000"/>
          <w:sz w:val="32"/>
          <w:szCs w:val="32"/>
        </w:rPr>
        <w:t>省、市重点上市挂牌后备企业、我市上市公司、全国中小企业股份转让系统挂牌公司。</w:t>
      </w:r>
    </w:p>
    <w:p>
      <w:pPr>
        <w:ind w:firstLine="640" w:firstLineChars="200"/>
        <w:jc w:val="left"/>
        <w:rPr>
          <w:rFonts w:ascii="黑体" w:hAnsi="黑体" w:eastAsia="黑体" w:cs="黑体"/>
          <w:sz w:val="32"/>
          <w:szCs w:val="32"/>
        </w:rPr>
      </w:pPr>
      <w:r>
        <w:rPr>
          <w:rFonts w:hint="eastAsia" w:ascii="黑体" w:hAnsi="黑体" w:eastAsia="黑体" w:cs="黑体"/>
          <w:sz w:val="32"/>
          <w:szCs w:val="32"/>
        </w:rPr>
        <w:t>三、适用范围</w:t>
      </w:r>
    </w:p>
    <w:p>
      <w:pPr>
        <w:ind w:firstLine="640" w:firstLineChars="200"/>
        <w:rPr>
          <w:rStyle w:val="19"/>
          <w:rFonts w:ascii="仿宋" w:hAnsi="仿宋" w:eastAsia="仿宋"/>
          <w:color w:val="000000"/>
          <w:sz w:val="32"/>
          <w:szCs w:val="32"/>
        </w:rPr>
      </w:pPr>
      <w:r>
        <w:rPr>
          <w:rStyle w:val="19"/>
          <w:rFonts w:hint="eastAsia" w:ascii="仿宋" w:hAnsi="仿宋" w:eastAsia="仿宋"/>
          <w:color w:val="000000"/>
          <w:sz w:val="32"/>
          <w:szCs w:val="32"/>
        </w:rPr>
        <w:t>企业有下列情形之一的,可以通过“绿色通道”办理业务:</w:t>
      </w:r>
    </w:p>
    <w:p>
      <w:pPr>
        <w:ind w:firstLine="640" w:firstLineChars="200"/>
        <w:rPr>
          <w:rStyle w:val="19"/>
          <w:rFonts w:ascii="仿宋" w:hAnsi="仿宋" w:eastAsia="仿宋"/>
          <w:color w:val="000000"/>
          <w:sz w:val="32"/>
          <w:szCs w:val="32"/>
        </w:rPr>
      </w:pPr>
      <w:r>
        <w:rPr>
          <w:rStyle w:val="19"/>
          <w:rFonts w:hint="eastAsia" w:ascii="仿宋" w:hAnsi="仿宋" w:eastAsia="仿宋"/>
          <w:color w:val="000000"/>
          <w:sz w:val="32"/>
          <w:szCs w:val="32"/>
        </w:rPr>
        <w:t>1.企业上市挂牌前需要相关职能部门出具手续证明的;</w:t>
      </w:r>
    </w:p>
    <w:p>
      <w:pPr>
        <w:ind w:firstLine="640" w:firstLineChars="200"/>
        <w:rPr>
          <w:rStyle w:val="19"/>
          <w:rFonts w:ascii="仿宋" w:hAnsi="仿宋" w:eastAsia="仿宋"/>
          <w:color w:val="000000"/>
          <w:sz w:val="32"/>
          <w:szCs w:val="32"/>
        </w:rPr>
      </w:pPr>
      <w:r>
        <w:rPr>
          <w:rStyle w:val="19"/>
          <w:rFonts w:hint="eastAsia" w:ascii="仿宋" w:hAnsi="仿宋" w:eastAsia="仿宋"/>
          <w:color w:val="000000"/>
          <w:sz w:val="32"/>
          <w:szCs w:val="32"/>
        </w:rPr>
        <w:t>2.企业上市挂牌前需要落实相关政策的;</w:t>
      </w:r>
    </w:p>
    <w:p>
      <w:pPr>
        <w:ind w:firstLine="640" w:firstLineChars="200"/>
        <w:rPr>
          <w:rStyle w:val="19"/>
          <w:rFonts w:ascii="仿宋" w:hAnsi="仿宋" w:eastAsia="仿宋"/>
          <w:color w:val="000000"/>
          <w:sz w:val="32"/>
          <w:szCs w:val="32"/>
        </w:rPr>
      </w:pPr>
      <w:r>
        <w:rPr>
          <w:rStyle w:val="19"/>
          <w:rFonts w:hint="eastAsia" w:ascii="仿宋" w:hAnsi="仿宋" w:eastAsia="仿宋"/>
          <w:color w:val="000000"/>
          <w:sz w:val="32"/>
          <w:szCs w:val="32"/>
        </w:rPr>
        <w:t>3.企业上市挂牌过程中遇到困难和问题的;</w:t>
      </w:r>
    </w:p>
    <w:p>
      <w:pPr>
        <w:ind w:firstLine="640" w:firstLineChars="200"/>
        <w:rPr>
          <w:rStyle w:val="19"/>
          <w:rFonts w:ascii="仿宋" w:hAnsi="仿宋" w:eastAsia="仿宋"/>
          <w:color w:val="000000"/>
          <w:sz w:val="32"/>
          <w:szCs w:val="32"/>
        </w:rPr>
      </w:pPr>
      <w:r>
        <w:rPr>
          <w:rStyle w:val="19"/>
          <w:rFonts w:hint="eastAsia" w:ascii="仿宋" w:hAnsi="仿宋" w:eastAsia="仿宋"/>
          <w:color w:val="000000"/>
          <w:sz w:val="32"/>
          <w:szCs w:val="32"/>
        </w:rPr>
        <w:t>4.已上市挂牌公司并购重组、再融资需要落实相关政策的;</w:t>
      </w:r>
    </w:p>
    <w:p>
      <w:pPr>
        <w:ind w:firstLine="640" w:firstLineChars="200"/>
        <w:rPr>
          <w:rStyle w:val="19"/>
          <w:rFonts w:ascii="仿宋" w:hAnsi="仿宋" w:eastAsia="仿宋"/>
          <w:color w:val="000000"/>
          <w:sz w:val="32"/>
          <w:szCs w:val="32"/>
        </w:rPr>
      </w:pPr>
      <w:r>
        <w:rPr>
          <w:rStyle w:val="19"/>
          <w:rFonts w:hint="eastAsia" w:ascii="仿宋" w:hAnsi="仿宋" w:eastAsia="仿宋"/>
          <w:color w:val="000000"/>
          <w:sz w:val="32"/>
          <w:szCs w:val="32"/>
        </w:rPr>
        <w:t>5.已上市挂牌公司并购重组、再融资过程中遇到困难和问题的。</w:t>
      </w:r>
    </w:p>
    <w:p>
      <w:pPr>
        <w:ind w:firstLine="640" w:firstLineChars="200"/>
        <w:rPr>
          <w:rFonts w:ascii="仿宋_GB2312" w:hAnsi="仿宋_GB2312" w:eastAsia="仿宋_GB2312" w:cs="仿宋_GB2312"/>
          <w:b/>
          <w:bCs/>
          <w:sz w:val="32"/>
          <w:szCs w:val="32"/>
        </w:rPr>
      </w:pPr>
      <w:r>
        <w:rPr>
          <w:rFonts w:hint="eastAsia" w:ascii="黑体" w:hAnsi="黑体" w:eastAsia="黑体" w:cs="黑体"/>
          <w:sz w:val="32"/>
          <w:szCs w:val="32"/>
        </w:rPr>
        <w:t>四、工作流程</w:t>
      </w:r>
    </w:p>
    <w:p>
      <w:pPr>
        <w:ind w:firstLine="640" w:firstLineChars="200"/>
        <w:rPr>
          <w:rStyle w:val="19"/>
          <w:rFonts w:ascii="仿宋" w:hAnsi="仿宋" w:eastAsia="仿宋"/>
          <w:color w:val="000000"/>
          <w:sz w:val="32"/>
          <w:szCs w:val="32"/>
        </w:rPr>
      </w:pPr>
      <w:r>
        <w:rPr>
          <w:rStyle w:val="19"/>
          <w:rFonts w:hint="eastAsia" w:ascii="仿宋" w:hAnsi="仿宋" w:eastAsia="仿宋"/>
          <w:color w:val="000000"/>
          <w:sz w:val="32"/>
          <w:szCs w:val="32"/>
        </w:rPr>
        <w:t>1.收集。各县市区金融工作部门负责收集辖区内企业上市挂牌前遇到的事项。</w:t>
      </w:r>
    </w:p>
    <w:p>
      <w:pPr>
        <w:ind w:firstLine="640" w:firstLineChars="200"/>
        <w:rPr>
          <w:rStyle w:val="19"/>
          <w:rFonts w:ascii="仿宋" w:hAnsi="仿宋" w:eastAsia="仿宋"/>
          <w:color w:val="000000"/>
          <w:sz w:val="32"/>
          <w:szCs w:val="32"/>
        </w:rPr>
      </w:pPr>
      <w:r>
        <w:rPr>
          <w:rStyle w:val="19"/>
          <w:rFonts w:hint="eastAsia" w:ascii="仿宋" w:hAnsi="仿宋" w:eastAsia="仿宋"/>
          <w:color w:val="000000"/>
          <w:sz w:val="32"/>
          <w:szCs w:val="32"/>
        </w:rPr>
        <w:t>2.办理。各县市区金融工作部门对企业提出的事项,认真梳理分析,分类办理。事项属本级政府职责权限的,要采取转交相关职能部门、提请县市区政府召开协调会议等方式及时办理。对超出本级政府职责权限的事项,由县市区政府认定后上报市加快企业上市重大专项办公室。</w:t>
      </w:r>
    </w:p>
    <w:p>
      <w:pPr>
        <w:ind w:firstLine="640" w:firstLineChars="200"/>
        <w:rPr>
          <w:rStyle w:val="19"/>
          <w:rFonts w:ascii="仿宋" w:hAnsi="仿宋" w:eastAsia="仿宋"/>
          <w:color w:val="000000"/>
          <w:sz w:val="32"/>
          <w:szCs w:val="32"/>
        </w:rPr>
      </w:pPr>
      <w:r>
        <w:rPr>
          <w:rStyle w:val="19"/>
          <w:rFonts w:hint="eastAsia" w:ascii="仿宋" w:hAnsi="仿宋" w:eastAsia="仿宋"/>
          <w:color w:val="000000"/>
          <w:sz w:val="32"/>
          <w:szCs w:val="32"/>
        </w:rPr>
        <w:t>3.反馈。相关部门要在规定时间内反馈企业事项办理情况。对于不能如期办理的事项和解决的问题,要说明情况,包括原因、办结时限等。</w:t>
      </w:r>
    </w:p>
    <w:p>
      <w:pPr>
        <w:ind w:firstLine="640" w:firstLineChars="200"/>
        <w:rPr>
          <w:rStyle w:val="19"/>
          <w:rFonts w:ascii="仿宋" w:hAnsi="仿宋" w:eastAsia="仿宋"/>
          <w:color w:val="000000"/>
          <w:sz w:val="32"/>
          <w:szCs w:val="32"/>
        </w:rPr>
      </w:pPr>
      <w:r>
        <w:rPr>
          <w:rStyle w:val="19"/>
          <w:rFonts w:hint="eastAsia" w:ascii="仿宋" w:hAnsi="仿宋" w:eastAsia="仿宋"/>
          <w:color w:val="000000"/>
          <w:sz w:val="32"/>
          <w:szCs w:val="32"/>
        </w:rPr>
        <w:t>4.催办。对于未在规定时间办理完毕的事项和未解决的问题,向责任单位发送催办函。</w:t>
      </w:r>
    </w:p>
    <w:p>
      <w:pPr>
        <w:ind w:firstLine="640" w:firstLineChars="200"/>
        <w:rPr>
          <w:rFonts w:ascii="仿宋_GB2312" w:hAnsi="仿宋_GB2312" w:eastAsia="仿宋_GB2312" w:cs="仿宋_GB2312"/>
          <w:b/>
          <w:bCs/>
          <w:sz w:val="32"/>
          <w:szCs w:val="32"/>
        </w:rPr>
      </w:pPr>
      <w:r>
        <w:rPr>
          <w:rFonts w:hint="eastAsia" w:ascii="黑体" w:hAnsi="黑体" w:eastAsia="黑体" w:cs="黑体"/>
          <w:sz w:val="32"/>
          <w:szCs w:val="32"/>
        </w:rPr>
        <w:t>五、职责分工</w:t>
      </w:r>
    </w:p>
    <w:p>
      <w:pPr>
        <w:ind w:firstLine="640" w:firstLineChars="200"/>
        <w:rPr>
          <w:rStyle w:val="19"/>
          <w:rFonts w:ascii="仿宋" w:hAnsi="仿宋" w:eastAsia="仿宋"/>
          <w:color w:val="000000"/>
          <w:sz w:val="32"/>
          <w:szCs w:val="32"/>
        </w:rPr>
      </w:pPr>
      <w:r>
        <w:rPr>
          <w:rStyle w:val="19"/>
          <w:rFonts w:hint="eastAsia" w:ascii="仿宋" w:hAnsi="仿宋" w:eastAsia="仿宋"/>
          <w:color w:val="000000"/>
          <w:sz w:val="32"/>
          <w:szCs w:val="32"/>
        </w:rPr>
        <w:t>1.市金融工作局:负责履行市加快企业上市重大专项办公室职责,调整完善市重点上市挂牌后备企业资源库;制定出台推进企业上市挂牌相关政策;受理绿色通道事项申请,召开协调会议,推动相关职能部门研究解决;承担“绿色通道”的日常工作,完成领导小组交办的其它事项;联系上海证券交易所、深圳证券交易所等相关单位。</w:t>
      </w:r>
    </w:p>
    <w:p>
      <w:pPr>
        <w:ind w:firstLine="640" w:firstLineChars="200"/>
        <w:rPr>
          <w:rStyle w:val="19"/>
          <w:rFonts w:ascii="仿宋" w:hAnsi="仿宋" w:eastAsia="仿宋"/>
          <w:color w:val="000000"/>
          <w:sz w:val="32"/>
          <w:szCs w:val="32"/>
        </w:rPr>
      </w:pPr>
      <w:r>
        <w:rPr>
          <w:rStyle w:val="19"/>
          <w:rFonts w:hint="eastAsia" w:ascii="仿宋" w:hAnsi="仿宋" w:eastAsia="仿宋"/>
          <w:color w:val="000000"/>
          <w:sz w:val="32"/>
          <w:szCs w:val="32"/>
        </w:rPr>
        <w:t>2.市发展改革委:办理后备企业及已上市挂牌企业募集资金投资项目的审批、核准、备案和转报手续;及时办理与上市挂牌后备企业相关的外商投资项目审批手续;衔接、沟通国家和省发改委,为企业出具必要的项目核查意见;做好企业发债的政策指引;协调相关项目和政策性资金积极支持上市挂牌后备企业及已上市挂牌企业;根据企业上市工作需要,及时主动为企业出具职责范围内的相关证明;培育、推荐符合条件的企业纳入市重点上市挂牌后备企业资源库。</w:t>
      </w:r>
    </w:p>
    <w:p>
      <w:pPr>
        <w:ind w:firstLine="640" w:firstLineChars="200"/>
        <w:rPr>
          <w:rStyle w:val="19"/>
          <w:rFonts w:ascii="仿宋" w:hAnsi="仿宋" w:eastAsia="仿宋"/>
          <w:color w:val="000000"/>
          <w:sz w:val="32"/>
          <w:szCs w:val="32"/>
        </w:rPr>
      </w:pPr>
      <w:r>
        <w:rPr>
          <w:rStyle w:val="19"/>
          <w:rFonts w:hint="eastAsia" w:ascii="仿宋" w:hAnsi="仿宋" w:eastAsia="仿宋"/>
          <w:color w:val="000000"/>
          <w:sz w:val="32"/>
          <w:szCs w:val="32"/>
        </w:rPr>
        <w:t>3.市工信局:积极争取上级政策资金,积极支持工业类上市后备企业发展;利用市级创新发展财政贴息资金的带动作用,引导上市挂牌后备企业及已上市挂牌企业走创新发展之路,助力企业转型升级和发展壮大;引导市中小企业投资担保公司重点支持上市挂牌后备企业及已上市挂牌企业;加强对工业类上市挂牌后备企业生产、经营、管理各类人才的培育;帮助企业打造名牌产品,开拓市场;培育、推荐符合条件的工业类企业纳入市上市挂牌后备企业资源库。</w:t>
      </w:r>
    </w:p>
    <w:p>
      <w:pPr>
        <w:ind w:firstLine="640" w:firstLineChars="200"/>
        <w:rPr>
          <w:rStyle w:val="19"/>
          <w:rFonts w:ascii="仿宋" w:hAnsi="仿宋" w:eastAsia="仿宋"/>
          <w:color w:val="000000"/>
          <w:sz w:val="32"/>
          <w:szCs w:val="32"/>
        </w:rPr>
      </w:pPr>
      <w:r>
        <w:rPr>
          <w:rStyle w:val="19"/>
          <w:rFonts w:hint="eastAsia" w:ascii="仿宋" w:hAnsi="仿宋" w:eastAsia="仿宋"/>
          <w:color w:val="000000"/>
          <w:sz w:val="32"/>
          <w:szCs w:val="32"/>
        </w:rPr>
        <w:t>4.市科技局:积极落实相关项目和政策性资金,积极开展项目立项、专利申报和成果登记等;积极推荐申报上市后备企业为国家级高新技术企业;培育、推荐科技型企业纳入市上市挂牌后备企业资源库。</w:t>
      </w:r>
    </w:p>
    <w:p>
      <w:pPr>
        <w:ind w:firstLine="640" w:firstLineChars="200"/>
        <w:rPr>
          <w:rStyle w:val="19"/>
          <w:rFonts w:ascii="仿宋" w:hAnsi="仿宋" w:eastAsia="仿宋"/>
          <w:color w:val="000000"/>
          <w:sz w:val="32"/>
          <w:szCs w:val="32"/>
        </w:rPr>
      </w:pPr>
      <w:r>
        <w:rPr>
          <w:rStyle w:val="19"/>
          <w:rFonts w:hint="eastAsia" w:ascii="仿宋" w:hAnsi="仿宋" w:eastAsia="仿宋"/>
          <w:color w:val="000000"/>
          <w:sz w:val="32"/>
          <w:szCs w:val="32"/>
        </w:rPr>
        <w:t>5.市财政局:负责出具所出资企业国有股权设置和管理的批复及相关文件;衔接、沟通省国资委,协助企业出具相关证明,协调解决企业国有股权转让的历史遗留问题;引导上市挂牌后备企业自觉遵守国家财政方面的法律法规,建立健全企业内部财务会计制度;落实企业上市挂牌及直接融资等方面的财政扶持政策;积极争取省级各类产业引导基金,协调市级政府引导基金、信贷周转资金池积极支持上市挂牌后备企业及已上市挂牌企业;积极培育、推荐国有控股、参股企业纳入市上市挂牌后备企业资源库。</w:t>
      </w:r>
    </w:p>
    <w:p>
      <w:pPr>
        <w:ind w:firstLine="640" w:firstLineChars="200"/>
        <w:rPr>
          <w:rStyle w:val="19"/>
          <w:rFonts w:ascii="仿宋" w:hAnsi="仿宋" w:eastAsia="仿宋"/>
          <w:color w:val="000000"/>
          <w:sz w:val="32"/>
          <w:szCs w:val="32"/>
        </w:rPr>
      </w:pPr>
      <w:r>
        <w:rPr>
          <w:rStyle w:val="19"/>
          <w:rFonts w:hint="eastAsia" w:ascii="仿宋" w:hAnsi="仿宋" w:eastAsia="仿宋"/>
          <w:color w:val="000000"/>
          <w:sz w:val="32"/>
          <w:szCs w:val="32"/>
        </w:rPr>
        <w:t>6.市人力资源和社会保障局:负责对上市挂牌后备企业在企业员工新增、转移、补办和规范社会保险手续方面给予支持,及时提供企业参加社会保险、缴纳各项社会保险费和合法用工的证明文件或材料;协调市劳动人事争议仲裁委员会处理企业劳动人事关系纠纷,及时出具企业不存在尚未了结劳动仲裁事项等相关证明。</w:t>
      </w:r>
    </w:p>
    <w:p>
      <w:pPr>
        <w:ind w:firstLine="640" w:firstLineChars="200"/>
        <w:rPr>
          <w:rStyle w:val="19"/>
          <w:rFonts w:ascii="仿宋" w:hAnsi="仿宋" w:eastAsia="仿宋"/>
          <w:color w:val="000000"/>
          <w:sz w:val="32"/>
          <w:szCs w:val="32"/>
        </w:rPr>
      </w:pPr>
      <w:r>
        <w:rPr>
          <w:rStyle w:val="19"/>
          <w:rFonts w:hint="eastAsia" w:ascii="仿宋" w:hAnsi="仿宋" w:eastAsia="仿宋"/>
          <w:color w:val="000000"/>
          <w:sz w:val="32"/>
          <w:szCs w:val="32"/>
        </w:rPr>
        <w:t>7.市自然资源和规划局:负责办理市上市挂牌后备企业土地、规划等方面手续,明确时间节点,加快工作进度;对土地、规划等方面的历史遗留问题,要主动担当,帮助企业明晰产权;研究解决企业上市挂牌过程中涉及的土地评估和土地资产处置等方面问题,对上市挂牌后备企业新建、扩建项目特别是首发募集资金投资项目所需建设用地,在土地利用年度计划中积极安排、重点保障,及时办理有关规划、用地预审、建设用地报批和供地手续;协助企业查询不动产权登记状态;根据企业上市工作需要,及时主动为企业出具职责范围内的相关证明;培育、推荐规划设计类、矿产类企业纳入市上市挂牌后备企业资源库。</w:t>
      </w:r>
    </w:p>
    <w:p>
      <w:pPr>
        <w:ind w:firstLine="640" w:firstLineChars="200"/>
        <w:rPr>
          <w:rStyle w:val="19"/>
          <w:rFonts w:ascii="仿宋" w:hAnsi="仿宋" w:eastAsia="仿宋"/>
          <w:color w:val="000000"/>
          <w:sz w:val="32"/>
          <w:szCs w:val="32"/>
        </w:rPr>
      </w:pPr>
      <w:r>
        <w:rPr>
          <w:rStyle w:val="19"/>
          <w:rFonts w:hint="eastAsia" w:ascii="仿宋" w:hAnsi="仿宋" w:eastAsia="仿宋"/>
          <w:color w:val="000000"/>
          <w:sz w:val="32"/>
          <w:szCs w:val="32"/>
        </w:rPr>
        <w:t>8.市农业农村局:对农业类上市挂牌后备企业,符合条件的认定为农业产业化市重点龙头企业,并积极推荐申报省、国家重点龙头企业;对农业类上市后备企业生产、养殖等情况出具合规等相关证明;培育、推荐农业类企业纳入市上市挂牌后备企业资源库。</w:t>
      </w:r>
    </w:p>
    <w:p>
      <w:pPr>
        <w:ind w:firstLine="640" w:firstLineChars="200"/>
        <w:rPr>
          <w:rStyle w:val="19"/>
          <w:rFonts w:ascii="仿宋" w:hAnsi="仿宋" w:eastAsia="仿宋"/>
          <w:color w:val="000000"/>
          <w:sz w:val="32"/>
          <w:szCs w:val="32"/>
        </w:rPr>
      </w:pPr>
      <w:r>
        <w:rPr>
          <w:rStyle w:val="19"/>
          <w:rFonts w:hint="eastAsia" w:ascii="仿宋" w:hAnsi="仿宋" w:eastAsia="仿宋"/>
          <w:color w:val="000000"/>
          <w:sz w:val="32"/>
          <w:szCs w:val="32"/>
        </w:rPr>
        <w:t>9.市商务局:办理上市挂牌后备企业涉及外商投资信息报告的报送工作,并出具外商出资合规等证明;对外商投资企业的历史遗留问题,要主动担当,及时出具相关专项证明;培育、推荐商业流通领域企业纳入市上市挂牌后备企业资源库。</w:t>
      </w:r>
    </w:p>
    <w:p>
      <w:pPr>
        <w:ind w:firstLine="640" w:firstLineChars="200"/>
        <w:rPr>
          <w:rStyle w:val="19"/>
          <w:rFonts w:ascii="仿宋" w:hAnsi="仿宋" w:eastAsia="仿宋"/>
          <w:color w:val="000000"/>
          <w:sz w:val="32"/>
          <w:szCs w:val="32"/>
        </w:rPr>
      </w:pPr>
      <w:r>
        <w:rPr>
          <w:rStyle w:val="19"/>
          <w:rFonts w:hint="eastAsia" w:ascii="仿宋" w:hAnsi="仿宋" w:eastAsia="仿宋"/>
          <w:color w:val="000000"/>
          <w:sz w:val="32"/>
          <w:szCs w:val="32"/>
        </w:rPr>
        <w:t>10.市生态环境局:及时出具上市挂牌后备企业环评报告批复;根据企业上市工作需要,及时主动为企业出具环保合规等职责范围内的相关证明。</w:t>
      </w:r>
    </w:p>
    <w:p>
      <w:pPr>
        <w:ind w:firstLine="640" w:firstLineChars="200"/>
        <w:rPr>
          <w:rStyle w:val="19"/>
          <w:rFonts w:ascii="仿宋" w:hAnsi="仿宋" w:eastAsia="仿宋"/>
          <w:color w:val="000000"/>
          <w:sz w:val="32"/>
          <w:szCs w:val="32"/>
        </w:rPr>
      </w:pPr>
      <w:r>
        <w:rPr>
          <w:rStyle w:val="19"/>
          <w:rFonts w:hint="eastAsia" w:ascii="仿宋" w:hAnsi="仿宋" w:eastAsia="仿宋"/>
          <w:color w:val="000000"/>
          <w:sz w:val="32"/>
          <w:szCs w:val="32"/>
        </w:rPr>
        <w:t>11.市税务局:妥善解决企业上市过程中历史遗留的各种税收问题;支持科技类后备企业依法享受相关税收优惠政策;及时出具企业涉税情况证明。</w:t>
      </w:r>
    </w:p>
    <w:p>
      <w:pPr>
        <w:ind w:firstLine="640" w:firstLineChars="200"/>
        <w:rPr>
          <w:rStyle w:val="19"/>
          <w:rFonts w:ascii="仿宋" w:hAnsi="仿宋" w:eastAsia="仿宋"/>
          <w:color w:val="000000"/>
          <w:sz w:val="32"/>
          <w:szCs w:val="32"/>
        </w:rPr>
      </w:pPr>
      <w:r>
        <w:rPr>
          <w:rStyle w:val="19"/>
          <w:rFonts w:hint="eastAsia" w:ascii="仿宋" w:hAnsi="仿宋" w:eastAsia="仿宋"/>
          <w:color w:val="000000"/>
          <w:sz w:val="32"/>
          <w:szCs w:val="32"/>
        </w:rPr>
        <w:t>12.市房产服务中心:会同相关部门支持、帮助上市后备企业解决房产历史遗留问题。</w:t>
      </w:r>
    </w:p>
    <w:p>
      <w:pPr>
        <w:ind w:firstLine="640" w:firstLineChars="200"/>
        <w:rPr>
          <w:rStyle w:val="19"/>
          <w:rFonts w:ascii="仿宋" w:hAnsi="仿宋" w:eastAsia="仿宋"/>
          <w:color w:val="000000"/>
          <w:sz w:val="32"/>
          <w:szCs w:val="32"/>
        </w:rPr>
      </w:pPr>
      <w:r>
        <w:rPr>
          <w:rStyle w:val="19"/>
          <w:rFonts w:hint="eastAsia" w:ascii="仿宋" w:hAnsi="仿宋" w:eastAsia="仿宋"/>
          <w:color w:val="000000"/>
          <w:sz w:val="32"/>
          <w:szCs w:val="32"/>
        </w:rPr>
        <w:t>13.市住建局:负责办理上市挂牌后备企业在住建方面的手续;对住建方面的历史遗留问题,要主动担当,积极作为;根据企业上市工作需要,及时主动为企业出具职责范围内的相关证明;培育、推荐房地产、建筑行业企业纳入市上市挂牌后备企业资源库。</w:t>
      </w:r>
    </w:p>
    <w:p>
      <w:pPr>
        <w:ind w:firstLine="640" w:firstLineChars="200"/>
        <w:rPr>
          <w:rStyle w:val="19"/>
          <w:rFonts w:ascii="仿宋" w:hAnsi="仿宋" w:eastAsia="仿宋"/>
          <w:color w:val="000000"/>
          <w:sz w:val="32"/>
          <w:szCs w:val="32"/>
        </w:rPr>
      </w:pPr>
      <w:r>
        <w:rPr>
          <w:rStyle w:val="19"/>
          <w:rFonts w:hint="eastAsia" w:ascii="仿宋" w:hAnsi="仿宋" w:eastAsia="仿宋"/>
          <w:color w:val="000000"/>
          <w:sz w:val="32"/>
          <w:szCs w:val="32"/>
        </w:rPr>
        <w:t>14.市城市综合执法局:根据企业上市工作需要,及时主动为上市挂牌后备企业出具住房城乡建设、环境保护、工商管理、交通管理、水务管理、食品药品监督等领域行政执法方面的相关证明。</w:t>
      </w:r>
    </w:p>
    <w:p>
      <w:pPr>
        <w:ind w:firstLine="640" w:firstLineChars="200"/>
        <w:rPr>
          <w:rStyle w:val="19"/>
          <w:rFonts w:ascii="仿宋" w:hAnsi="仿宋" w:eastAsia="仿宋"/>
          <w:color w:val="000000"/>
          <w:sz w:val="32"/>
          <w:szCs w:val="32"/>
        </w:rPr>
      </w:pPr>
      <w:r>
        <w:rPr>
          <w:rStyle w:val="19"/>
          <w:rFonts w:hint="eastAsia" w:ascii="仿宋" w:hAnsi="仿宋" w:eastAsia="仿宋"/>
          <w:color w:val="000000"/>
          <w:sz w:val="32"/>
          <w:szCs w:val="32"/>
        </w:rPr>
        <w:t>15.市市场监督管理局:负责提供各县市区的股份公司登记名录,为更新维护全市上市挂牌后备企业资源库提供基础数据依据;负责为上市挂牌后备企业实施股权结构调整和股份制改造提供快速便捷服务;根据企业上市工作需要,及时主动为企业出具工商行政管理、产品质量和技术监督等职责范围内的相关证明。</w:t>
      </w:r>
    </w:p>
    <w:p>
      <w:pPr>
        <w:ind w:firstLine="640" w:firstLineChars="200"/>
        <w:rPr>
          <w:rStyle w:val="19"/>
          <w:rFonts w:ascii="仿宋" w:hAnsi="仿宋" w:eastAsia="仿宋"/>
          <w:color w:val="000000"/>
          <w:sz w:val="32"/>
          <w:szCs w:val="32"/>
        </w:rPr>
      </w:pPr>
      <w:r>
        <w:rPr>
          <w:rStyle w:val="19"/>
          <w:rFonts w:hint="eastAsia" w:ascii="仿宋" w:hAnsi="仿宋" w:eastAsia="仿宋"/>
          <w:color w:val="000000"/>
          <w:sz w:val="32"/>
          <w:szCs w:val="32"/>
        </w:rPr>
        <w:t>16.市住房公积金管理中心:负责对上市挂牌后备企业的住房公积金账户设立、缴存情况进行指导和服务,及时为企业出具住房公积金合规等证明材料。</w:t>
      </w:r>
    </w:p>
    <w:p>
      <w:pPr>
        <w:ind w:firstLine="640" w:firstLineChars="200"/>
        <w:rPr>
          <w:rStyle w:val="19"/>
          <w:rFonts w:ascii="仿宋" w:hAnsi="仿宋" w:eastAsia="仿宋"/>
          <w:color w:val="000000"/>
          <w:sz w:val="32"/>
          <w:szCs w:val="32"/>
        </w:rPr>
      </w:pPr>
      <w:r>
        <w:rPr>
          <w:rStyle w:val="19"/>
          <w:rFonts w:hint="eastAsia" w:ascii="仿宋" w:hAnsi="仿宋" w:eastAsia="仿宋"/>
          <w:color w:val="000000"/>
          <w:sz w:val="32"/>
          <w:szCs w:val="32"/>
        </w:rPr>
        <w:t>17.市应急管理局:负责对上市挂牌后备企业的安全生产和消防安全等情况进行指导和服务,及时办理企业在安全生产和消防安全等方面的合规证明。</w:t>
      </w:r>
    </w:p>
    <w:p>
      <w:pPr>
        <w:ind w:firstLine="640" w:firstLineChars="200"/>
        <w:rPr>
          <w:rStyle w:val="19"/>
          <w:rFonts w:ascii="仿宋" w:hAnsi="仿宋" w:eastAsia="仿宋"/>
          <w:color w:val="000000"/>
          <w:sz w:val="32"/>
          <w:szCs w:val="32"/>
        </w:rPr>
      </w:pPr>
      <w:r>
        <w:rPr>
          <w:rStyle w:val="19"/>
          <w:rFonts w:hint="eastAsia" w:ascii="仿宋" w:hAnsi="仿宋" w:eastAsia="仿宋"/>
          <w:color w:val="000000"/>
          <w:sz w:val="32"/>
          <w:szCs w:val="32"/>
        </w:rPr>
        <w:t>18.人行南阳中心支行(市外汇管理局):负责解决企业上市挂牌及融资过程中遇到的涉及信贷政策、企业及个人征信、外汇管理、发债等问题,出具企业及个人征信、外汇等方面证明手续。</w:t>
      </w:r>
    </w:p>
    <w:p>
      <w:pPr>
        <w:ind w:firstLine="640" w:firstLineChars="200"/>
        <w:rPr>
          <w:rStyle w:val="19"/>
          <w:rFonts w:ascii="仿宋" w:hAnsi="仿宋" w:eastAsia="仿宋"/>
          <w:color w:val="000000"/>
          <w:sz w:val="32"/>
          <w:szCs w:val="32"/>
        </w:rPr>
      </w:pPr>
      <w:r>
        <w:rPr>
          <w:rStyle w:val="19"/>
          <w:rFonts w:hint="eastAsia" w:ascii="仿宋" w:hAnsi="仿宋" w:eastAsia="仿宋"/>
          <w:color w:val="000000"/>
          <w:sz w:val="32"/>
          <w:szCs w:val="32"/>
        </w:rPr>
        <w:t>19.南阳银保监分局:负责协调企业上市挂牌及融资过程中遇到的涉及辖内银行保险机构融资、债务、担保链等问题,出具企业上市挂牌中涉及本部门职责范围的相关证明手续。</w:t>
      </w:r>
    </w:p>
    <w:p>
      <w:pPr>
        <w:ind w:firstLine="640" w:firstLineChars="200"/>
        <w:rPr>
          <w:rStyle w:val="19"/>
          <w:rFonts w:ascii="仿宋" w:hAnsi="仿宋" w:eastAsia="仿宋"/>
          <w:color w:val="000000"/>
          <w:sz w:val="32"/>
          <w:szCs w:val="32"/>
        </w:rPr>
      </w:pPr>
      <w:r>
        <w:rPr>
          <w:rStyle w:val="19"/>
          <w:rFonts w:hint="eastAsia" w:ascii="仿宋" w:hAnsi="仿宋" w:eastAsia="仿宋"/>
          <w:color w:val="000000"/>
          <w:sz w:val="32"/>
          <w:szCs w:val="32"/>
        </w:rPr>
        <w:t>20.南阳海关:负责指导和服务上市挂牌后备企业遵守进出口相关程序规定;出具企业不存在因违反海关管理相关规定而受到行政处罚等证明。</w:t>
      </w:r>
    </w:p>
    <w:p>
      <w:pPr>
        <w:ind w:firstLine="640" w:firstLineChars="200"/>
        <w:rPr>
          <w:rStyle w:val="19"/>
          <w:rFonts w:ascii="仿宋" w:hAnsi="仿宋" w:eastAsia="仿宋"/>
          <w:color w:val="000000"/>
          <w:sz w:val="32"/>
          <w:szCs w:val="32"/>
        </w:rPr>
      </w:pPr>
      <w:r>
        <w:rPr>
          <w:rStyle w:val="19"/>
          <w:rFonts w:hint="eastAsia" w:ascii="仿宋" w:hAnsi="仿宋" w:eastAsia="仿宋"/>
          <w:color w:val="000000"/>
          <w:sz w:val="32"/>
          <w:szCs w:val="32"/>
        </w:rPr>
        <w:t>21.市公安局:负责保障上市挂牌后备企业经营环境安全;打击各类可能对上市挂牌后备企业造成影响或损害的违法犯罪行为;出具上市挂牌后备企业及相关个人不存在违法犯罪记录等证明文件。</w:t>
      </w:r>
    </w:p>
    <w:p>
      <w:pPr>
        <w:ind w:firstLine="640" w:firstLineChars="200"/>
        <w:rPr>
          <w:rStyle w:val="19"/>
          <w:rFonts w:ascii="仿宋" w:hAnsi="仿宋" w:eastAsia="仿宋"/>
          <w:color w:val="000000"/>
          <w:sz w:val="32"/>
          <w:szCs w:val="32"/>
        </w:rPr>
      </w:pPr>
      <w:r>
        <w:rPr>
          <w:rStyle w:val="19"/>
          <w:rFonts w:hint="eastAsia" w:ascii="仿宋" w:hAnsi="仿宋" w:eastAsia="仿宋"/>
          <w:color w:val="000000"/>
          <w:sz w:val="32"/>
          <w:szCs w:val="32"/>
        </w:rPr>
        <w:t>22.市中级法院:负责及时帮助上市挂牌后备企业处理诉讼案件,出具企业及相关个人不存在尚未了结诉讼事项等相关证明。</w:t>
      </w:r>
    </w:p>
    <w:p>
      <w:pPr>
        <w:ind w:firstLine="640" w:firstLineChars="200"/>
        <w:rPr>
          <w:rStyle w:val="19"/>
          <w:rFonts w:ascii="仿宋" w:hAnsi="仿宋" w:eastAsia="仿宋"/>
          <w:color w:val="000000"/>
          <w:sz w:val="32"/>
          <w:szCs w:val="32"/>
        </w:rPr>
      </w:pPr>
      <w:r>
        <w:rPr>
          <w:rStyle w:val="19"/>
          <w:rFonts w:hint="eastAsia" w:ascii="仿宋" w:hAnsi="仿宋" w:eastAsia="仿宋"/>
          <w:color w:val="000000"/>
          <w:sz w:val="32"/>
          <w:szCs w:val="32"/>
        </w:rPr>
        <w:t>23.市交通运输局:负责对上市挂牌后备企业在道路运输等方面办理相关手续,并出具相关证明。</w:t>
      </w:r>
    </w:p>
    <w:p>
      <w:pPr>
        <w:ind w:firstLine="640" w:firstLineChars="200"/>
        <w:rPr>
          <w:rStyle w:val="19"/>
          <w:rFonts w:ascii="仿宋" w:hAnsi="仿宋" w:eastAsia="仿宋"/>
          <w:color w:val="000000"/>
          <w:sz w:val="32"/>
          <w:szCs w:val="32"/>
        </w:rPr>
      </w:pPr>
      <w:r>
        <w:rPr>
          <w:rStyle w:val="19"/>
          <w:rFonts w:hint="eastAsia" w:ascii="仿宋" w:hAnsi="仿宋" w:eastAsia="仿宋"/>
          <w:color w:val="000000"/>
          <w:sz w:val="32"/>
          <w:szCs w:val="32"/>
        </w:rPr>
        <w:t>24.市卫健委:根据企业上市工作需要,及时主动为企业出具职责范围内的相关证明。</w:t>
      </w:r>
    </w:p>
    <w:p>
      <w:pPr>
        <w:ind w:firstLine="640" w:firstLineChars="200"/>
        <w:rPr>
          <w:rStyle w:val="19"/>
          <w:rFonts w:ascii="仿宋" w:hAnsi="仿宋" w:eastAsia="仿宋"/>
          <w:color w:val="000000"/>
          <w:sz w:val="32"/>
          <w:szCs w:val="32"/>
        </w:rPr>
      </w:pPr>
      <w:r>
        <w:rPr>
          <w:rStyle w:val="19"/>
          <w:rFonts w:hint="eastAsia" w:ascii="仿宋" w:hAnsi="仿宋" w:eastAsia="仿宋"/>
          <w:color w:val="000000"/>
          <w:sz w:val="32"/>
          <w:szCs w:val="32"/>
        </w:rPr>
        <w:t>25.市水利局:负责对上市挂牌后备企业的水资源使用情况进行指导和服务,办理相关审批手续,及时出具相关证明文件。</w:t>
      </w:r>
    </w:p>
    <w:p>
      <w:pPr>
        <w:ind w:firstLine="640" w:firstLineChars="200"/>
        <w:rPr>
          <w:rStyle w:val="19"/>
          <w:rFonts w:ascii="仿宋" w:hAnsi="仿宋" w:eastAsia="仿宋"/>
          <w:color w:val="000000"/>
          <w:sz w:val="32"/>
          <w:szCs w:val="32"/>
        </w:rPr>
      </w:pPr>
      <w:r>
        <w:rPr>
          <w:rStyle w:val="19"/>
          <w:rFonts w:hint="eastAsia" w:ascii="仿宋" w:hAnsi="仿宋" w:eastAsia="仿宋"/>
          <w:color w:val="000000"/>
          <w:sz w:val="32"/>
          <w:szCs w:val="32"/>
        </w:rPr>
        <w:t>26.市文化广电和旅游局:及时出具文化广电和旅游行业企业在文化、文物、出版、广播电视、旅游等方面的合规证明等文件;培育、推荐文化旅游业企业纳入市上市挂牌后备企业资源库。</w:t>
      </w:r>
    </w:p>
    <w:p>
      <w:pPr>
        <w:ind w:firstLine="640" w:firstLineChars="200"/>
        <w:rPr>
          <w:rFonts w:ascii="黑体" w:hAnsi="黑体" w:eastAsia="黑体" w:cs="黑体"/>
          <w:sz w:val="32"/>
          <w:szCs w:val="32"/>
        </w:rPr>
      </w:pPr>
      <w:r>
        <w:rPr>
          <w:rStyle w:val="19"/>
          <w:rFonts w:hint="eastAsia" w:ascii="仿宋" w:hAnsi="仿宋" w:eastAsia="仿宋"/>
          <w:color w:val="000000"/>
          <w:sz w:val="32"/>
          <w:szCs w:val="32"/>
        </w:rPr>
        <w:t>27.市粮食和物资储备局:积极争取上级政策资金支持农业类企业发展;及时出具上市后备企业在粮食收储方面合规等证明。</w:t>
      </w:r>
    </w:p>
    <w:p>
      <w:pPr>
        <w:ind w:firstLine="320" w:firstLineChars="100"/>
        <w:jc w:val="left"/>
        <w:rPr>
          <w:rFonts w:ascii="仿宋_GB2312" w:hAnsi="仿宋_GB2312" w:eastAsia="仿宋_GB2312" w:cs="仿宋_GB2312"/>
          <w:b/>
          <w:bCs/>
          <w:sz w:val="32"/>
          <w:szCs w:val="32"/>
        </w:rPr>
      </w:pPr>
      <w:r>
        <w:rPr>
          <w:rFonts w:hint="eastAsia" w:ascii="黑体" w:hAnsi="黑体" w:eastAsia="黑体" w:cs="黑体"/>
          <w:sz w:val="32"/>
          <w:szCs w:val="32"/>
        </w:rPr>
        <w:t>　六、保障措施</w:t>
      </w:r>
    </w:p>
    <w:p>
      <w:pPr>
        <w:ind w:firstLine="640" w:firstLineChars="200"/>
        <w:rPr>
          <w:rStyle w:val="19"/>
          <w:rFonts w:ascii="仿宋" w:hAnsi="仿宋" w:eastAsia="仿宋"/>
          <w:color w:val="000000"/>
          <w:sz w:val="32"/>
          <w:szCs w:val="32"/>
        </w:rPr>
      </w:pPr>
      <w:r>
        <w:rPr>
          <w:rStyle w:val="19"/>
          <w:rFonts w:hint="eastAsia" w:ascii="仿宋" w:hAnsi="仿宋" w:eastAsia="仿宋"/>
          <w:color w:val="000000"/>
          <w:sz w:val="32"/>
          <w:szCs w:val="32"/>
        </w:rPr>
        <w:t>(一)加强组织领导。各级企业上市领导小组要充分发挥牵头作用,积极协调推进,确保工作落到实处、“绿色通道”畅通高效;各相关职能部门要按照职责分工,加大支持配合力度,及时解决涉及本部门职责的问题。</w:t>
      </w:r>
    </w:p>
    <w:p>
      <w:pPr>
        <w:ind w:firstLine="640" w:firstLineChars="200"/>
        <w:rPr>
          <w:rStyle w:val="19"/>
          <w:rFonts w:ascii="仿宋" w:hAnsi="仿宋" w:eastAsia="仿宋"/>
          <w:color w:val="000000"/>
          <w:sz w:val="32"/>
          <w:szCs w:val="32"/>
        </w:rPr>
      </w:pPr>
      <w:r>
        <w:rPr>
          <w:rStyle w:val="19"/>
          <w:rFonts w:hint="eastAsia" w:ascii="仿宋" w:hAnsi="仿宋" w:eastAsia="仿宋"/>
          <w:color w:val="000000"/>
          <w:sz w:val="32"/>
          <w:szCs w:val="32"/>
        </w:rPr>
        <w:t>(二)强化支持服务。各相关职能部门要明确首席服务官,切实增强服务意识,提升服务水平,主动对接企业,适时提供上市咨询、规范指导、困难协调、政策支持等服务,引导企业规范、健康、可持续发展。</w:t>
      </w:r>
    </w:p>
    <w:p>
      <w:pPr>
        <w:ind w:firstLine="640" w:firstLineChars="200"/>
        <w:rPr>
          <w:rFonts w:ascii="仿宋_GB2312" w:hAnsi="仿宋_GB2312" w:eastAsia="仿宋_GB2312" w:cs="仿宋_GB2312"/>
          <w:b/>
          <w:bCs/>
          <w:sz w:val="32"/>
          <w:szCs w:val="32"/>
        </w:rPr>
      </w:pPr>
      <w:r>
        <w:rPr>
          <w:rStyle w:val="19"/>
          <w:rFonts w:hint="eastAsia" w:ascii="仿宋" w:hAnsi="仿宋" w:eastAsia="仿宋"/>
          <w:color w:val="000000"/>
          <w:sz w:val="32"/>
          <w:szCs w:val="32"/>
        </w:rPr>
        <w:t>(三)强化责任落实。建立工作考核机制,压紧压实责任。市企业上市专项办公室负责对全市企业上市挂牌“绿色通道”建立情况进行定期通报;对未按职责要求办理相关事项的,要责成相关单位限时办结;给企业上市挂牌工作造成不良影响的,移交相关部门严肃处理。</w:t>
      </w:r>
      <w:r>
        <w:rPr>
          <w:rFonts w:hint="eastAsia" w:ascii="仿宋_GB2312" w:hAnsi="仿宋_GB2312" w:eastAsia="仿宋_GB2312" w:cs="仿宋_GB2312"/>
          <w:b/>
          <w:bCs/>
          <w:sz w:val="32"/>
          <w:szCs w:val="32"/>
        </w:rPr>
        <w:t>　　</w:t>
      </w:r>
    </w:p>
    <w:p>
      <w:pPr>
        <w:rPr>
          <w:rFonts w:hint="eastAsia"/>
          <w:sz w:val="44"/>
          <w:szCs w:val="44"/>
        </w:rPr>
      </w:pPr>
      <w:bookmarkStart w:id="37" w:name="_Toc32197"/>
      <w:r>
        <w:rPr>
          <w:rFonts w:hint="eastAsia"/>
          <w:sz w:val="44"/>
          <w:szCs w:val="44"/>
        </w:rPr>
        <w:br w:type="page"/>
      </w:r>
    </w:p>
    <w:p>
      <w:pPr>
        <w:pStyle w:val="3"/>
        <w:numPr>
          <w:ilvl w:val="0"/>
          <w:numId w:val="3"/>
        </w:numPr>
        <w:jc w:val="center"/>
        <w:rPr>
          <w:rFonts w:hint="eastAsia"/>
          <w:sz w:val="44"/>
          <w:szCs w:val="44"/>
        </w:rPr>
      </w:pPr>
      <w:r>
        <w:rPr>
          <w:rFonts w:hint="eastAsia"/>
          <w:sz w:val="44"/>
          <w:szCs w:val="44"/>
        </w:rPr>
        <w:t>防范和处置非法集资条例</w:t>
      </w:r>
      <w:bookmarkEnd w:id="37"/>
    </w:p>
    <w:p>
      <w:pPr>
        <w:keepNext/>
        <w:keepLines/>
        <w:spacing w:line="560" w:lineRule="exact"/>
        <w:ind w:firstLine="480" w:firstLineChars="200"/>
        <w:jc w:val="center"/>
        <w:rPr>
          <w:rStyle w:val="19"/>
          <w:rFonts w:hint="eastAsia" w:ascii="楷体" w:hAnsi="楷体" w:eastAsia="楷体" w:cs="楷体"/>
          <w:color w:val="000000"/>
          <w:sz w:val="24"/>
          <w:szCs w:val="24"/>
          <w:lang w:eastAsia="zh-CN"/>
        </w:rPr>
      </w:pPr>
      <w:r>
        <w:rPr>
          <w:rStyle w:val="19"/>
          <w:rFonts w:hint="eastAsia" w:ascii="楷体" w:hAnsi="楷体" w:eastAsia="楷体" w:cs="楷体"/>
          <w:color w:val="000000"/>
          <w:sz w:val="24"/>
          <w:szCs w:val="24"/>
        </w:rPr>
        <w:t>2021年</w:t>
      </w:r>
      <w:r>
        <w:rPr>
          <w:rStyle w:val="19"/>
          <w:rFonts w:hint="eastAsia" w:ascii="楷体" w:hAnsi="楷体" w:eastAsia="楷体" w:cs="楷体"/>
          <w:color w:val="000000"/>
          <w:sz w:val="24"/>
          <w:szCs w:val="24"/>
          <w:lang w:val="en-US" w:eastAsia="zh-CN"/>
        </w:rPr>
        <w:t>5</w:t>
      </w:r>
      <w:r>
        <w:rPr>
          <w:rStyle w:val="19"/>
          <w:rFonts w:hint="eastAsia" w:ascii="楷体" w:hAnsi="楷体" w:eastAsia="楷体" w:cs="楷体"/>
          <w:color w:val="000000"/>
          <w:sz w:val="24"/>
          <w:szCs w:val="24"/>
        </w:rPr>
        <w:t>月</w:t>
      </w:r>
      <w:r>
        <w:rPr>
          <w:rStyle w:val="19"/>
          <w:rFonts w:hint="eastAsia" w:ascii="楷体" w:hAnsi="楷体" w:eastAsia="楷体" w:cs="楷体"/>
          <w:color w:val="000000"/>
          <w:sz w:val="24"/>
          <w:szCs w:val="24"/>
          <w:lang w:val="en-US" w:eastAsia="zh-CN"/>
        </w:rPr>
        <w:t>1</w:t>
      </w:r>
      <w:r>
        <w:rPr>
          <w:rStyle w:val="19"/>
          <w:rFonts w:hint="eastAsia" w:ascii="楷体" w:hAnsi="楷体" w:eastAsia="楷体" w:cs="楷体"/>
          <w:color w:val="000000"/>
          <w:sz w:val="24"/>
          <w:szCs w:val="24"/>
        </w:rPr>
        <w:t>日</w:t>
      </w:r>
      <w:r>
        <w:rPr>
          <w:rStyle w:val="19"/>
          <w:rFonts w:hint="eastAsia" w:ascii="楷体" w:hAnsi="楷体" w:eastAsia="楷体" w:cs="楷体"/>
          <w:color w:val="000000"/>
          <w:sz w:val="24"/>
          <w:szCs w:val="24"/>
          <w:lang w:eastAsia="zh-CN"/>
        </w:rPr>
        <w:t>执行</w:t>
      </w:r>
    </w:p>
    <w:p>
      <w:pPr>
        <w:numPr>
          <w:numId w:val="0"/>
        </w:numPr>
      </w:pPr>
    </w:p>
    <w:p>
      <w:pPr>
        <w:ind w:firstLine="640" w:firstLineChars="200"/>
        <w:jc w:val="left"/>
        <w:rPr>
          <w:rFonts w:ascii="仿宋_GB2312" w:hAnsi="仿宋_GB2312" w:eastAsia="仿宋_GB2312" w:cs="仿宋_GB2312"/>
          <w:sz w:val="32"/>
          <w:szCs w:val="32"/>
        </w:rPr>
      </w:pPr>
      <w:r>
        <w:rPr>
          <w:rFonts w:hint="eastAsia" w:ascii="黑体" w:hAnsi="黑体" w:eastAsia="黑体" w:cs="黑体"/>
          <w:sz w:val="32"/>
          <w:szCs w:val="32"/>
        </w:rPr>
        <w:t>第一章　总　　则</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第一条　为了防范和处置非法集资，保护社会公众合法权益，防范化解金融风险，维护经济秩序和社会稳定，制定本条例。</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第二条　本条例所称非法集资，是指未经国务院金融管理部门依法许可或者违反国家金融管理规定，以许诺还本付息或者给予其他投资回报等方式，向不特定对象吸收资金的行为。</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非法集资的防范以及行政机关对非法集资的处置，适用本条例。法律、行政法规对非法从事银行、证券、保险、外汇等金融业务活动另有规定的，适用其规定。</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本条例所称国务院金融管理部门，是指中国人民银行、国务院金融监督管理机构和国务院外汇管理部门。</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第三条　本条例所称非法集资人，是指发起、主导或者组织实施非法集资的单位和个人；所称非法集资协助人，是指明知是非法集资而为其提供帮助并获取经济利益的单位和个人。</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第四条　国家禁止任何形式的非法集资，对非法集资坚持防范为主、打早打小、综合治理、稳妥处置的原则。</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第五条　省、自治区、直辖市人民政府对本行政区域内防范和处置非法集资工作负总责，地方各级人民政府应当建立健全政府统一领导的防范和处置非法集资工作机制。县级以上地方人民政府应当明确防范和处置非法集资工作机制的牵头部门（以下简称处置非法集资牵头部门），有关部门以及国务院金融管理部门分支机构、派出机构等单位参加工作机制；乡镇人民政府应当明确牵头负责防范和处置非法集资工作的人员。上级地方人民政府应当督促、指导下级地方人民政府做好本行政区域防范和处置非法集资工作。</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行业主管部门、监管部门应当按照职责分工，负责本行业、领域非法集资的防范和配合处置工作。</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第六条　国务院建立处置非法集资部际联席会议（以下简称联席会议）制度。联席会议由国务院银行保险监督管理机构牵头，有关部门参加，负责督促、指导有关部门和地方开展防范和处置非法集资工作，协调解决防范和处置非法集资工作中的重大问题。</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第七条　各级人民政府应当合理保障防范和处置非法集资工作相关经费，并列入本级预算。</w:t>
      </w:r>
    </w:p>
    <w:p>
      <w:pPr>
        <w:ind w:firstLine="640" w:firstLineChars="200"/>
        <w:jc w:val="left"/>
        <w:rPr>
          <w:rFonts w:ascii="仿宋_GB2312" w:hAnsi="仿宋_GB2312" w:eastAsia="仿宋_GB2312" w:cs="仿宋_GB2312"/>
          <w:sz w:val="32"/>
          <w:szCs w:val="32"/>
        </w:rPr>
      </w:pPr>
      <w:r>
        <w:rPr>
          <w:rFonts w:hint="eastAsia" w:ascii="黑体" w:hAnsi="黑体" w:eastAsia="黑体" w:cs="黑体"/>
          <w:sz w:val="32"/>
          <w:szCs w:val="32"/>
        </w:rPr>
        <w:t>第二章　防　　范</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第八条　地方各级人民政府应当建立非法集资监测预警机制，纳入社会治安综合治理体系，发挥网格化管理和基层群众自治组织的作用，运用大数据等现代信息技术手段，加强对非法集资的监测预警。</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行业主管部门、监管部门应当强化日常监督管理，负责本行业、领域非法集资的风险排查和监测预警。</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联席会议应当建立健全全国非法集资监测预警体系，推动建设国家监测预警平台，促进地方、部门信息共享，加强非法集资风险研判，及时预警提示。</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第九条　市场监督管理部门应当加强企业、个体工商户名称和经营范围等商事登记管理。除法律、行政法规和国家另有规定外，企业、个体工商户名称和经营范围中不得包含“金融”、“交易所”、“交易中心”、“理财”、“财富管理”、“股权众筹”等字样或者内容。</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处置非法集资牵头部门、市场监督管理部门等有关部门应当建立会商机制，发现企业、个体工商户名称或者经营范围中包含前款规定以外的其他与集资有关的字样或者内容的，及时予以重点关注。</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第十条　处置非法集资牵头部门会同互联网信息内容管理部门、电信主管部门加强对涉嫌非法集资的互联网信息和网站、移动应用程序等互联网应用的监测。经处置非法集资牵头部门组织认定为用于非法集资的，互联网信息内容管理部门、电信主管部门应当及时依法作出处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互联网信息服务提供者应当加强对用户发布信息的管理，不得制作、复制、发布、传播涉嫌非法集资的信息。发现涉嫌非法集资的信息，应当保存有关记录，并向处置非法集资牵头部门报告。</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第十一条　除国家另有规定外，任何单位和个人不得发布包含集资内容的广告或者以其他方式向社会公众进行集资宣传。</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市场监督管理部门会同处置非法集资牵头部门加强对涉嫌非法集资广告的监测。经处置非法集资牵头部门组织认定为非法集资的，市场监督管理部门应当及时依法查处相关非法集资广告。</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广告经营者、广告发布者应当依照法律、行政法规查验相关证明文件，核对广告内容。对没有相关证明文件且包含集资内容的广告，广告经营者不得提供设计、制作、代理服务，广告发布者不得发布。</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第十二条　处置非法集资牵头部门与所在地国务院金融管理部门分支机构、派出机构应当建立非法集资可疑资金监测机制。国务院金融管理部门及其分支机构、派出机构应当按照职责分工督促、指导金融机构、非银行支付机构加强对资金异常流动情况及其他涉嫌非法集资可疑资金的监测工作。</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第十三条　金融机构、非银行支付机构应当履行下列防范非法集资的义务：</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（一）建立健全内部管理制度，禁止分支机构和员工参与非法集资，防止他人利用其经营场所、销售渠道从事非法集资；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（二）加强对社会公众防范非法集资的宣传教育，在经营场所醒目位置设置警示标识；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（三）依法严格执行大额交易和可疑交易报告制度，对涉嫌非法集资资金异常流动的相关账户进行分析识别，并将有关情况及时报告所在地国务院金融管理部门分支机构、派出机构和处置非法集资牵头部门。</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第十四条　行业协会、商会应当加强行业自律管理、自我约束，督促、引导成员积极防范非法集资，不组织、不协助、不参与非法集资。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第十五条　联席会议应当建立中央和地方上下联动的防范非法集资宣传教育工作机制，推动全国范围内防范非法集资宣传教育工作。</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地方各级人民政府应当开展常态化的防范非法集资宣传教育工作，充分运用各类媒介或者载体，以法律政策解读、典型案例剖析、投资风险教育等方式，向社会公众宣传非法集资的违法性、危害性及其表现形式等，增强社会公众对非法集资的防范意识和识别能力。</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行业主管部门、监管部门以及行业协会、商会应当根据本行业、领域非法集资风险特点，有针对性地开展防范非法集资宣传教育活动。</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新闻媒体应当开展防范非法集资公益宣传，并依法对非法集资进行舆论监督。</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第十六条　对涉嫌非法集资行为，任何单位和个人有权向处置非法集资牵头部门或者其他有关部门举报。</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国家鼓励对涉嫌非法集资行为进行举报。处置非法集资牵头部门以及其他有关部门应当公开举报电话和邮箱等举报方式、在政府网站设置举报专栏，接受举报，及时依法处理，并为举报人保密。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第十七条　居民委员会、村民委员会发现所在区域有涉嫌非法集资行为的，应当向当地人民政府、处置非法集资牵头部门或者其他有关部门报告。</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第十八条　处置非法集资牵头部门和行业主管部门、监管部门发现本行政区域或者本行业、领域可能存在非法集资风险的，有权对相关单位和个人进行警示约谈，责令整改。</w:t>
      </w:r>
    </w:p>
    <w:p>
      <w:pPr>
        <w:ind w:firstLine="640" w:firstLineChars="200"/>
        <w:jc w:val="left"/>
        <w:rPr>
          <w:rFonts w:ascii="仿宋_GB2312" w:hAnsi="仿宋_GB2312" w:eastAsia="仿宋_GB2312" w:cs="仿宋_GB2312"/>
          <w:sz w:val="32"/>
          <w:szCs w:val="32"/>
        </w:rPr>
      </w:pPr>
      <w:r>
        <w:rPr>
          <w:rFonts w:hint="eastAsia" w:ascii="黑体" w:hAnsi="黑体" w:eastAsia="黑体" w:cs="黑体"/>
          <w:sz w:val="32"/>
          <w:szCs w:val="32"/>
        </w:rPr>
        <w:t>第三章　处　　置</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第十九条　对本行政区域内的下列行为，涉嫌非法集资的，处置非法集资牵头部门应当及时组织有关行业主管部门、监管部门以及国务院金融管理部门分支机构、派出机构进行调查认定：</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（一）设立互联网企业、投资及投资咨询类企业、各类交易场所或者平台、农民专业合作社、资金互助组织以及其他组织吸收资金；</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（二）以发行或者转让股权、债权，募集基金，销售保险产品，或者以从事各类资产管理、虚拟货币、融资租赁业务等名义吸收资金；</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（三）在销售商品、提供服务、投资项目等商业活动中，以承诺给付货币、股权、实物等回报的形式吸收资金；</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（四）违反法律、行政法规或者国家有关规定，通过大众传播媒介、即时通信工具或者其他方式公开传播吸收资金信息；</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（五）其他涉嫌非法集资的行为。</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第二十条　对跨行政区域的涉嫌非法集资行为，非法集资人为单位的，由其登记地处置非法集资牵头部门组织调查认定；非法集资人为个人的，由其住所地或者经常居住地处置非法集资牵头部门组织调查认定。非法集资行为发生地、集资资产所在地以及集资参与人所在地处置非法集资牵头部门应当配合调查认定工作。</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处置非法集资牵头部门对组织调查认定职责存在争议的，由其共同的上级处置非法集资牵头部门确定；对跨省、自治区、直辖市组织调查认定职责存在争议的，由联席会议确定。</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第二十一条　处置非法集资牵头部门组织调查涉嫌非法集资行为，可以采取下列措施：</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（一）进入涉嫌非法集资的场所进行调查取证；</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（二）询问与被调查事件有关的单位和个人，要求其对有关事项作出说明；</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（三）查阅、复制与被调查事件有关的文件、资料、电子数据等，对可能被转移、隐匿或者毁损的文件、资料、电子设备等予以封存；</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（四）经处置非法集资牵头部门主要负责人批准，依法查询涉嫌非法集资的有关账户。</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调查人员不得少于2人，并应当出示执法证件。</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与被调查事件有关的单位和个人应当配合调查，不得拒绝、阻碍。</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第二十二条　处置非法集资牵头部门对涉嫌非法集资行为组织调查，有权要求暂停集资行为，通知市场监督管理部门或者其他有关部门暂停为涉嫌非法集资的有关单位办理设立、变更或者注销登记。</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第二十三条　经调查认定属于非法集资的，处置非法集资牵头部门应当责令非法集资人、非法集资协助人立即停止有关非法活动；发现涉嫌犯罪的，应当按照规定及时将案件移送公安机关，并配合做好相关工作。</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行政机关对非法集资行为的调查认定，不是依法追究刑事责任的必经程序。</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第二十四条　根据处置非法集资的需要，处置非法集资牵头部门可以采取下列措施：</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（一）查封有关经营场所，查封、扣押有关资产；</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（二）责令非法集资人、非法集资协助人追回、变价出售有关资产用于清退集资资金；</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经设区的市级以上地方人民政府处置非法集资牵头部门决定，按照规定通知出入境边防检查机关，限制非法集资的个人或者非法集资单位的控股股东、实际控制人、董事、监事、高级管理人员以及其他直接责任人员出境。</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采取前款第一项、第二项规定的措施，应当经处置非法集资牵头部门主要负责人批准。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第二十五条　非法集资人、非法集资协助人应当向集资参与人清退集资资金。清退过程应当接受处置非法集资牵头部门监督。</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任何单位和个人不得从非法集资中获取经济利益。</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因参与非法集资受到的损失，由集资参与人自行承担。</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第二十六条　清退集资资金来源包括：</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（一）非法集资资金余额；</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（二）非法集资资金的收益或者转换的其他资产及其收益；</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（三）非法集资人及其股东、实际控制人、董事、监事、高级管理人员和其他相关人员从非法集资中获得的经济利益；</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（四）非法集资人隐匿、转移的非法集资资金或者相关资产；</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（五）在非法集资中获得的广告费、代言费、代理费、好处费、返点费、佣金、提成等经济利益；</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（六）可以作为清退集资资金的其他资产。</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第二十七条　为非法集资设立的企业、个体工商户和农民专业合作社，由市场监督管理部门吊销营业执照。为非法集资设立的网站、开发的移动应用程序等互联网应用，由电信主管部门依法予以关闭。</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第二十八条　国务院金融管理部门及其分支机构、派出机构，地方人民政府有关部门以及其他有关单位和个人，对处置非法集资工作应当给予支持、配合。</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任何单位和个人不得阻挠、妨碍处置非法集资工作。</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第二十九条　处置非法集资过程中，有关地方人民政府应当采取有效措施维护社会稳定。</w:t>
      </w:r>
    </w:p>
    <w:p>
      <w:pPr>
        <w:ind w:firstLine="640" w:firstLineChars="200"/>
        <w:jc w:val="left"/>
        <w:rPr>
          <w:rFonts w:ascii="仿宋_GB2312" w:hAnsi="仿宋_GB2312" w:eastAsia="仿宋_GB2312" w:cs="仿宋_GB2312"/>
          <w:sz w:val="32"/>
          <w:szCs w:val="32"/>
        </w:rPr>
      </w:pPr>
      <w:r>
        <w:rPr>
          <w:rFonts w:hint="eastAsia" w:ascii="黑体" w:hAnsi="黑体" w:eastAsia="黑体" w:cs="黑体"/>
          <w:sz w:val="32"/>
          <w:szCs w:val="32"/>
        </w:rPr>
        <w:t>第四章　法律责任</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第三十条　对非法集资人，由处置非法集资牵头部门处集资金额20%以上1倍以下的罚款。非法集资人为单位的，还可以根据情节轻重责令停产停业，由有关机关依法吊销许可证、营业执照或者登记证书；对其法定代表人或者主要负责人、直接负责的主管人员和其他直接责任人员给予警告，处50万元以上500万元以下的罚款。构成犯罪的，依法追究刑事责任。</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第三十一条　对非法集资协助人，由处置非法集资牵头部门给予警告，处违法所得1倍以上3倍以下的罚款；构成犯罪的，依法追究刑事责任。</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第三十二条　非法集资人、非法集资协助人不能同时履行所承担的清退集资资金和缴纳罚款义务时，先清退集资资金。</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第三十三条　对依照本条例受到行政处罚的非法集资人、非法集资协助人，由有关部门建立信用记录，按照规定将其信用记录纳入全国信用信息共享平台。</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第三十四条　互联网信息服务提供者未履行对涉嫌非法集资信息的防范和处置义务的，由有关主管部门责令改正，给予警告，没收违法所得；拒不改正或者情节严重的，处10万元以上50万元以下的罚款，并可以根据情节轻重责令暂停相关业务、停业整顿、关闭网站、吊销相关业务许可证或者吊销营业执照，对直接负责的主管人员和其他直接责任人员处1万元以上10万元以下的罚款。</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广告经营者、广告发布者未按照规定查验相关证明文件、核对广告内容的，由市场监督管理部门责令改正，并依照《中华人民共和国广告法》的规定予以处罚。</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第三十五条　金融机构、非银行支付机构未履行防范非法集资义务的，由国务院金融管理部门或者其分支机构、派出机构按照职责分工责令改正，给予警告，没收违法所得；造成严重后果的，处100万元以上500万元以下的罚款，对直接负责的主管人员和其他直接责任人员给予警告，处10万元以上50万元以下的罚款。</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第三十六条　与被调查事件有关的单位和个人不配合调查，拒绝提供相关文件、资料、电子数据等或者提供虚假文件、资料、电子数据等的，由处置非法集资牵头部门责令改正，给予警告，处5万元以上50万元以下的罚款。</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阻碍调查人员依法执行职务，构成违反治安管理行为的，由公安机关依法给予治安管理处罚；构成犯罪的，依法追究刑事责任。</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第三十七条　国家机关工作人员有下列行为之一的，依法给予处分：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（一）明知所主管、监管的单位有涉嫌非法集资行为，未依法及时处理；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（二）未按照规定及时履行对非法集资的防范职责，或者不配合非法集资处置，造成严重后果；</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（三）在防范和处置非法集资过程中滥用职权、玩忽职守、徇私舞弊；</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（四）通过职务行为或者利用职务影响，支持、包庇、纵容非法集资。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前款规定的行为构成犯罪的，依法追究刑事责任。</w:t>
      </w:r>
    </w:p>
    <w:p>
      <w:pPr>
        <w:ind w:firstLine="640" w:firstLineChars="200"/>
        <w:jc w:val="left"/>
        <w:rPr>
          <w:rFonts w:ascii="仿宋_GB2312" w:hAnsi="仿宋_GB2312" w:eastAsia="仿宋_GB2312" w:cs="仿宋_GB2312"/>
          <w:sz w:val="32"/>
          <w:szCs w:val="32"/>
        </w:rPr>
      </w:pPr>
      <w:r>
        <w:rPr>
          <w:rFonts w:hint="eastAsia" w:ascii="黑体" w:hAnsi="黑体" w:eastAsia="黑体" w:cs="黑体"/>
          <w:sz w:val="32"/>
          <w:szCs w:val="32"/>
        </w:rPr>
        <w:t>第五章　附　　则</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第三十八条　各省、自治区、直辖市可以根据本条例制定防范和处置非法集资工作实施细则。</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第三十九条　未经依法许可或者违反国家金融管理规定，擅自从事发放贷款、支付结算、票据贴现等金融业务活动的，由国务院金融管理部门或者地方金融管理部门按照监督管理职责分工进行处置。</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法律、行政法规对其他非法金融业务活动的防范和处置没有明确规定的，参照本条例的有关规定执行。其他非法金融业务活动的具体类型由国务院金融管理部门确定。</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第四十条　本条例自2021年5月1日起施行。1998年7月13日国务院发布的《非法金融机构和非法金融业务活动取缔办法》同时废止。</w:t>
      </w:r>
    </w:p>
    <w:p>
      <w:pPr>
        <w:rPr>
          <w:rFonts w:asciiTheme="majorEastAsia" w:hAnsiTheme="majorEastAsia" w:eastAsiaTheme="majorEastAsia" w:cstheme="majorEastAsia"/>
          <w:b/>
          <w:bCs/>
          <w:sz w:val="32"/>
          <w:szCs w:val="32"/>
        </w:rPr>
      </w:pPr>
      <w:r>
        <w:rPr>
          <w:rFonts w:hint="eastAsia" w:ascii="仿宋_GB2312" w:hAnsi="仿宋_GB2312" w:eastAsia="仿宋_GB2312" w:cs="仿宋_GB2312"/>
          <w:sz w:val="32"/>
          <w:szCs w:val="32"/>
        </w:rPr>
        <w:br w:type="page"/>
      </w:r>
    </w:p>
    <w:p>
      <w:pPr>
        <w:pStyle w:val="3"/>
        <w:jc w:val="center"/>
        <w:rPr>
          <w:sz w:val="44"/>
          <w:szCs w:val="44"/>
        </w:rPr>
      </w:pPr>
      <w:bookmarkStart w:id="38" w:name="_Toc20874"/>
      <w:r>
        <w:rPr>
          <w:rFonts w:hint="eastAsia"/>
          <w:sz w:val="44"/>
          <w:szCs w:val="44"/>
        </w:rPr>
        <w:t>五、融资担保公司监督管理条例</w:t>
      </w:r>
      <w:bookmarkEnd w:id="38"/>
    </w:p>
    <w:p>
      <w:pPr>
        <w:keepNext/>
        <w:keepLines/>
        <w:spacing w:line="560" w:lineRule="exact"/>
        <w:ind w:firstLine="480" w:firstLineChars="200"/>
        <w:jc w:val="center"/>
        <w:rPr>
          <w:rStyle w:val="19"/>
          <w:rFonts w:hint="eastAsia" w:ascii="楷体" w:hAnsi="楷体" w:eastAsia="楷体" w:cs="楷体"/>
          <w:color w:val="000000"/>
          <w:sz w:val="24"/>
          <w:szCs w:val="24"/>
          <w:lang w:eastAsia="zh-CN"/>
        </w:rPr>
      </w:pPr>
      <w:r>
        <w:rPr>
          <w:rStyle w:val="19"/>
          <w:rFonts w:hint="eastAsia" w:ascii="楷体" w:hAnsi="楷体" w:eastAsia="楷体" w:cs="楷体"/>
          <w:color w:val="000000"/>
          <w:sz w:val="24"/>
          <w:szCs w:val="24"/>
        </w:rPr>
        <w:t>20</w:t>
      </w:r>
      <w:r>
        <w:rPr>
          <w:rStyle w:val="19"/>
          <w:rFonts w:hint="eastAsia" w:ascii="楷体" w:hAnsi="楷体" w:eastAsia="楷体" w:cs="楷体"/>
          <w:color w:val="000000"/>
          <w:sz w:val="24"/>
          <w:szCs w:val="24"/>
          <w:lang w:val="en-US" w:eastAsia="zh-CN"/>
        </w:rPr>
        <w:t>17</w:t>
      </w:r>
      <w:r>
        <w:rPr>
          <w:rStyle w:val="19"/>
          <w:rFonts w:hint="eastAsia" w:ascii="楷体" w:hAnsi="楷体" w:eastAsia="楷体" w:cs="楷体"/>
          <w:color w:val="000000"/>
          <w:sz w:val="24"/>
          <w:szCs w:val="24"/>
        </w:rPr>
        <w:t>年</w:t>
      </w:r>
      <w:r>
        <w:rPr>
          <w:rStyle w:val="19"/>
          <w:rFonts w:hint="eastAsia" w:ascii="楷体" w:hAnsi="楷体" w:eastAsia="楷体" w:cs="楷体"/>
          <w:color w:val="000000"/>
          <w:sz w:val="24"/>
          <w:szCs w:val="24"/>
          <w:lang w:val="en-US" w:eastAsia="zh-CN"/>
        </w:rPr>
        <w:t>10</w:t>
      </w:r>
      <w:r>
        <w:rPr>
          <w:rStyle w:val="19"/>
          <w:rFonts w:hint="eastAsia" w:ascii="楷体" w:hAnsi="楷体" w:eastAsia="楷体" w:cs="楷体"/>
          <w:color w:val="000000"/>
          <w:sz w:val="24"/>
          <w:szCs w:val="24"/>
        </w:rPr>
        <w:t>月</w:t>
      </w:r>
      <w:r>
        <w:rPr>
          <w:rStyle w:val="19"/>
          <w:rFonts w:hint="eastAsia" w:ascii="楷体" w:hAnsi="楷体" w:eastAsia="楷体" w:cs="楷体"/>
          <w:color w:val="000000"/>
          <w:sz w:val="24"/>
          <w:szCs w:val="24"/>
          <w:lang w:val="en-US" w:eastAsia="zh-CN"/>
        </w:rPr>
        <w:t>1</w:t>
      </w:r>
      <w:r>
        <w:rPr>
          <w:rStyle w:val="19"/>
          <w:rFonts w:hint="eastAsia" w:ascii="楷体" w:hAnsi="楷体" w:eastAsia="楷体" w:cs="楷体"/>
          <w:color w:val="000000"/>
          <w:sz w:val="24"/>
          <w:szCs w:val="24"/>
        </w:rPr>
        <w:t>日</w:t>
      </w:r>
      <w:r>
        <w:rPr>
          <w:rStyle w:val="19"/>
          <w:rFonts w:hint="eastAsia" w:ascii="楷体" w:hAnsi="楷体" w:eastAsia="楷体" w:cs="楷体"/>
          <w:color w:val="000000"/>
          <w:sz w:val="24"/>
          <w:szCs w:val="24"/>
          <w:lang w:eastAsia="zh-CN"/>
        </w:rPr>
        <w:t>执行</w:t>
      </w:r>
    </w:p>
    <w:p>
      <w:pPr>
        <w:ind w:firstLine="420" w:firstLineChars="200"/>
      </w:pPr>
    </w:p>
    <w:p>
      <w:pPr>
        <w:ind w:firstLine="640" w:firstLineChars="200"/>
        <w:jc w:val="center"/>
        <w:rPr>
          <w:rFonts w:ascii="黑体" w:hAnsi="黑体" w:eastAsia="黑体" w:cs="黑体"/>
          <w:sz w:val="32"/>
          <w:szCs w:val="32"/>
        </w:rPr>
      </w:pPr>
      <w:r>
        <w:rPr>
          <w:rFonts w:hint="eastAsia" w:ascii="黑体" w:hAnsi="黑体" w:eastAsia="黑体" w:cs="黑体"/>
          <w:sz w:val="32"/>
          <w:szCs w:val="32"/>
        </w:rPr>
        <w:t>第一章　总　　则</w:t>
      </w:r>
    </w:p>
    <w:p>
      <w:pPr>
        <w:ind w:firstLine="420" w:firstLineChars="200"/>
      </w:pP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第一条　为了支持普惠金融发展，促进资金融通，规范融资担保公司的行为，防范风险，制定本条例。</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第二条　本条例所称融资担保，是指担保人为被担保人借款、发行债券等债务融资提供担保的行为；所称融资担保公司，是指依法设立、经营融资担保业务的有限责任公司或者股份有限公司。</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第三条　融资担保公司开展业务，应当遵守法律法规，审慎经营，诚实守信，不得损害国家利益、社会公共利益和他人合法权益。</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第四条　省、自治区、直辖市人民政府确定的部门（以下称监督管理部门）负责对本地区融资担保公司的监督管理。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省、自治区、直辖市人民政府负责制定促进本地区融资担保行业发展的政策措施、处置融资担保公司风险，督促监督管理部门严格履行职责。</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国务院建立融资性担保业务监管部际联席会议，负责拟订融资担保公司监督管理制度，协调解决融资担保公司监督管理中的重大问题，督促指导地方人民政府对融资担保公司进行监督管理和风险处置。融资性担保业务监管部际联席会议由国务院银行业监督管理机构牵头，国务院有关部门参加。</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第五条　国家推动建立政府性融资担保体系，发展政府支持的融资担保公司，建立政府、银行业金融机构、融资担保公司合作机制，扩大为小微企业和农业、农村、农民提供融资担保业务的规模并保持较低的费率水平。</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各级人民政府财政部门通过资本金投入、建立风险分担机制等方式，对主要为小微企业和农业、农村、农民服务的融资担保公司提供财政支持，具体办法由国务院财政部门制定。</w:t>
      </w:r>
    </w:p>
    <w:p>
      <w:pPr>
        <w:ind w:firstLine="640" w:firstLineChars="200"/>
        <w:rPr>
          <w:rFonts w:ascii="仿宋_GB2312" w:hAnsi="仿宋_GB2312" w:eastAsia="仿宋_GB2312" w:cs="仿宋_GB2312"/>
          <w:sz w:val="32"/>
          <w:szCs w:val="32"/>
        </w:rPr>
      </w:pPr>
    </w:p>
    <w:p>
      <w:pPr>
        <w:ind w:firstLine="640" w:firstLineChars="200"/>
        <w:jc w:val="left"/>
        <w:rPr>
          <w:rFonts w:ascii="黑体" w:hAnsi="黑体" w:eastAsia="黑体" w:cs="黑体"/>
          <w:sz w:val="32"/>
          <w:szCs w:val="32"/>
        </w:rPr>
      </w:pPr>
      <w:r>
        <w:rPr>
          <w:rFonts w:hint="eastAsia" w:ascii="黑体" w:hAnsi="黑体" w:eastAsia="黑体" w:cs="黑体"/>
          <w:sz w:val="32"/>
          <w:szCs w:val="32"/>
        </w:rPr>
        <w:t>第二章　设立、变更和终止</w:t>
      </w:r>
    </w:p>
    <w:p>
      <w:pPr>
        <w:ind w:firstLine="420" w:firstLineChars="200"/>
      </w:pP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第六条　设立融资担保公司，应当经监督管理部门批准。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融资担保公司的名称中应当标明融资担保字样。</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未经监督管理部门批准，任何单位和个人不得经营融资担保业务，任何单位不得在名称中使用融资担保字样。国家另有规定的除外。</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第七条　设立融资担保公司，应当符合《中华人民共和国公司法》的规定，并具备下列条件：</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（一）股东信誉良好，最近3年无重大违法违规记录；</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（二）注册资本不低于人民币2000万元，且为实缴货币资本；</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（三）拟任董事、监事、高级管理人员熟悉与融资担保业务相关的法律法规，具有履行职责所需的从业经验和管理能力；</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（四）有健全的业务规范和风险控制等内部管理制度。</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省、自治区、直辖市根据本地区经济发展水平和融资担保行业发展的实际情况，可以提高前款规定的注册资本最低限额。</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第八条　申请设立融资担保公司，应当向监督管理部门提交申请书和证明其符合本条例第七条规定条件的材料。</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监督管理部门应当自受理申请之日起30日内作出批准或者不予批准的决定。决定批准的，颁发融资担保业务经营许可证；不予批准的，书面通知申请人并说明理由。</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经批准设立的融资担保公司由监督管理部门予以公告。</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第九条　融资担保公司合并、分立或者减少注册资本，应当经监督管理部门批准。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融资担保公司在住所地所在省、自治区、直辖市范围内设立分支机构，变更名称，变更持有5%以上股权的股东或者变更董事、监事、高级管理人员，应当自分支机构设立之日起或者变更相关事项之日起30日内向监督管理部门备案；变更后的相关事项应当符合本条例第六条第二款、第七条的规定。</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第十条　融资担保公司跨省、自治区、直辖市设立分支机构，应当具备下列条件，并经拟设分支机构所在地监督管理部门批准：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（一）注册资本不低于人民币10亿元；</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（二）经营融资担保业务3年以上，且最近2个会计年度连续盈利；</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（三）最近2年无重大违法违规记录。</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拟设分支机构所在地监督管理部门审批的程序和期限，适用本条例第八条的规定。</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融资担保公司应当自分支机构设立之日起30日内，将有关情况报告公司住所地监督管理部门。</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融资担保公司跨省、自治区、直辖市设立的分支机构的日常监督管理，由分支机构所在地监督管理部门负责，融资担保公司住所地监督管理部门应当予以配合。</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第十一条　融资担保公司解散的，应当依法成立清算组进行清算，并对未到期融资担保责任的承接作出明确安排。清算过程应当接受监督管理部门的监督。</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融资担保公司解散或者被依法宣告破产的，应当将融资担保业务经营许可证交监督管理部门注销，并由监督管理部门予以公告。</w:t>
      </w:r>
    </w:p>
    <w:p>
      <w:pPr>
        <w:ind w:firstLine="640" w:firstLineChars="200"/>
        <w:rPr>
          <w:rFonts w:ascii="仿宋_GB2312" w:hAnsi="仿宋_GB2312" w:eastAsia="仿宋_GB2312" w:cs="仿宋_GB2312"/>
          <w:sz w:val="32"/>
          <w:szCs w:val="32"/>
        </w:rPr>
      </w:pPr>
    </w:p>
    <w:p>
      <w:pPr>
        <w:ind w:firstLine="640" w:firstLineChars="200"/>
        <w:jc w:val="left"/>
        <w:rPr>
          <w:rFonts w:ascii="黑体" w:hAnsi="黑体" w:eastAsia="黑体" w:cs="黑体"/>
          <w:sz w:val="32"/>
          <w:szCs w:val="32"/>
        </w:rPr>
      </w:pPr>
      <w:r>
        <w:rPr>
          <w:rFonts w:hint="eastAsia" w:ascii="黑体" w:hAnsi="黑体" w:eastAsia="黑体" w:cs="黑体"/>
          <w:sz w:val="32"/>
          <w:szCs w:val="32"/>
        </w:rPr>
        <w:t>第三章　经营规则</w:t>
      </w:r>
    </w:p>
    <w:p>
      <w:pPr>
        <w:ind w:firstLine="420" w:firstLineChars="200"/>
      </w:pP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第十二条　除经营借款担保、发行债券担保等融资担保业务外，经营稳健、财务状况良好的融资担保公司还可以经营投标担保、工程履约担保、诉讼保全担保等非融资担保业务以及与担保业务有关的咨询等服务业务。</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第十三条　融资担保公司应当按照审慎经营原则，建立健全融资担保项目评审、担保后管理、代偿责任追偿等方面的业务规范以及风险管理等内部控制制度。</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政府支持的融资担保公司应当增强运用大数据等现代信息技术手段的能力，为小微企业和农业、农村、农民的融资需求服务。</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第十四条　融资担保公司应当按照国家规定的风险权重，计量担保责任余额。</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第十五条　融资担保公司的担保责任余额不得超过其净资产的10倍。</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对主要为小微企业和农业、农村、农民服务的融资担保公司，前款规定的倍数上限可以提高至15倍。</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第十六条　融资担保公司对同一被担保人的担保责任余额与融资担保公司净资产的比例不得超过10%，对同一被担保人及其关联方的担保责任余额与融资担保公司净资产的比例不得超过15%。</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第十七条　融资担保公司不得为其控股股东、实际控制人提供融资担保，为其他关联方提供融资担保的条件不得优于为非关联方提供同类担保的条件。</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融资担保公司为关联方提供融资担保的，应当自提供担保之日起30日内向监督管理部门报告，并在会计报表附注中予以披露。</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第十八条　融资担保公司应当按照国家有关规定提取相应的准备金。</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第十九条　融资担保费率由融资担保公司与被担保人协商确定。</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纳入政府推动建立的融资担保风险分担机制的融资担保公司，应当按照国家有关规定降低对小微企业和农业、农村、农民的融资担保费率。</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第二十条　被担保人或者第三人以抵押、质押方式向融资担保公司提供反担保，依法需要办理登记的，有关登记机关应当依法予以办理。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第二十一条　融资担保公司有权要求被担保人提供与融资担保有关的业务活动和财务状况等信息。</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融资担保公司应当向被担保人的债权人提供与融资担保有关的业务活动和财务状况等信息。</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第二十二条　融资担保公司自有资金的运用，应当符合国家有关融资担保公司资产安全性、流动性的规定。</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第二十三条　融资担保公司不得从事下列活动：</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（一）吸收存款或者变相吸收存款；</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（二）自营贷款或者受托贷款；</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（三）受托投资。</w:t>
      </w:r>
    </w:p>
    <w:p>
      <w:pPr>
        <w:ind w:firstLine="640" w:firstLineChars="200"/>
        <w:jc w:val="left"/>
        <w:rPr>
          <w:rFonts w:ascii="黑体" w:hAnsi="黑体" w:eastAsia="黑体" w:cs="黑体"/>
          <w:sz w:val="32"/>
          <w:szCs w:val="32"/>
        </w:rPr>
      </w:pPr>
    </w:p>
    <w:p>
      <w:pPr>
        <w:ind w:firstLine="640" w:firstLineChars="200"/>
        <w:jc w:val="left"/>
        <w:rPr>
          <w:rFonts w:ascii="黑体" w:hAnsi="黑体" w:eastAsia="黑体" w:cs="黑体"/>
          <w:sz w:val="32"/>
          <w:szCs w:val="32"/>
        </w:rPr>
      </w:pPr>
      <w:r>
        <w:rPr>
          <w:rFonts w:hint="eastAsia" w:ascii="黑体" w:hAnsi="黑体" w:eastAsia="黑体" w:cs="黑体"/>
          <w:sz w:val="32"/>
          <w:szCs w:val="32"/>
        </w:rPr>
        <w:t>第四章　监督管理</w:t>
      </w:r>
    </w:p>
    <w:p>
      <w:pPr>
        <w:ind w:firstLine="420" w:firstLineChars="200"/>
      </w:pP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第二十四条　监督管理部门应当建立健全监督管理工作制度，运用大数据等现代信息技术手段实时监测风险，加强对融资担保公司的非现场监管和现场检查，并与有关部门建立监督管理协调机制和信息共享机制。</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第二十五条　监督管理部门应当根据融资担保公司的经营规模、主要服务对象、内部管理水平、风险状况等，对融资担保公司实施分类监督管理。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第二十六条　监督管理部门应当按照国家有关融资担保统计制度的要求，向本级人民政府和国务院银行业监督管理机构报送本地区融资担保公司统计数据。</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第二十七条　监督管理部门应当分析评估本地区融资担保行业发展和监督管理情况，按年度向本级人民政府和国务院银行业监督管理机构报告，并向社会公布。</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第二十八条　监督管理部门进行现场检查，可以采取下列措施：</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（一）进入融资担保公司进行检查；</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（二）询问融资担保公司的工作人员，要求其对有关检查事项作出说明；</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（三）检查融资担保公司的计算机信息管理系统；</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（四）查阅、复制与检查事项有关的文件、资料，对可能被转移、隐匿或者毁损的文件、资料、电子设备予以封存。</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进行现场检查，应当经监督管理部门负责人批准。检查人员不得少于2人，并应当出示合法证件和检查通知书。</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第二十九条　监督管理部门根据履行职责的需要，可以与融资担保公司的董事、监事、高级管理人员进行监督管理谈话，要求其就融资担保公司业务活动和风险管理的重大事项作出说明。</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监督管理部门可以向被担保人的债权人通报融资担保公司的违法违规行为或者风险情况。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第三十条　监督管理部门发现融资担保公司的经营活动可能形成重大风险的，经监督管理部门主要负责人批准，可以区别情形，采取下列措施：</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（一）责令其暂停部分业务；</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（二）限制其自有资金运用的规模和方式；</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（三）责令其停止增设分支机构。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融资担保公司应当及时采取措施，消除重大风险隐患，并向监督管理部门报告有关情况。经监督管理部门验收，确认重大风险隐患已经消除的，监督管理部门应当自验收完毕之日起3日内解除前款规定的措施。</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第三十一条　融资担保公司应当按照要求向监督管理部门报送经营报告、财务报告以及注册会计师出具的年度审计报告等文件和资料。</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融资担保公司跨省、自治区、直辖市开展业务的，应当按季度向住所地监督管理部门和业务发生地监督管理部门报告业务开展情况。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第三十二条　融资担保公司对监督管理部门依法实施的监督检查应当予以配合，不得拒绝、阻碍。</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第三十三条　监督管理部门应当建立健全融资担保公司信用记录制度。融资担保公司信用记录纳入全国信用信息共享平台。</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第三十四条　监督管理部门应当会同有关部门建立融资担保公司重大风险事件的预警、防范和处置机制，制定融资担保公司重大风险事件应急预案。</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融资担保公司发生重大风险事件的，应当立即采取应急措施，并及时向监督管理部门报告。监督管理部门应当及时处置，并向本级人民政府、国务院银行业监督管理机构和中国人民银行报告。</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第三十五条　监督管理部门及其工作人员对监督管理工作中知悉的商业秘密，应当予以保密。</w:t>
      </w:r>
    </w:p>
    <w:p>
      <w:pPr>
        <w:ind w:firstLine="640" w:firstLineChars="200"/>
        <w:jc w:val="left"/>
        <w:rPr>
          <w:rFonts w:ascii="黑体" w:hAnsi="黑体" w:eastAsia="黑体" w:cs="黑体"/>
          <w:sz w:val="32"/>
          <w:szCs w:val="32"/>
        </w:rPr>
      </w:pPr>
    </w:p>
    <w:p>
      <w:pPr>
        <w:ind w:firstLine="640" w:firstLineChars="200"/>
        <w:jc w:val="left"/>
        <w:rPr>
          <w:rFonts w:ascii="黑体" w:hAnsi="黑体" w:eastAsia="黑体" w:cs="黑体"/>
          <w:sz w:val="32"/>
          <w:szCs w:val="32"/>
        </w:rPr>
      </w:pPr>
      <w:r>
        <w:rPr>
          <w:rFonts w:hint="eastAsia" w:ascii="黑体" w:hAnsi="黑体" w:eastAsia="黑体" w:cs="黑体"/>
          <w:sz w:val="32"/>
          <w:szCs w:val="32"/>
        </w:rPr>
        <w:t>第五章　法律责任</w:t>
      </w:r>
    </w:p>
    <w:p>
      <w:pPr>
        <w:ind w:firstLine="420" w:firstLineChars="200"/>
      </w:pP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第三十六条　违反本条例规定，未经批准擅自设立融资担保公司或者经营融资担保业务的，由监督管理部门予以取缔或者责令停止经营，处50万元以上100万元以下的罚款，有违法所得的，没收违法所得；构成犯罪的，依法追究刑事责任。</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违反本条例规定，未经批准在名称中使用融资担保字样的，由监督管理部门责令限期改正；逾期不改正的，处5万元以上10万元以下的罚款，有违法所得的，没收违法所得。</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第三十七条　融资担保公司有下列情形之一的，由监督管理部门责令限期改正，处10万元以上50万元以下的罚款，有违法所得的，没收违法所得；逾期不改正的，责令停业整顿，情节严重的，吊销其融资担保业务经营许可证：</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（一）未经批准合并或者分立；</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（二）未经批准减少注册资本；</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（三）未经批准跨省、自治区、直辖市设立分支机构。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第三十八条　融资担保公司变更相关事项，未按照本条例规定备案，或者变更后的相关事项不符合本条例规定的，由监督管理部门责令限期改正；逾期不改正的，处5万元以上10万元以下的罚款，情节严重的，责令停业整顿。</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第三十九条　融资担保公司受托投资的，由监督管理部门责令限期改正，处50万元以上100万元以下的罚款，有违法所得的，没收违法所得；逾期不改正的，责令停业整顿，情节严重的，吊销其融资担保业务经营许可证。</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融资担保公司吸收公众存款或者变相吸收公众存款、从事自营贷款或者受托贷款的，依照有关法律、行政法规予以处罚。</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第四十条　融资担保公司有下列情形之一的，由监督管理部门责令限期改正；逾期不改正的，处10万元以上50万元以下的罚款，有违法所得的，没收违法所得，并可以责令停业整顿，情节严重的，吊销其融资担保业务经营许可证：</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（一）担保责任余额与其净资产的比例不符合规定；</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（二）为控股股东、实际控制人提供融资担保，或者为其他关联方提供融资担保的条件优于为非关联方提供同类担保的条件；</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（三）未按照规定提取相应的准备金；</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（四）自有资金的运用不符合国家有关融资担保公司资产安全性、流动性的规定。</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第四十一条　融资担保公司未按照要求向监督管理部门报送经营报告、财务报告、年度审计报告等文件、资料或者业务开展情况，或者未报告其发生的重大风险事件的，由监督管理部门责令限期改正，处5万元以上20万元以下的罚款；逾期不改正的，责令停业整顿，情节严重的，吊销其融资担保业务经营许可证。</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第四十二条　融资担保公司有下列情形之一的，由监督管理部门责令限期改正，处20万元以上50万元以下的罚款；逾期不改正的，责令停业整顿，情节严重的，吊销其融资担保业务经营许可证；构成违反治安管理行为的，依照《中华人民共和国治安管理处罚法》予以处罚；构成犯罪的，依法追究刑事责任：</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（一）拒绝、阻碍监督管理部门依法实施监督检查；</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（二）向监督管理部门提供虚假的经营报告、财务报告、年度审计报告等文件、资料；</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（三）拒绝执行监督管理部门依照本条例第三十条第一款规定采取的措施。</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第四十三条　依照本条例规定对融资担保公司处以罚款的，根据具体情形，可以同时对负有直接责任的董事、监事、高级管理人员处5万元以下的罚款。</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融资担保公司违反本条例规定，情节严重的，监督管理部门对负有直接责任的董事、监事、高级管理人员，可以禁止其在一定期限内担任或者终身禁止其担任融资担保公司的董事、监事、高级管理人员。</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第四十四条　监督管理部门的工作人员在融资担保公司监督管理工作中滥用职权、玩忽职守、徇私舞弊的，依法给予处分；构成犯罪的，依法追究刑事责任。</w:t>
      </w:r>
    </w:p>
    <w:p>
      <w:pPr>
        <w:ind w:firstLine="420" w:firstLineChars="200"/>
      </w:pPr>
    </w:p>
    <w:p>
      <w:pPr>
        <w:ind w:firstLine="640" w:firstLineChars="200"/>
        <w:jc w:val="left"/>
        <w:rPr>
          <w:rFonts w:ascii="黑体" w:hAnsi="黑体" w:eastAsia="黑体" w:cs="黑体"/>
          <w:sz w:val="32"/>
          <w:szCs w:val="32"/>
        </w:rPr>
      </w:pPr>
      <w:r>
        <w:rPr>
          <w:rFonts w:hint="eastAsia" w:ascii="黑体" w:hAnsi="黑体" w:eastAsia="黑体" w:cs="黑体"/>
          <w:sz w:val="32"/>
          <w:szCs w:val="32"/>
        </w:rPr>
        <w:t>第六章　附　　则</w:t>
      </w:r>
    </w:p>
    <w:p>
      <w:pPr>
        <w:ind w:firstLine="420" w:firstLineChars="200"/>
      </w:pP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第四十五条　融资担保行业组织依照法律法规和章程的规定，发挥服务、协调和行业自律作用，引导融资担保公司依法经营，公平竞争。</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第四十六条　政府性基金或者政府部门为促进就业创业等直接设立运营机构开展融资担保业务，按照国家有关规定执行。</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农村互助式融资担保组织开展担保业务、林业经营主体间开展林权收储担保业务，不适用本条例。</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第四十七条　融资再担保公司的管理办法，由国务院银行业监督管理机构会同国务院有关部门另行制定，报国务院批准。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第四十八条　本条例施行前设立的融资担保公司，不符合本条例规定条件的，应当在监督管理部门规定的期限内达到本条例规定的条件；逾期仍不符合规定条件的，不得开展新的融资担保业务。</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第四十九条　本条例自2017年10月1日起施行。</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融资担保业务经营许可证管理办法</w:t>
      </w:r>
    </w:p>
    <w:p>
      <w:pPr>
        <w:ind w:firstLine="640" w:firstLineChars="200"/>
        <w:rPr>
          <w:rFonts w:ascii="仿宋_GB2312" w:hAnsi="仿宋_GB2312" w:eastAsia="仿宋_GB2312" w:cs="仿宋_GB2312"/>
          <w:sz w:val="32"/>
          <w:szCs w:val="32"/>
        </w:rPr>
      </w:pP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第一条　为规范监督管理部门对融资担保业务经营许可证的管理，促进融资担保公司依法经营，维护融资担保市场秩序，根据《融资担保公司监督管理条例》等有关规定，制定本办法。</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第二条 本办法所称融资担保业务经营许可证是指监督管理部门依法颁发的特许融资担保公司经营融资担保业务的法律文件。</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融资担保业务经营许可证的颁发、换发、吊销、注销等由监督管理部门依法办理。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第三条 融资担保公司依法取得融资担保业务经营许可证后，方可向履行工商行政管理职责的部门申请办理注册登记。</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第四条 各省、自治区、直辖市监督管理部门结合监管工作实际，按照依法、公开、高效的原则，确定本辖区融资担保业务经营许可证的管理方式。</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融资担保公司跨省、自治区、直辖市设立的分支机构，由分支机构所在地监督管理部门颁发、换发、吊销、注销融资担保业务经营许可证。</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第五条 融资担保业务经营许可证编号第一位为省、自治区、直辖市名称简称，其他编号由省、自治区、直辖市监管部门统一编制，并实行编号终身制。</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融资担保业务经营许可证因遗失或损坏申请换发时，原融资担保业务经营许可证编号继续沿用。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融资担保业务经营许可证如被吊销、注销，融资担保业务经营许可证编号自动作废，不再使用。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第六条 融资担保业务经营许可证应当载明下列内容：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（一）机构名称；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（二）注册资本；</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（三）营业地址；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（四）业务范围；</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（五）许可证编号；</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（六）发证机关及公章（监督管理部门及公章）；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（七）颁发日期。</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第七条 融资担保公司设立、合并、分立或者减少注册资本，应当经监督管理部门批准后颁发、换发融资担保业务经营许可证。</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第八条 融资担保公司变更名称、营业地址、业务范围或者增加注册资本，应当向监督管理部门备案并换发融资担保业务经营许可证。</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第九条 融资担保公司向监督管理部门申请领取融资担保业务经营许可证时，应当提供下列材料：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（一）监督管理部门的批准或备案文件；</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（二）申领单位介绍信；</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（三）经办人员的合法有效身份证明；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（四）监督管理部门要求的其他材料。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第十条 融资担保业务经营许可证遗失、损坏或载明内容变更的，应当向监督管理部门申请换发融资担保业务经营许可证。</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融资担保业务经营许可证遗失的，融资担保公司应当在监督管理部门指定的网站或公开发行的报纸上声明旧证作废，重新申请领取新证。</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融资担保业务经营许可证损坏的，融资担保公司应当在重新申请领取新证时将旧证交回监督管理部门。</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融资担保业务经营许可证载明内容变更的，融资担保公司持本办法第九条规定材料重新申请领取新证，并在领取新证时将旧证交回监督管理部门。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第十一条 监督管理部门根据行政许可决定需向融资担保公司颁发、换发融资担保业务经营许可证的，应当自作出行政许可决定之日起10个工作日内向申请人颁发、换发融资担保业务经营许可证。</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第十二条 融资担保公司出现下列情形之一时，应当按期将融资担保业务经营许可证交回监督管理部门：</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（一）融资担保业务经营许可被撤销、被撤回的；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（二）融资担保业务经营许可证被吊销的；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（三）融资担保公司解散、被依法宣告破产的；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（四）监督管理部门规定的其他情形。</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融资担保公司应当在收到监督管理部门有关文件、法律文书或人民法院宣告破产裁定书之日起15个工作日内，将融资担保业务经营许可证交回监督管理部门。逾期不交回的，由监督管理部门及时依法收缴。</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第十三条　颁发或换发融资担保业务经营许可证，监督管理部门应当在其网站或公开发行的报纸上进行公告。</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吊销、注销融资担保业务经营许可证，监督管理部门应当在其网站或公开发行的报纸上进行公告，并在10个工作日内将相关信息推送至履行工商行政管理职责的部门。</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公告的具体内容应当包括：机构名称、注册资本、营业地址、业务范围、许可证编号及邮政编码、联系电话等。</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第十四条　融资担保业务经营许可证应当在融资担保公司营业场所的显著位置公示。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第十五条 融资担保业务经营许可证由融资性担保业务监管部际联席会议办公室统一印制。</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第十六条　监督管理部门应当加强融资担保业务经营许可证的信息管理，建立完善的机构管理档案系统，依法披露融资担保业务经营许可证的有关信息。</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第十七条 监督管理部门应当按照融资担保业务经营许可证编号方法打印融资担保业务经营许可证，融资担保业务经营许可证加盖监督管理部门的单位公章方具效力。</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第十八条 监督管理部门应当将融资担保业务经营许可证作为重要凭证专门管理，建立融资担保业务经营许可证颁发、换发、吊销、注销、收回、收缴、销毁登记制度。</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监督管理部门对融资担保业务经营许可证管理过程中产生的废证、收回的旧证以及依法吊销、注销、收缴的融资担保业务经营许可证，应当加盖“作废”章，作为重要凭证专门归档，定期销毁。</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第十九条 政府设立的融资担保基金、信用保证基金等申领融资担保业务经营许可证，可参照本办法执行。</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第二十条 本办法自发布之日起施行。</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pStyle w:val="3"/>
        <w:rPr>
          <w:spacing w:val="-20"/>
          <w:sz w:val="44"/>
          <w:szCs w:val="44"/>
        </w:rPr>
      </w:pPr>
      <w:bookmarkStart w:id="39" w:name="_Toc8637"/>
      <w:r>
        <w:rPr>
          <w:spacing w:val="-20"/>
          <w:sz w:val="44"/>
          <w:szCs w:val="44"/>
        </w:rPr>
        <w:t>六、融资担保公司监督管理条例四项配套制度</w:t>
      </w:r>
      <w:bookmarkEnd w:id="39"/>
    </w:p>
    <w:p>
      <w:pPr>
        <w:keepNext/>
        <w:keepLines/>
        <w:spacing w:line="560" w:lineRule="exact"/>
        <w:ind w:firstLine="480" w:firstLineChars="200"/>
        <w:jc w:val="center"/>
        <w:rPr>
          <w:rStyle w:val="19"/>
          <w:rFonts w:hint="eastAsia" w:ascii="楷体" w:hAnsi="楷体" w:eastAsia="楷体" w:cs="楷体"/>
          <w:color w:val="000000"/>
          <w:sz w:val="24"/>
          <w:szCs w:val="24"/>
          <w:lang w:eastAsia="zh-CN"/>
        </w:rPr>
      </w:pPr>
      <w:r>
        <w:rPr>
          <w:rStyle w:val="19"/>
          <w:rFonts w:hint="eastAsia" w:ascii="楷体" w:hAnsi="楷体" w:eastAsia="楷体" w:cs="楷体"/>
          <w:color w:val="000000"/>
          <w:sz w:val="24"/>
          <w:szCs w:val="24"/>
          <w:lang w:eastAsia="zh-CN"/>
        </w:rPr>
        <w:t>银保监发〔</w:t>
      </w:r>
      <w:r>
        <w:rPr>
          <w:rStyle w:val="19"/>
          <w:rFonts w:hint="eastAsia" w:ascii="楷体" w:hAnsi="楷体" w:eastAsia="楷体" w:cs="楷体"/>
          <w:color w:val="000000"/>
          <w:sz w:val="24"/>
          <w:szCs w:val="24"/>
          <w:lang w:val="en-US"/>
        </w:rPr>
        <w:t>2018</w:t>
      </w:r>
      <w:r>
        <w:rPr>
          <w:rStyle w:val="19"/>
          <w:rFonts w:hint="eastAsia" w:ascii="楷体" w:hAnsi="楷体" w:eastAsia="楷体" w:cs="楷体"/>
          <w:color w:val="000000"/>
          <w:sz w:val="24"/>
          <w:szCs w:val="24"/>
          <w:lang w:eastAsia="zh-CN"/>
        </w:rPr>
        <w:t>〕</w:t>
      </w:r>
      <w:r>
        <w:rPr>
          <w:rStyle w:val="19"/>
          <w:rFonts w:hint="eastAsia" w:ascii="楷体" w:hAnsi="楷体" w:eastAsia="楷体" w:cs="楷体"/>
          <w:color w:val="000000"/>
          <w:sz w:val="24"/>
          <w:szCs w:val="24"/>
          <w:lang w:val="en-US"/>
        </w:rPr>
        <w:t>1</w:t>
      </w:r>
      <w:r>
        <w:rPr>
          <w:rStyle w:val="19"/>
          <w:rFonts w:hint="eastAsia" w:ascii="楷体" w:hAnsi="楷体" w:eastAsia="楷体" w:cs="楷体"/>
          <w:color w:val="000000"/>
          <w:sz w:val="24"/>
          <w:szCs w:val="24"/>
          <w:lang w:eastAsia="zh-CN"/>
        </w:rPr>
        <w:t>号</w:t>
      </w:r>
      <w:bookmarkStart w:id="40" w:name="_GoBack"/>
      <w:bookmarkEnd w:id="40"/>
    </w:p>
    <w:p>
      <w:pPr>
        <w:keepNext/>
        <w:keepLines/>
        <w:spacing w:line="560" w:lineRule="exact"/>
        <w:ind w:firstLine="480" w:firstLineChars="200"/>
        <w:jc w:val="center"/>
        <w:rPr>
          <w:rFonts w:hint="eastAsia" w:ascii="黑体" w:hAnsi="黑体" w:eastAsia="黑体" w:cs="黑体"/>
          <w:sz w:val="32"/>
          <w:szCs w:val="32"/>
        </w:rPr>
      </w:pPr>
      <w:r>
        <w:rPr>
          <w:rStyle w:val="19"/>
          <w:rFonts w:hint="eastAsia" w:ascii="楷体" w:hAnsi="楷体" w:eastAsia="楷体" w:cs="楷体"/>
          <w:color w:val="000000"/>
          <w:sz w:val="24"/>
          <w:szCs w:val="24"/>
          <w:lang w:val="en-US"/>
        </w:rPr>
        <w:t>2018</w:t>
      </w:r>
      <w:r>
        <w:rPr>
          <w:rStyle w:val="19"/>
          <w:rFonts w:hint="eastAsia" w:ascii="楷体" w:hAnsi="楷体" w:eastAsia="楷体" w:cs="楷体"/>
          <w:color w:val="000000"/>
          <w:sz w:val="24"/>
          <w:szCs w:val="24"/>
          <w:lang w:eastAsia="zh-CN"/>
        </w:rPr>
        <w:t>年</w:t>
      </w:r>
      <w:r>
        <w:rPr>
          <w:rStyle w:val="19"/>
          <w:rFonts w:hint="eastAsia" w:ascii="楷体" w:hAnsi="楷体" w:eastAsia="楷体" w:cs="楷体"/>
          <w:color w:val="000000"/>
          <w:sz w:val="24"/>
          <w:szCs w:val="24"/>
          <w:lang w:val="en-US"/>
        </w:rPr>
        <w:t>4</w:t>
      </w:r>
      <w:r>
        <w:rPr>
          <w:rStyle w:val="19"/>
          <w:rFonts w:hint="eastAsia" w:ascii="楷体" w:hAnsi="楷体" w:eastAsia="楷体" w:cs="楷体"/>
          <w:color w:val="000000"/>
          <w:sz w:val="24"/>
          <w:szCs w:val="24"/>
          <w:lang w:eastAsia="zh-CN"/>
        </w:rPr>
        <w:t>月</w:t>
      </w:r>
      <w:r>
        <w:rPr>
          <w:rStyle w:val="19"/>
          <w:rFonts w:hint="eastAsia" w:ascii="楷体" w:hAnsi="楷体" w:eastAsia="楷体" w:cs="楷体"/>
          <w:color w:val="000000"/>
          <w:sz w:val="24"/>
          <w:szCs w:val="24"/>
          <w:lang w:val="en-US"/>
        </w:rPr>
        <w:t>2</w:t>
      </w:r>
      <w:r>
        <w:rPr>
          <w:rStyle w:val="19"/>
          <w:rFonts w:hint="eastAsia" w:ascii="楷体" w:hAnsi="楷体" w:eastAsia="楷体" w:cs="楷体"/>
          <w:color w:val="000000"/>
          <w:sz w:val="24"/>
          <w:szCs w:val="24"/>
          <w:lang w:eastAsia="zh-CN"/>
        </w:rPr>
        <w:t>日印发</w:t>
      </w:r>
    </w:p>
    <w:p>
      <w:pPr>
        <w:ind w:firstLine="640" w:firstLineChars="200"/>
        <w:jc w:val="center"/>
        <w:rPr>
          <w:rFonts w:ascii="黑体" w:hAnsi="黑体" w:eastAsia="黑体" w:cs="黑体"/>
          <w:sz w:val="32"/>
          <w:szCs w:val="32"/>
        </w:rPr>
      </w:pPr>
      <w:r>
        <w:rPr>
          <w:rFonts w:hint="eastAsia" w:ascii="黑体" w:hAnsi="黑体" w:eastAsia="黑体" w:cs="黑体"/>
          <w:sz w:val="32"/>
          <w:szCs w:val="32"/>
        </w:rPr>
        <w:t>融资担保业务经营许可证管理办法</w:t>
      </w:r>
    </w:p>
    <w:p>
      <w:pPr>
        <w:ind w:firstLine="640" w:firstLineChars="200"/>
        <w:jc w:val="both"/>
        <w:rPr>
          <w:rFonts w:ascii="黑体" w:hAnsi="黑体" w:eastAsia="黑体" w:cs="黑体"/>
          <w:sz w:val="32"/>
          <w:szCs w:val="32"/>
        </w:rPr>
      </w:pP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第一条　为规范监督管理部门对融资担保业务经营许可证的管理，促进融资担保公司依法经营，维护融资担保市场秩序，根据《融资担保公司监督管理条例》等有关规定，制定本办法。</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第二条 本办法所称融资担保业务经营许可证是指监督管理部门依法颁发的特许融资担保公司经营融资担保业务的法律文件。</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融资担保业务经营许可证的颁发、换发、吊销、注销等由监督管理部门依法办理。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第三条 融资担保公司依法取得融资担保业务经营许可证后，方可向履行工商行政管理职责的部门申请办理注册登记。</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第四条 各省、自治区、直辖市监督管理部门结合监管工作实际，按照依法、公开、高效的原则，确定本辖区融资担保业务经营许可证的管理方式。</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融资担保公司跨省、自治区、直辖市设立的分支机构，由分支机构所在地监督管理部门颁发、换发、吊销、注销融资担保业务经营许可证。</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第五条 融资担保业务经营许可证编号第一位为省、自治区、直辖市名称简称，其他编号由省、自治区、直辖市监管部门统一编制，并实行编号终身制。</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融资担保业务经营许可证因遗失或损坏申请换发时，原融资担保业务经营许可证编号继续沿用。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融资担保业务经营许可证如被吊销、注销，融资担保业务经营许可证编号自动作废，不再使用。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第六条 融资担保业务经营许可证应当载明下列内容：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（一）机构名称；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（二）注册资本；</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（三）营业地址；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（四）业务范围；</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（五）许可证编号；</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（六）发证机关及公章（监督管理部门及公章）；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（七）颁发日期。</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第七条 融资担保公司设立、合并、分立或者减少注册资本，应当经监督管理部门批准后颁发、换发融资担保业务经营许可证。</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第八条 融资担保公司变更名称、营业地址、业务范围或者增加注册资本，应当向监督管理部门备案并换发融资担保业务经营许可证。</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第九条 融资担保公司向监督管理部门申请领取融资担保业务经营许可证时，应当提供下列材料：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（一）监督管理部门的批准或备案文件；</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（二）申领单位介绍信；</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（三）经办人员的合法有效身份证明；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（四）监督管理部门要求的其他材料。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第十条 融资担保业务经营许可证遗失、损坏或载明内容变更的，应当向监督管理部门申请换发融资担保业务经营许可证。</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融资担保业务经营许可证遗失的，融资担保公司应当在监督管理部门指定的网站或公开发行的报纸上声明旧证作废，重新申请领取新证。</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融资担保业务经营许可证损坏的，融资担保公司应当在重新申请领取新证时将旧证交回监督管理部门。</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融资担保业务经营许可证载明内容变更的，融资担保公司持本办法第九条规定材料重新申请领取新证，并在领取新证时将旧证交回监督管理部门。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第十一条 监督管理部门根据行政许可决定需向融资担保公司颁发、换发融资担保业务经营许可证的，应当自作出行政许可决定之日起10个工作日内向申请人颁发、换发融资担保业务经营许可证。</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第十二条 融资担保公司出现下列情形之一时，应当按期将融资担保业务经营许可证交回监督管理部门：</w:t>
      </w:r>
    </w:p>
    <w:p>
      <w:pPr>
        <w:ind w:firstLine="640" w:firstLineChars="200"/>
        <w:rPr>
          <w:rFonts w:ascii="黑体" w:hAnsi="黑体" w:eastAsia="黑体" w:cs="黑体"/>
          <w:sz w:val="32"/>
          <w:szCs w:val="32"/>
        </w:rPr>
      </w:pPr>
      <w:r>
        <w:rPr>
          <w:rFonts w:hint="eastAsia" w:ascii="仿宋_GB2312" w:hAnsi="仿宋_GB2312" w:eastAsia="仿宋_GB2312" w:cs="仿宋_GB2312"/>
          <w:sz w:val="32"/>
          <w:szCs w:val="32"/>
        </w:rPr>
        <w:t>（一）融资担保业务经营许可被撤销、被撤回的；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（二）融资担保业务经营许可证被吊销的；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（三）融资担保公司解散、被依法宣告破产的；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（四）监督管理部门规定的其他情形。</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融资担保公司应当在收到监督管理部门有关文件、法律文书或人民法院宣告破产裁定书之日起15个工作日内，将融资担保业务经营许可证交回监督管理部门。逾期不交回的，由监督管理部门及时依法收缴。</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第十三条　颁发或换发融资担保业务经营许可证，监督管理部门应当在其网站或公开发行的报纸上进行公告。</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吊销、注销融资担保业务经营许可证，监督管理部门应当在其网站或公开发行的报纸上进行公告，并在10个工作日内将相关信息推送至履行工商行政管理职责的部门。</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公告的具体内容应当包括：机构名称、注册资本、营业地址、业务范围、许可证编号及邮政编码、联系电话等。</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第十四条　融资担保业务经营许可证应当在融资担保公司营业场所的显著位置公示。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第十五条 融资担保业务经营许可证由融资性担保业务监管部际联席会议办公室统一印制。</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第十六条　监督管理部门应当加强融资担保业务经营许可证的信息管理，建立完善的机构管理档案系统，依法披露融资担保业务经营许可证的有关信息。</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第十七条 监督管理部门应当按照融资担保业务经营许可证编号方法打印融资担保业务经营许可证，融资担保业务经营许可证加盖监督管理部门的单位公章方具效力。</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第十八条 监督管理部门应当将融资担保业务经营许可证作为重要凭证专门管理，建立融资担保业务经营许可证颁发、换发、吊销、注销、收回、收缴、销毁登记制度。</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监督管理部门对融资担保业务经营许可证管理过程中产生的废证、收回的旧证以及依法吊销、注销、收缴的融资担保业务经营许可证，应当加盖“作废”章，作为重要凭证专门归档，定期销毁。</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第十九条 政府设立的融资担保基金、信用保证基金等申领融资担保业务经营许可证，可参照本办法执行。</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第二十条 本办法自发布之日起施行。</w:t>
      </w:r>
    </w:p>
    <w:p>
      <w:pPr>
        <w:ind w:firstLine="640" w:firstLineChars="200"/>
        <w:jc w:val="center"/>
        <w:rPr>
          <w:rFonts w:ascii="黑体" w:hAnsi="黑体" w:eastAsia="黑体" w:cs="黑体"/>
          <w:sz w:val="32"/>
          <w:szCs w:val="32"/>
        </w:rPr>
      </w:pPr>
    </w:p>
    <w:p>
      <w:pPr>
        <w:ind w:firstLine="640" w:firstLineChars="200"/>
        <w:jc w:val="center"/>
        <w:rPr>
          <w:rFonts w:ascii="黑体" w:hAnsi="黑体" w:eastAsia="黑体" w:cs="黑体"/>
          <w:sz w:val="32"/>
          <w:szCs w:val="32"/>
        </w:rPr>
      </w:pPr>
    </w:p>
    <w:p>
      <w:pPr>
        <w:ind w:firstLine="640" w:firstLineChars="200"/>
        <w:jc w:val="center"/>
        <w:rPr>
          <w:rFonts w:ascii="黑体" w:hAnsi="黑体" w:eastAsia="黑体" w:cs="黑体"/>
          <w:sz w:val="32"/>
          <w:szCs w:val="32"/>
        </w:rPr>
      </w:pPr>
    </w:p>
    <w:p>
      <w:pPr>
        <w:ind w:firstLine="640" w:firstLineChars="200"/>
        <w:jc w:val="center"/>
        <w:rPr>
          <w:rFonts w:ascii="黑体" w:hAnsi="黑体" w:eastAsia="黑体" w:cs="黑体"/>
          <w:sz w:val="32"/>
          <w:szCs w:val="32"/>
        </w:rPr>
      </w:pPr>
    </w:p>
    <w:p>
      <w:pPr>
        <w:ind w:firstLine="640" w:firstLineChars="200"/>
        <w:jc w:val="center"/>
        <w:rPr>
          <w:rFonts w:ascii="黑体" w:hAnsi="黑体" w:eastAsia="黑体" w:cs="黑体"/>
          <w:sz w:val="32"/>
          <w:szCs w:val="32"/>
        </w:rPr>
      </w:pPr>
    </w:p>
    <w:p>
      <w:pPr>
        <w:ind w:firstLine="640" w:firstLineChars="200"/>
        <w:jc w:val="center"/>
        <w:rPr>
          <w:rFonts w:ascii="黑体" w:hAnsi="黑体" w:eastAsia="黑体" w:cs="黑体"/>
          <w:sz w:val="32"/>
          <w:szCs w:val="32"/>
        </w:rPr>
      </w:pPr>
    </w:p>
    <w:p>
      <w:pPr>
        <w:ind w:firstLine="640" w:firstLineChars="200"/>
        <w:jc w:val="center"/>
        <w:rPr>
          <w:rFonts w:ascii="黑体" w:hAnsi="黑体" w:eastAsia="黑体" w:cs="黑体"/>
          <w:sz w:val="32"/>
          <w:szCs w:val="32"/>
        </w:rPr>
      </w:pPr>
    </w:p>
    <w:p>
      <w:pPr>
        <w:ind w:firstLine="640" w:firstLineChars="200"/>
        <w:jc w:val="center"/>
        <w:rPr>
          <w:rFonts w:ascii="黑体" w:hAnsi="黑体" w:eastAsia="黑体" w:cs="黑体"/>
          <w:sz w:val="32"/>
          <w:szCs w:val="32"/>
        </w:rPr>
      </w:pPr>
    </w:p>
    <w:p>
      <w:pPr>
        <w:ind w:firstLine="640" w:firstLineChars="200"/>
        <w:jc w:val="center"/>
        <w:rPr>
          <w:rFonts w:ascii="黑体" w:hAnsi="黑体" w:eastAsia="黑体" w:cs="黑体"/>
          <w:sz w:val="32"/>
          <w:szCs w:val="32"/>
        </w:rPr>
      </w:pPr>
    </w:p>
    <w:p>
      <w:pPr>
        <w:rPr>
          <w:rFonts w:ascii="黑体" w:hAnsi="黑体" w:eastAsia="黑体" w:cs="黑体"/>
          <w:sz w:val="32"/>
          <w:szCs w:val="32"/>
        </w:rPr>
      </w:pPr>
    </w:p>
    <w:p>
      <w:pPr>
        <w:ind w:firstLine="640" w:firstLineChars="200"/>
        <w:jc w:val="center"/>
        <w:rPr>
          <w:rFonts w:ascii="黑体" w:hAnsi="黑体" w:eastAsia="黑体" w:cs="黑体"/>
          <w:sz w:val="32"/>
          <w:szCs w:val="32"/>
        </w:rPr>
      </w:pPr>
      <w:r>
        <w:rPr>
          <w:rFonts w:hint="eastAsia" w:ascii="黑体" w:hAnsi="黑体" w:eastAsia="黑体" w:cs="黑体"/>
          <w:sz w:val="32"/>
          <w:szCs w:val="32"/>
        </w:rPr>
        <w:t>融资担保责任余额计量办法</w:t>
      </w:r>
    </w:p>
    <w:p>
      <w:pPr>
        <w:ind w:firstLine="640" w:firstLineChars="200"/>
        <w:rPr>
          <w:rFonts w:ascii="仿宋_GB2312" w:hAnsi="仿宋_GB2312" w:eastAsia="仿宋_GB2312" w:cs="仿宋_GB2312"/>
          <w:sz w:val="32"/>
          <w:szCs w:val="32"/>
        </w:rPr>
      </w:pPr>
    </w:p>
    <w:p>
      <w:pPr>
        <w:ind w:firstLine="640" w:firstLineChars="200"/>
        <w:jc w:val="left"/>
        <w:rPr>
          <w:rFonts w:ascii="黑体" w:hAnsi="黑体" w:eastAsia="黑体" w:cs="黑体"/>
          <w:sz w:val="32"/>
          <w:szCs w:val="32"/>
        </w:rPr>
      </w:pPr>
      <w:r>
        <w:rPr>
          <w:rFonts w:hint="eastAsia" w:ascii="黑体" w:hAnsi="黑体" w:eastAsia="黑体" w:cs="黑体"/>
          <w:sz w:val="32"/>
          <w:szCs w:val="32"/>
        </w:rPr>
        <w:t>第一章 总则</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第一条 为规范融资担保公司经营活动，防范融资担保业务风险，准确计量融资担保责任余额，根据《融资担保公司监督管理条例》有关规定，制定本办法。</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第二条 本办法所称融资担保业务，包括借款类担保业务、发行债券担保业务和其他融资担保业务。</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借款类担保，是指担保人为被担保人贷款、互联网借贷、融资租赁、商业保理、票据承兑、信用证等债务融资提供担保的行为。</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发行债券担保，是指担保人为被担保人发行债券等债务融资提供担保的行为。</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其他融资担保，是指担保人为被担保人发行基金产品、信托产品、资产管理计划、资产支持证券等提供担保的行为。</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第三条 本办法所称融资担保责任余额，是指各项融资担保业务在保余额，按照本办法规定的对应权重加权之和。</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第四条 融资担保公司应当按照本办法的规定计量和管理融资担保责任余额。</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第五条 监督管理部门按照本办法对融资担保公司融资担保责任余额进行监督管理。</w:t>
      </w:r>
    </w:p>
    <w:p>
      <w:pPr>
        <w:ind w:firstLine="640" w:firstLineChars="200"/>
        <w:jc w:val="left"/>
        <w:rPr>
          <w:rFonts w:ascii="黑体" w:hAnsi="黑体" w:eastAsia="黑体" w:cs="黑体"/>
          <w:sz w:val="32"/>
          <w:szCs w:val="32"/>
        </w:rPr>
      </w:pPr>
      <w:r>
        <w:rPr>
          <w:rFonts w:hint="eastAsia" w:ascii="黑体" w:hAnsi="黑体" w:eastAsia="黑体" w:cs="黑体"/>
          <w:sz w:val="32"/>
          <w:szCs w:val="32"/>
        </w:rPr>
        <w:t>第二章 融资担保业务权重</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第六条 单户在保余额500万元人民币以下且被担保人为小微企业的借款类担保业务权重为75%。</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单户在保余额200万元人民币以下且被担保人为农户的借款类担保业务权重为75%。</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第七条 除第六条规定以外的其他借款类担保业务权重为100%。</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第八条 被担保人主体信用评级AA级以上的发行债券担保业务权重为80%。</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第九条 除第八条规定以外的其他发行债券担保业务权重为100%。</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第十条 其他融资担保业务权重为100%。</w:t>
      </w:r>
    </w:p>
    <w:p>
      <w:pPr>
        <w:ind w:firstLine="640" w:firstLineChars="200"/>
        <w:jc w:val="left"/>
        <w:rPr>
          <w:rFonts w:ascii="黑体" w:hAnsi="黑体" w:eastAsia="黑体" w:cs="黑体"/>
          <w:sz w:val="32"/>
          <w:szCs w:val="32"/>
        </w:rPr>
      </w:pPr>
      <w:r>
        <w:rPr>
          <w:rFonts w:hint="eastAsia" w:ascii="黑体" w:hAnsi="黑体" w:eastAsia="黑体" w:cs="黑体"/>
          <w:sz w:val="32"/>
          <w:szCs w:val="32"/>
        </w:rPr>
        <w:t>第三章 融资担保责任余额计量与管理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第十一条 借款类担保责任余额=单户在保余额500万元人民币以下的小微企业借款类担保在保余额×75%+单户在保余额200万元人民币以下的农户借款类担保在保余额×75%+其他借款类担保在保余额×100%。</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第十二条 发行债券担保责任余额=被担保人主体信用评级AA级以上的发行债券担保在保余额×80%+其他发行债券担保在保余额×100%。</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第十三条 其他融资担保责任余额=其他融资担保在保余额×100%。</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第十四条 融资担保责任余额=借款类担保责任余额+发行债券担保责任余额+其他融资担保责任余额。</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第十五条 融资担保公司的融资担保责任余额不得超过其净资产的10倍。</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对小微企业和农户融资担保业务在保余额占比50%以上且户数占比80%以上的融资担保公司，前款规定的倍数上限可以提高至15倍。</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第十六条 融资担保公司对同一被担保人的融资担保责任余额不得超过其净资产的10%，对同一被担保人及其关联方的融资担保责任余额不得超过其净资产的15%。</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对被担保人主体信用评级AA级以上的发行债券担保，计算前款规定的集中度时，责任余额按在保余额的60%计算。</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第十七条 对于按比例分担风险的融资担保业务，融资担保责任余额按融资担保公司实际承担的比例计算。</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第十八条 融资担保公司计算本办法第十五条、第十六条规定的融资担保放大倍数和集中度时，应当在净资产中扣除对其他融资担保公司和再担保公司的股权投资。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第十九条 融资担保公司应当按照监督管理部门要求报送融资担保责任余额等风险控制指标情况，并适时向银行业金融机构等合作对象披露前述情况。</w:t>
      </w:r>
    </w:p>
    <w:p>
      <w:pPr>
        <w:ind w:firstLine="640" w:firstLineChars="200"/>
        <w:jc w:val="left"/>
        <w:rPr>
          <w:rFonts w:ascii="黑体" w:hAnsi="黑体" w:eastAsia="黑体" w:cs="黑体"/>
          <w:sz w:val="32"/>
          <w:szCs w:val="32"/>
        </w:rPr>
      </w:pPr>
      <w:r>
        <w:rPr>
          <w:rFonts w:hint="eastAsia" w:ascii="黑体" w:hAnsi="黑体" w:eastAsia="黑体" w:cs="黑体"/>
          <w:sz w:val="32"/>
          <w:szCs w:val="32"/>
        </w:rPr>
        <w:t>第四章 附则</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第二十条 本办法所称“以上”、“以下”均含本数。</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第二十一条 本办法中小微企业包括小型、微型企业，个体工商户以及小微企业主；农户含新型农业经营主体。</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第二十二条 本办法所指主体信用评级应当由在中华人民共和国境内注册且具备债券评级资质的信用评级机构开展。</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第二十三条 本办法适用于在中华人民共和国境内依法设立的融资担保公司及颁发融资担保业务经营许可证的机构。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第二十四条 2017年10月1日前发生的发行债券担保业务，集中度指标继续执行原有监管制度有关规定；2017年10月1日后发生的发行债券担保业务，集中度指标按照本办法的规定执行。</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第二十五条 本办法施行前设立的融资担保公司，不符合本办法规定条件的，应当在监督管理部门规定的期限内达到本办法规定的条件；逾期仍不符合规定条件的，由监督管理部门按照《融资担保公司监督管理条例》的规定实施处罚。</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第二十六条 本办法自发布之日起施行。</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ind w:firstLine="640" w:firstLineChars="200"/>
        <w:jc w:val="center"/>
        <w:rPr>
          <w:rFonts w:ascii="黑体" w:hAnsi="黑体" w:eastAsia="黑体" w:cs="黑体"/>
          <w:sz w:val="32"/>
          <w:szCs w:val="32"/>
        </w:rPr>
      </w:pPr>
      <w:r>
        <w:rPr>
          <w:rFonts w:hint="eastAsia" w:ascii="黑体" w:hAnsi="黑体" w:eastAsia="黑体" w:cs="黑体"/>
          <w:sz w:val="32"/>
          <w:szCs w:val="32"/>
        </w:rPr>
        <w:t>融资担保公司资产比例管理办法</w:t>
      </w:r>
    </w:p>
    <w:p>
      <w:pPr>
        <w:ind w:firstLine="640" w:firstLineChars="200"/>
        <w:rPr>
          <w:rFonts w:ascii="仿宋_GB2312" w:hAnsi="仿宋_GB2312" w:eastAsia="仿宋_GB2312" w:cs="仿宋_GB2312"/>
          <w:sz w:val="32"/>
          <w:szCs w:val="32"/>
        </w:rPr>
      </w:pPr>
    </w:p>
    <w:p>
      <w:pPr>
        <w:ind w:firstLine="640" w:firstLineChars="200"/>
        <w:jc w:val="left"/>
        <w:rPr>
          <w:rFonts w:ascii="黑体" w:hAnsi="黑体" w:eastAsia="黑体" w:cs="黑体"/>
          <w:sz w:val="32"/>
          <w:szCs w:val="32"/>
        </w:rPr>
      </w:pPr>
      <w:r>
        <w:rPr>
          <w:rFonts w:hint="eastAsia" w:ascii="黑体" w:hAnsi="黑体" w:eastAsia="黑体" w:cs="黑体"/>
          <w:sz w:val="32"/>
          <w:szCs w:val="32"/>
        </w:rPr>
        <w:t>第一章 总则</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第一条 为引导融资担保公司专注主业、审慎经营，确保融资担保公司保持充足代偿能力，优先保障资产流动性和安全性，根据《融资担保公司监督管理条例》有关规定，制定本办法。</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第二条 融资担保公司应当按照本办法规定经营管理各级资产。本办法中的资产比例应当根据融资担保公司非合并财务报表计算。</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第三条 监督管理部门按照本办法对融资担保公司资产进行监督管理。</w:t>
      </w:r>
    </w:p>
    <w:p>
      <w:pPr>
        <w:ind w:firstLine="640" w:firstLineChars="200"/>
        <w:jc w:val="left"/>
        <w:rPr>
          <w:rFonts w:ascii="黑体" w:hAnsi="黑体" w:eastAsia="黑体" w:cs="黑体"/>
          <w:sz w:val="32"/>
          <w:szCs w:val="32"/>
        </w:rPr>
      </w:pPr>
      <w:r>
        <w:rPr>
          <w:rFonts w:hint="eastAsia" w:ascii="黑体" w:hAnsi="黑体" w:eastAsia="黑体" w:cs="黑体"/>
          <w:sz w:val="32"/>
          <w:szCs w:val="32"/>
        </w:rPr>
        <w:t>第二章 资产分级</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第四条 融资担保公司主要资产按照形态分为Ⅰ、Ⅱ、Ⅲ级。</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第五条 Ⅰ级资产包括：</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（一）现金；</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（二）银行存款；</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（三）存出保证金；</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（四）货币市场基金；</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（五）国债、金融债券；</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（六）可随时赎回或三个月内到期的商业银行理财产品；</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（七）债券信用评级AAA级的债券；</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（八）其他货币资金。</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第六条 Ⅱ级资产包括：</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（一）商业银行理财产品（不含第五条第六项）；</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（二）债券信用评级AA级、AA+级的债券；</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（三）对其他融资担保公司或再担保公司的股权投资；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（四）对在保客户股权投资20%部分（包括但不限于优先股和普通股）；</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（五）对在保客户且合同期限六个月以内的委托贷款40%部分；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（六）不超过净资产30%的自用型房产。</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第七条 Ⅲ级资产包括：</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（一）对在保客户股权投资80%部分以及其他股权类资产（包括但不限于优先股和普通股）；</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（二）债券信用评级AA-级以下或无债券信用评级的债券；</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（三）投资购买的信托产品、资产管理计划、基金产品、资产支持证券等；</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（四）对在保客户且合同期限六个月以内的委托贷款60%部分，以及其他委托贷款；</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（五）非自用型房产；</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（六）自用型房产超出净资产30%的部分；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（七）其他应收款。</w:t>
      </w:r>
    </w:p>
    <w:p>
      <w:pPr>
        <w:ind w:firstLine="640" w:firstLineChars="200"/>
        <w:jc w:val="left"/>
        <w:rPr>
          <w:rFonts w:ascii="黑体" w:hAnsi="黑体" w:eastAsia="黑体" w:cs="黑体"/>
          <w:sz w:val="32"/>
          <w:szCs w:val="32"/>
        </w:rPr>
      </w:pPr>
      <w:r>
        <w:rPr>
          <w:rFonts w:hint="eastAsia" w:ascii="黑体" w:hAnsi="黑体" w:eastAsia="黑体" w:cs="黑体"/>
          <w:sz w:val="32"/>
          <w:szCs w:val="32"/>
        </w:rPr>
        <w:t>第三章 资产比例管理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第八条 融资担保公司净资产与未到期责任准备金、担保赔偿准备金之和不得低于资产总额的60%。</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第九条 融资担保公司Ⅰ级资产、Ⅱ级资产之和不得低于资产总额扣除应收代偿款后的70%；Ⅰ级资产不得低于资产总额扣除应收代偿款后的20%；Ⅲ级资产不得高于资产总额扣除应收代偿款后的30%。</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第十条 监督管理部门可将融资担保公司的其他资产依据其流动性和安全性情况计入Ⅱ级资产、Ⅲ级资产,并将计入标准向国务院银行业监督管理机构备案。</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第十一条 融资担保公司受托管理的政府性或财政专项资金在计算本办法规定的Ⅰ级资产、Ⅱ级资产、Ⅲ级资产、资产总额以及资产比例时应予扣除。</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第十二条 融资担保公司应当建立动态的资产比例管理机制，确保资产等各项风险指标符合规定比例。</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第十三条 融资担保公司应当按照监督管理部门要求报送资产比例等风险控制指标情况，并适时向银行业金融机构等合作对象披露前述情况。</w:t>
      </w:r>
    </w:p>
    <w:p>
      <w:pPr>
        <w:ind w:firstLine="640" w:firstLineChars="200"/>
        <w:jc w:val="left"/>
        <w:rPr>
          <w:rFonts w:ascii="黑体" w:hAnsi="黑体" w:eastAsia="黑体" w:cs="黑体"/>
          <w:sz w:val="32"/>
          <w:szCs w:val="32"/>
        </w:rPr>
      </w:pPr>
      <w:r>
        <w:rPr>
          <w:rFonts w:hint="eastAsia" w:ascii="黑体" w:hAnsi="黑体" w:eastAsia="黑体" w:cs="黑体"/>
          <w:sz w:val="32"/>
          <w:szCs w:val="32"/>
        </w:rPr>
        <w:t>第四章 附则</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第十四条 本办法适用于在中华人民共和国境内依法设立的融资担保公司及颁发融资担保业务经营许可证的机构。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第十五条 本办法施行前，融资担保公司自有资金投资比例符合原有监管要求，但未达到本办法要求的，监督管理部门可根据实际给予不同时限的过渡期安排，达标时限不应晚于2019年末。逾期仍不符合本办法规定条件的，由监督管理部门按照《融资担保公司监督管理条例》的规定处罚。</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第十六条 本办法自发布之日起施行。</w:t>
      </w:r>
    </w:p>
    <w:p>
      <w:pPr>
        <w:ind w:firstLine="640" w:firstLineChars="200"/>
        <w:jc w:val="center"/>
        <w:rPr>
          <w:rFonts w:ascii="黑体" w:hAnsi="黑体" w:eastAsia="黑体" w:cs="黑体"/>
          <w:sz w:val="32"/>
          <w:szCs w:val="32"/>
        </w:rPr>
      </w:pPr>
    </w:p>
    <w:p>
      <w:pPr>
        <w:ind w:firstLine="640" w:firstLineChars="200"/>
        <w:jc w:val="center"/>
        <w:rPr>
          <w:rFonts w:ascii="黑体" w:hAnsi="黑体" w:eastAsia="黑体" w:cs="黑体"/>
          <w:sz w:val="32"/>
          <w:szCs w:val="32"/>
        </w:rPr>
      </w:pPr>
    </w:p>
    <w:p>
      <w:pPr>
        <w:ind w:firstLine="640" w:firstLineChars="200"/>
        <w:jc w:val="center"/>
        <w:rPr>
          <w:rFonts w:ascii="黑体" w:hAnsi="黑体" w:eastAsia="黑体" w:cs="黑体"/>
          <w:sz w:val="32"/>
          <w:szCs w:val="32"/>
        </w:rPr>
      </w:pPr>
    </w:p>
    <w:p>
      <w:pPr>
        <w:ind w:firstLine="640" w:firstLineChars="200"/>
        <w:jc w:val="center"/>
        <w:rPr>
          <w:rFonts w:ascii="黑体" w:hAnsi="黑体" w:eastAsia="黑体" w:cs="黑体"/>
          <w:sz w:val="32"/>
          <w:szCs w:val="32"/>
        </w:rPr>
      </w:pPr>
    </w:p>
    <w:p>
      <w:pPr>
        <w:ind w:firstLine="640" w:firstLineChars="200"/>
        <w:jc w:val="center"/>
        <w:rPr>
          <w:rFonts w:ascii="黑体" w:hAnsi="黑体" w:eastAsia="黑体" w:cs="黑体"/>
          <w:sz w:val="32"/>
          <w:szCs w:val="32"/>
        </w:rPr>
      </w:pPr>
    </w:p>
    <w:p>
      <w:pPr>
        <w:ind w:firstLine="640" w:firstLineChars="200"/>
        <w:jc w:val="center"/>
        <w:rPr>
          <w:rFonts w:ascii="黑体" w:hAnsi="黑体" w:eastAsia="黑体" w:cs="黑体"/>
          <w:sz w:val="32"/>
          <w:szCs w:val="32"/>
        </w:rPr>
      </w:pPr>
    </w:p>
    <w:p>
      <w:pPr>
        <w:ind w:firstLine="640" w:firstLineChars="200"/>
        <w:jc w:val="center"/>
        <w:rPr>
          <w:rFonts w:ascii="黑体" w:hAnsi="黑体" w:eastAsia="黑体" w:cs="黑体"/>
          <w:sz w:val="32"/>
          <w:szCs w:val="32"/>
        </w:rPr>
      </w:pPr>
    </w:p>
    <w:p>
      <w:pPr>
        <w:ind w:firstLine="640" w:firstLineChars="200"/>
        <w:jc w:val="center"/>
        <w:rPr>
          <w:rFonts w:ascii="黑体" w:hAnsi="黑体" w:eastAsia="黑体" w:cs="黑体"/>
          <w:sz w:val="32"/>
          <w:szCs w:val="32"/>
        </w:rPr>
      </w:pPr>
    </w:p>
    <w:p>
      <w:pPr>
        <w:ind w:firstLine="640" w:firstLineChars="200"/>
        <w:jc w:val="center"/>
        <w:rPr>
          <w:rFonts w:ascii="黑体" w:hAnsi="黑体" w:eastAsia="黑体" w:cs="黑体"/>
          <w:sz w:val="32"/>
          <w:szCs w:val="32"/>
        </w:rPr>
      </w:pPr>
    </w:p>
    <w:p>
      <w:pPr>
        <w:ind w:firstLine="640" w:firstLineChars="200"/>
        <w:jc w:val="center"/>
        <w:rPr>
          <w:rFonts w:ascii="黑体" w:hAnsi="黑体" w:eastAsia="黑体" w:cs="黑体"/>
          <w:sz w:val="32"/>
          <w:szCs w:val="32"/>
        </w:rPr>
      </w:pPr>
    </w:p>
    <w:p>
      <w:pPr>
        <w:ind w:firstLine="640" w:firstLineChars="200"/>
        <w:jc w:val="center"/>
        <w:rPr>
          <w:rFonts w:ascii="黑体" w:hAnsi="黑体" w:eastAsia="黑体" w:cs="黑体"/>
          <w:sz w:val="32"/>
          <w:szCs w:val="32"/>
        </w:rPr>
      </w:pPr>
    </w:p>
    <w:p>
      <w:pPr>
        <w:ind w:firstLine="640" w:firstLineChars="200"/>
        <w:jc w:val="center"/>
        <w:rPr>
          <w:rFonts w:ascii="黑体" w:hAnsi="黑体" w:eastAsia="黑体" w:cs="黑体"/>
          <w:sz w:val="32"/>
          <w:szCs w:val="32"/>
        </w:rPr>
      </w:pPr>
    </w:p>
    <w:p>
      <w:pPr>
        <w:ind w:firstLine="640" w:firstLineChars="200"/>
        <w:jc w:val="center"/>
        <w:rPr>
          <w:rFonts w:ascii="黑体" w:hAnsi="黑体" w:eastAsia="黑体" w:cs="黑体"/>
          <w:sz w:val="32"/>
          <w:szCs w:val="32"/>
        </w:rPr>
      </w:pPr>
    </w:p>
    <w:p>
      <w:pPr>
        <w:ind w:firstLine="640" w:firstLineChars="200"/>
        <w:jc w:val="center"/>
        <w:rPr>
          <w:rFonts w:ascii="黑体" w:hAnsi="黑体" w:eastAsia="黑体" w:cs="黑体"/>
          <w:sz w:val="32"/>
          <w:szCs w:val="32"/>
        </w:rPr>
      </w:pPr>
    </w:p>
    <w:p>
      <w:pPr>
        <w:ind w:firstLine="640" w:firstLineChars="200"/>
        <w:jc w:val="center"/>
        <w:rPr>
          <w:rFonts w:ascii="黑体" w:hAnsi="黑体" w:eastAsia="黑体" w:cs="黑体"/>
          <w:sz w:val="32"/>
          <w:szCs w:val="32"/>
        </w:rPr>
      </w:pPr>
    </w:p>
    <w:p>
      <w:pPr>
        <w:ind w:firstLine="640" w:firstLineChars="200"/>
        <w:jc w:val="center"/>
        <w:rPr>
          <w:rFonts w:ascii="黑体" w:hAnsi="黑体" w:eastAsia="黑体" w:cs="黑体"/>
          <w:sz w:val="32"/>
          <w:szCs w:val="32"/>
        </w:rPr>
      </w:pPr>
    </w:p>
    <w:p>
      <w:pPr>
        <w:ind w:firstLine="640" w:firstLineChars="200"/>
        <w:jc w:val="center"/>
        <w:rPr>
          <w:rFonts w:ascii="仿宋_GB2312" w:hAnsi="仿宋_GB2312" w:eastAsia="仿宋_GB2312" w:cs="仿宋_GB2312"/>
          <w:sz w:val="32"/>
          <w:szCs w:val="32"/>
        </w:rPr>
      </w:pPr>
      <w:r>
        <w:rPr>
          <w:rFonts w:hint="eastAsia" w:ascii="黑体" w:hAnsi="黑体" w:eastAsia="黑体" w:cs="黑体"/>
          <w:sz w:val="32"/>
          <w:szCs w:val="32"/>
        </w:rPr>
        <w:t>银行业金融机构与融资担保公司业务合作指引</w:t>
      </w:r>
    </w:p>
    <w:p>
      <w:pPr>
        <w:ind w:firstLine="640" w:firstLineChars="200"/>
        <w:rPr>
          <w:rFonts w:ascii="仿宋_GB2312" w:hAnsi="仿宋_GB2312" w:eastAsia="仿宋_GB2312" w:cs="仿宋_GB2312"/>
          <w:sz w:val="32"/>
          <w:szCs w:val="32"/>
        </w:rPr>
      </w:pPr>
    </w:p>
    <w:p>
      <w:pPr>
        <w:ind w:firstLine="640" w:firstLineChars="200"/>
        <w:jc w:val="left"/>
        <w:rPr>
          <w:rFonts w:ascii="黑体" w:hAnsi="黑体" w:eastAsia="黑体" w:cs="黑体"/>
          <w:sz w:val="32"/>
          <w:szCs w:val="32"/>
        </w:rPr>
      </w:pPr>
      <w:r>
        <w:rPr>
          <w:rFonts w:hint="eastAsia" w:ascii="黑体" w:hAnsi="黑体" w:eastAsia="黑体" w:cs="黑体"/>
          <w:sz w:val="32"/>
          <w:szCs w:val="32"/>
        </w:rPr>
        <w:t>第一章 总则</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第一条 为规范银行业金融机构与融资担保公司业务合作（以下简称“银担合作”）行为，维护双方合法权益，促进银担合作健康发展，更好地服务小微企业和“三农”发展，依据《中华人民共和国合同法》《中华人民共和国担保法》《中华人民共和国物权法》《中华人民共和国商业银行法》和《融资担保公司监督管理条例》等有关法律法规，制定本指引。</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第二条 本指引所称银行业金融机构（以下简称“银行”）是指在中华人民共和国境内依法设立的商业银行、农村信用合作社等吸收公众存款的金融机构以及政策性银行。</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本指引所称融资担保公司（以下简称“担保公司”）是指符合《融资担保公司监督管理条例》设立条件，依法经监督管理部门批准设立，经营融资担保业务的有限责任公司和股份有限公司。</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本指引所称客户是指已获得银行与担保公司双方授信额度，兼具借款人和被担保人双重身份的企（事）业法人、其他组织或自然人。</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本指引所称监督管理部门是指省、自治区、直辖市人民政府确定的负责本行政区域内融资担保公司监督管理工作的部门。</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第三条 银担合作应当遵循以下基本原则：</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（一）自愿原则。银担合作双方应当遵循自愿原则达成合作意向，任何单位和个人不得非法干预。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（二）平等原则。银担合作双方法律地位平等，一方不得将自己的意志强加给另一方。</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（三）公平诚信原则。银担合作双方应当遵循公平原则确定双方权利和义务；行使权利、履行义务应当遵循诚实信用原则，不得损害对方及第三方合法权益。</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（四）合规审慎经营原则。银担合作双方应当遵守相关法律法规和监管规定，建立可持续的、合规审慎经营的合作模式。</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第四条 银担合作双方应当根据国家政策导向，主动作为，加强合作，实现优势互补和互利双赢，在支持小微企业和“三农”发展方面承担应有的社会责任。</w:t>
      </w:r>
    </w:p>
    <w:p>
      <w:pPr>
        <w:ind w:firstLine="640" w:firstLineChars="200"/>
        <w:jc w:val="left"/>
        <w:rPr>
          <w:rFonts w:ascii="黑体" w:hAnsi="黑体" w:eastAsia="黑体" w:cs="黑体"/>
          <w:sz w:val="32"/>
          <w:szCs w:val="32"/>
        </w:rPr>
      </w:pPr>
      <w:r>
        <w:rPr>
          <w:rFonts w:hint="eastAsia" w:ascii="黑体" w:hAnsi="黑体" w:eastAsia="黑体" w:cs="黑体"/>
          <w:sz w:val="32"/>
          <w:szCs w:val="32"/>
        </w:rPr>
        <w:t>第二章 机构合作规范</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第五条 银行应当就与担保公司合作制定专门的管理制度，明确内部职责分工和权限、合作标准、合作协议框架内容、日常管理、合作暂停及终止等内容。</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第六条 银行应当综合考量担保公司治理结构、资本金实力、风控能力、合规情况，信用记录及是否加入再担保体系等因素，科学、公平、合理确定与担保公司合作的基本标准，并向申请合作的担保公司公开。</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银行可考虑地区差异，授权分支机构在总行统一规定的基础上细化与担保机构合作的具体标准。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第七条 银行不得与下列担保公司开展担保业务合作，已开展担保业务合作的，应当妥善清理处置现有合作业务：</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（一）不持有融资担保业务经营许可证；</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（二）违反法律法规及有关监管规定，已经或可能遭受处罚、正常经营受影响的；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（三）被列入人民法院失信被执行人名单的;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（四）被列入工商行政管理部门经营异常名录或者严重违法失信企业名单的；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（五）被全国信用信息共享平台归集和列入国家企业信用信息公示系统的其他领域失信黑名单的。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第八条 银担合作双方应当以书面形式签订合作协议，明确双方权利和义务。合作协议应当包括业务合作范围、合作期限、授信额度、风险分担、代偿宽限期、信息披露等内容。</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第九条 银担合作双方可约定在下列范围内开展业务合作：</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（一）融资担保业务：包括贷款担保、票据承兑担保、信用证担保及其他融资担保业务；</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（二）非融资担保业务：包括投标担保、工程履约担保、诉讼保全担保及其他非融资担保业务；</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（三）其他合法合规业务。</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第十条 银行应当依据担保公司的资信状况，依法合理确定担保公司的担保额度。</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第十一条 鼓励银担合作双方本着互利互惠、优势互补的原则合理分担客户授信风险，双方可约定各自承担风险的数额或比例。</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第十二条 客户债务违约后银行可给予担保公司一定的代偿宽限期。宽限期内，银担合作双方均应督促债务人履行债务。</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第十三条 担保公司因再担保获得业务增信或风险分担的，银行应当在风险可控、商业可持续的前提下，在合作准入、放大倍数、风险分担、贷款利率等方面给予适当优惠。</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第十四条 银担合作双方不得以任何理由和任何形式向对方收取合作协议、保证合同约定以外的其他费用。</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第十五条 银担合作双方应当建立良好的信息沟通机制并对获取的对方信息履行保密义务，除根据法律法规、监督管理部门和司法机关要求或经对方同意外，不得向第三方披露合作过程中获取的对方信息，不得利用获取的信息损害对方利益。</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第十六条 银行应当根据合作协议约定，将与担保公司合作范围内的本行信贷政策、重点业务领域、重点业务品种、信贷业务操作流程等及时告知合作担保公司。</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担保公司应当及时、完整、准确地提供与银行合作的申报材料，并且应当根据合作协议约定按期向合作银行披露公司治理情况、财务报告、风险管理状况、资本金构成及资金运用情况、担保业务总体情况、从其他银行获取授信情况及其他重要事项等相关信息、资料。</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银行可按照合作协议约定的方式对合作担保公司进行资信核查，担保公司应当给予积极配合。</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第十七条 担保公司出现下列情形之一的，应当在约定的期限内书面通知银行：</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（一）变更注册资本；</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（二）法定代表人、主要股东、公司名称、公司住所发生变更；</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（三）发生合作协议约定的大额代偿；</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（四）涉及合作协议约定的重大经济纠纷或诉讼；</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（五）涉嫌重大违法违规行为被行政机关、司法机关调查或处罚；</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（六）被解散、被撤销或被宣告破产；</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（七）合作协议约定的可能影响银担合作的其他重大情形。</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第十八条 银担合作双方应当在合作协议有效期内保持合作的持续性和稳定性，避免合作政策频繁调整。合作协议有效期内任何一方不得无故单方暂停或终止合作。</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第十九条 银担合作双方可以约定，当出现下列情形之一的，银担合作暂停或终止：</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（一）合作协议到期，双方未续期或未达成新的协议；</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（二）一方不履行合作协议规定或存在违法违规行为，严重影响另一方利益的；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（三）银行或担保公司与客户串通，恶意套取银行信贷资金或骗取担保公司代偿资金的；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（四）其他严重影响银担合作正常进行的情况。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第二十条 银行应当积极改进绩效考核和风险问责机制，在业务风险可控基础上，提高对小微企业和“三农”融资担保贷款的风险容忍度。</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第二十一条 银担合作双方应当采取措施切实降低小微企业和“三农”融资成本。双方应当合理确定客户的利率、费率收取标准，不得以任何理由和任何形式向客户收取合同约定以外的其他费用，不得占用客户贷款。银行对担保公司承担代偿风险的小微企业和“三农”贷款，应当按照国家政策导向要求采取适当的利率优惠措施。</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第二十二条 中国融资担保业协会和中国银行业协会应在有关部门指导下，综合运用全国信用信息共享平台、国家企业信用信息公示系统及相应的信息抽查制度，加快开展担保公司信用记录工作，建立银担合作信息共享平台。银行应当逐步加大对担保公司信用记录和第三方信用评级结果的运用，将其作为确定担保公司合作内容的重要参考因素。</w:t>
      </w:r>
    </w:p>
    <w:p>
      <w:pPr>
        <w:ind w:firstLine="640" w:firstLineChars="200"/>
        <w:jc w:val="left"/>
        <w:rPr>
          <w:rFonts w:ascii="黑体" w:hAnsi="黑体" w:eastAsia="黑体" w:cs="黑体"/>
          <w:sz w:val="32"/>
          <w:szCs w:val="32"/>
        </w:rPr>
      </w:pPr>
      <w:r>
        <w:rPr>
          <w:rFonts w:hint="eastAsia" w:ascii="黑体" w:hAnsi="黑体" w:eastAsia="黑体" w:cs="黑体"/>
          <w:sz w:val="32"/>
          <w:szCs w:val="32"/>
        </w:rPr>
        <w:t>第三章 业务操作规范</w:t>
      </w:r>
    </w:p>
    <w:p>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第二十三条 银行和担保公司可分别受理客户申请或互相推荐客户。客户的选择应当符合国家产业政策和银行信贷政策。</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第二十四条 银行和担保公司应当按照信贷条件和担保条件，各自对拟合作的客户进行独立的调查和评审，任何一方不得进行干预。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银行和担保公司应当运用金融信用信息基础数据库，报送和查询客户信息，防范业务风险。</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银行不得降低对客户还款能力的评审标准，不得放松贷前、贷中、贷后环节的各项管理要求。</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第二十五条 担保公司评审通过后，应当及时向银行出具明确担保决策意见的书面文件，供银行审批使用。</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第二十六条 银行在审批银担合作业务中，应当优化审批流程，提高审批效率。审批通过后，银行应当及时与客户签署借款（授信）合同、与担保公司签署保证合同。</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第二十七条 银担合作双方可以根据合作协议的约定内容制定专门的保证合同文本。采用银行提供的保证合同格式文本的，如格式文本内容与合作协议不一致，应当以特别约定的方式在格式文本中予以明确。</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第二十八条 担保公司应当及时办理客户提供的反担保手续，有抵、质押物的应当及时办理抵、质押登记等手续。</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第二十九条 银行在接到担保公司放款通知后，应当及时按照有关监管规定履行支付手续。</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银行应当根据担保公司要求向担保公司提供放款凭证复印件和信贷资金支付明细表。</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第三十条 授信业务持续期间，银担合作双方应当按照要求对客户实施贷（保）后管理，及时共享客户运营情况及风险预警信息，共同开展风险防范和化解工作。</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第三十一条 授信业务到期前，银担合作双方应当分别按照各自规定督促客户准备归还银行资金。</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客户正常归还银行资金的，银行应当及时向担保公司出具证明担保责任解除的书面文件。</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第三十二条 客户未能按期归还银行资金的，银行应当立即通知担保公司。银担合作双方均应在代偿宽限期内进行催收、督促客户履约。</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银行应当在代偿宽限期内书面通知担保公司代偿。</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代偿宽限期内客户归还银行资金的，银行应当向担保公司出具证明担保责任解除的书面文件；未能归还银行资金的，担保公司应当及时代偿。</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担保公司代偿后，银行应当向担保公司出具证明代偿及担保责任解除的书面文件。</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第三十三条 担保公司未能在代偿宽限期内代偿的，银行可根据合作协议和保证合同约定，通过仲裁、诉讼等方式强制担保公司代偿。</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第三十四条 担保公司代偿后，银行应当积极配合其对客户的债权追索。</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银担合作双方约定风险分担的，任何一方追索债权获得的资金，应当在扣除追偿费用后按约定的风险分担比例进行分配。</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第三十五条 客户出现违约事项达到银行可以宣布授信业务提前到期的条件时，银行应当及时通知担保公司。担保公司发现客户经营异常的，应当及时通知银行。</w:t>
      </w:r>
    </w:p>
    <w:p>
      <w:pPr>
        <w:ind w:firstLine="640" w:firstLineChars="200"/>
        <w:jc w:val="left"/>
        <w:rPr>
          <w:rFonts w:ascii="黑体" w:hAnsi="黑体" w:eastAsia="黑体" w:cs="黑体"/>
          <w:sz w:val="32"/>
          <w:szCs w:val="32"/>
        </w:rPr>
      </w:pPr>
      <w:r>
        <w:rPr>
          <w:rFonts w:hint="eastAsia" w:ascii="黑体" w:hAnsi="黑体" w:eastAsia="黑体" w:cs="黑体"/>
          <w:sz w:val="32"/>
          <w:szCs w:val="32"/>
        </w:rPr>
        <w:t>第四章 附则</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第三十六条 政府依法设立的融资担保基金、信用保证基金等与银行开展业务合作可参照本指引。</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担保公司与金融资产管理公司、信托公司、财务公司、金融租赁公司、消费金融公司、贷款公司等依法设立的金融机构以及小额贷款公司、融资租赁公司、商业保理公司等开展业务合作可参照本指引。</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第三十七条 本指引自发布之日起施行。</w:t>
      </w:r>
    </w:p>
    <w:p>
      <w:pPr>
        <w:ind w:firstLine="640" w:firstLineChars="200"/>
        <w:rPr>
          <w:rFonts w:ascii="仿宋_GB2312" w:hAnsi="仿宋_GB2312" w:eastAsia="仿宋_GB2312" w:cs="仿宋_GB2312"/>
          <w:sz w:val="32"/>
          <w:szCs w:val="32"/>
        </w:rPr>
      </w:pPr>
    </w:p>
    <w:p>
      <w:pPr>
        <w:ind w:firstLine="640" w:firstLineChars="200"/>
        <w:rPr>
          <w:rFonts w:ascii="仿宋_GB2312" w:hAnsi="仿宋_GB2312" w:eastAsia="仿宋_GB2312" w:cs="仿宋_GB2312"/>
          <w:sz w:val="32"/>
          <w:szCs w:val="32"/>
        </w:rPr>
      </w:pPr>
    </w:p>
    <w:p>
      <w:pPr>
        <w:ind w:firstLine="640" w:firstLineChars="200"/>
        <w:rPr>
          <w:rFonts w:ascii="仿宋_GB2312" w:hAnsi="仿宋_GB2312" w:eastAsia="仿宋_GB2312" w:cs="仿宋_GB2312"/>
          <w:sz w:val="32"/>
          <w:szCs w:val="32"/>
        </w:rPr>
      </w:pPr>
    </w:p>
    <w:p>
      <w:pPr>
        <w:pStyle w:val="3"/>
        <w:jc w:val="center"/>
        <w:rPr>
          <w:rFonts w:hint="eastAsia" w:asciiTheme="majorHAnsi" w:hAnsiTheme="majorHAnsi" w:eastAsiaTheme="majorEastAsia" w:cstheme="majorBidi"/>
          <w:b/>
          <w:bCs/>
          <w:kern w:val="2"/>
          <w:sz w:val="44"/>
          <w:szCs w:val="44"/>
          <w:lang w:val="en-US" w:eastAsia="zh-CN" w:bidi="ar-SA"/>
        </w:rPr>
      </w:pPr>
      <w:bookmarkStart w:id="41" w:name="_Toc22859"/>
      <w:r>
        <w:rPr>
          <w:rFonts w:hint="eastAsia"/>
          <w:sz w:val="44"/>
          <w:szCs w:val="44"/>
        </w:rPr>
        <w:t>七、河南省融资担保公司变更审批工作指引</w:t>
      </w:r>
      <w:bookmarkEnd w:id="41"/>
      <w:r>
        <w:rPr>
          <w:rFonts w:hint="eastAsia" w:asciiTheme="majorHAnsi" w:hAnsiTheme="majorHAnsi" w:eastAsiaTheme="majorEastAsia" w:cstheme="majorBidi"/>
          <w:b/>
          <w:bCs/>
          <w:kern w:val="2"/>
          <w:sz w:val="44"/>
          <w:szCs w:val="44"/>
          <w:lang w:val="en-US" w:eastAsia="zh-CN" w:bidi="ar-SA"/>
        </w:rPr>
        <w:t>（2019年修订版）</w:t>
      </w:r>
    </w:p>
    <w:p>
      <w:pPr>
        <w:keepNext/>
        <w:keepLines/>
        <w:spacing w:line="560" w:lineRule="exact"/>
        <w:ind w:firstLine="480" w:firstLineChars="200"/>
        <w:jc w:val="center"/>
        <w:rPr>
          <w:rStyle w:val="19"/>
          <w:rFonts w:hint="eastAsia" w:ascii="楷体" w:hAnsi="楷体" w:eastAsia="楷体" w:cs="楷体"/>
          <w:color w:val="000000"/>
          <w:sz w:val="24"/>
          <w:szCs w:val="24"/>
        </w:rPr>
      </w:pPr>
      <w:r>
        <w:rPr>
          <w:rStyle w:val="19"/>
          <w:rFonts w:hint="eastAsia" w:ascii="楷体" w:hAnsi="楷体" w:eastAsia="楷体" w:cs="楷体"/>
          <w:color w:val="000000"/>
          <w:sz w:val="24"/>
          <w:szCs w:val="24"/>
          <w:lang w:eastAsia="zh-CN"/>
        </w:rPr>
        <w:t>河南省地方金融监督管理局文件</w:t>
      </w:r>
      <w:r>
        <w:rPr>
          <w:rStyle w:val="19"/>
          <w:rFonts w:hint="eastAsia" w:ascii="楷体" w:hAnsi="楷体" w:eastAsia="楷体" w:cs="楷体"/>
          <w:color w:val="000000"/>
          <w:sz w:val="24"/>
          <w:szCs w:val="24"/>
          <w:lang w:val="en-US" w:eastAsia="zh-CN"/>
        </w:rPr>
        <w:t xml:space="preserve"> </w:t>
      </w:r>
      <w:r>
        <w:rPr>
          <w:rStyle w:val="19"/>
          <w:rFonts w:hint="eastAsia" w:ascii="楷体" w:hAnsi="楷体" w:eastAsia="楷体" w:cs="楷体"/>
          <w:color w:val="000000"/>
          <w:sz w:val="24"/>
          <w:szCs w:val="24"/>
          <w:lang w:eastAsia="zh-CN"/>
        </w:rPr>
        <w:t>豫金发</w:t>
      </w:r>
      <w:r>
        <w:rPr>
          <w:rStyle w:val="19"/>
          <w:rFonts w:hint="eastAsia" w:ascii="楷体" w:hAnsi="楷体" w:eastAsia="楷体" w:cs="楷体"/>
          <w:color w:val="000000"/>
          <w:sz w:val="24"/>
          <w:szCs w:val="24"/>
        </w:rPr>
        <w:t>〔20</w:t>
      </w:r>
      <w:r>
        <w:rPr>
          <w:rStyle w:val="19"/>
          <w:rFonts w:hint="eastAsia" w:ascii="楷体" w:hAnsi="楷体" w:eastAsia="楷体" w:cs="楷体"/>
          <w:color w:val="000000"/>
          <w:sz w:val="24"/>
          <w:szCs w:val="24"/>
          <w:lang w:val="en-US" w:eastAsia="zh-CN"/>
        </w:rPr>
        <w:t>19</w:t>
      </w:r>
      <w:r>
        <w:rPr>
          <w:rStyle w:val="19"/>
          <w:rFonts w:hint="eastAsia" w:ascii="楷体" w:hAnsi="楷体" w:eastAsia="楷体" w:cs="楷体"/>
          <w:color w:val="000000"/>
          <w:sz w:val="24"/>
          <w:szCs w:val="24"/>
        </w:rPr>
        <w:t>〕</w:t>
      </w:r>
      <w:r>
        <w:rPr>
          <w:rStyle w:val="19"/>
          <w:rFonts w:hint="eastAsia" w:ascii="楷体" w:hAnsi="楷体" w:eastAsia="楷体" w:cs="楷体"/>
          <w:color w:val="000000"/>
          <w:sz w:val="24"/>
          <w:szCs w:val="24"/>
          <w:lang w:val="en-US" w:eastAsia="zh-CN"/>
        </w:rPr>
        <w:t>200</w:t>
      </w:r>
      <w:r>
        <w:rPr>
          <w:rStyle w:val="19"/>
          <w:rFonts w:hint="eastAsia" w:ascii="楷体" w:hAnsi="楷体" w:eastAsia="楷体" w:cs="楷体"/>
          <w:color w:val="000000"/>
          <w:sz w:val="24"/>
          <w:szCs w:val="24"/>
        </w:rPr>
        <w:t>号</w:t>
      </w:r>
    </w:p>
    <w:p>
      <w:pPr>
        <w:keepNext/>
        <w:keepLines/>
        <w:spacing w:line="560" w:lineRule="exact"/>
        <w:ind w:firstLine="480" w:firstLineChars="200"/>
        <w:jc w:val="center"/>
        <w:rPr>
          <w:rFonts w:hint="eastAsia" w:ascii="仿宋" w:hAnsi="仿宋" w:eastAsia="仿宋" w:cs="宋体"/>
          <w:kern w:val="0"/>
          <w:sz w:val="32"/>
          <w:szCs w:val="32"/>
        </w:rPr>
      </w:pPr>
      <w:r>
        <w:rPr>
          <w:rStyle w:val="19"/>
          <w:rFonts w:hint="eastAsia" w:ascii="楷体" w:hAnsi="楷体" w:eastAsia="楷体" w:cs="楷体"/>
          <w:color w:val="000000"/>
          <w:sz w:val="24"/>
          <w:szCs w:val="24"/>
        </w:rPr>
        <w:t>20</w:t>
      </w:r>
      <w:r>
        <w:rPr>
          <w:rStyle w:val="19"/>
          <w:rFonts w:hint="eastAsia" w:ascii="楷体" w:hAnsi="楷体" w:eastAsia="楷体" w:cs="楷体"/>
          <w:color w:val="000000"/>
          <w:sz w:val="24"/>
          <w:szCs w:val="24"/>
          <w:lang w:val="en-US" w:eastAsia="zh-CN"/>
        </w:rPr>
        <w:t>19</w:t>
      </w:r>
      <w:r>
        <w:rPr>
          <w:rStyle w:val="19"/>
          <w:rFonts w:hint="eastAsia" w:ascii="楷体" w:hAnsi="楷体" w:eastAsia="楷体" w:cs="楷体"/>
          <w:color w:val="000000"/>
          <w:sz w:val="24"/>
          <w:szCs w:val="24"/>
        </w:rPr>
        <w:t>年</w:t>
      </w:r>
      <w:r>
        <w:rPr>
          <w:rStyle w:val="19"/>
          <w:rFonts w:hint="eastAsia" w:ascii="楷体" w:hAnsi="楷体" w:eastAsia="楷体" w:cs="楷体"/>
          <w:color w:val="000000"/>
          <w:sz w:val="24"/>
          <w:szCs w:val="24"/>
          <w:lang w:val="en-US" w:eastAsia="zh-CN"/>
        </w:rPr>
        <w:t>8</w:t>
      </w:r>
      <w:r>
        <w:rPr>
          <w:rStyle w:val="19"/>
          <w:rFonts w:hint="eastAsia" w:ascii="楷体" w:hAnsi="楷体" w:eastAsia="楷体" w:cs="楷体"/>
          <w:color w:val="000000"/>
          <w:sz w:val="24"/>
          <w:szCs w:val="24"/>
        </w:rPr>
        <w:t>月</w:t>
      </w:r>
      <w:r>
        <w:rPr>
          <w:rStyle w:val="19"/>
          <w:rFonts w:hint="eastAsia" w:ascii="楷体" w:hAnsi="楷体" w:eastAsia="楷体" w:cs="楷体"/>
          <w:color w:val="000000"/>
          <w:sz w:val="24"/>
          <w:szCs w:val="24"/>
          <w:lang w:val="en-US" w:eastAsia="zh-CN"/>
        </w:rPr>
        <w:t>19</w:t>
      </w:r>
      <w:r>
        <w:rPr>
          <w:rStyle w:val="19"/>
          <w:rFonts w:hint="eastAsia" w:ascii="楷体" w:hAnsi="楷体" w:eastAsia="楷体" w:cs="楷体"/>
          <w:color w:val="000000"/>
          <w:sz w:val="24"/>
          <w:szCs w:val="24"/>
        </w:rPr>
        <w:t>日印发</w:t>
      </w:r>
    </w:p>
    <w:p>
      <w:pPr>
        <w:ind w:firstLine="640" w:firstLineChars="200"/>
        <w:rPr>
          <w:rFonts w:ascii="仿宋" w:hAnsi="仿宋" w:eastAsia="仿宋" w:cs="宋体"/>
          <w:kern w:val="0"/>
          <w:sz w:val="32"/>
          <w:szCs w:val="32"/>
        </w:rPr>
      </w:pPr>
      <w:r>
        <w:rPr>
          <w:rFonts w:hint="eastAsia" w:ascii="仿宋" w:hAnsi="仿宋" w:eastAsia="仿宋" w:cs="宋体"/>
          <w:kern w:val="0"/>
          <w:sz w:val="32"/>
          <w:szCs w:val="32"/>
        </w:rPr>
        <w:t>为规范河南省融资担保公司的变更审批工作，</w:t>
      </w:r>
      <w:r>
        <w:rPr>
          <w:rFonts w:hint="eastAsia" w:ascii="仿宋" w:hAnsi="仿宋" w:eastAsia="仿宋"/>
          <w:sz w:val="32"/>
          <w:szCs w:val="32"/>
        </w:rPr>
        <w:t>落实国家和省委、省政府“放管服”的决策部署，提高融资担保公司变更审查和审批效率,根据《融资担保公司监督管理条例》(以下简称《条例》)等有关法律、法规、规章和规范性文件,制定本指引。</w:t>
      </w:r>
    </w:p>
    <w:p>
      <w:pPr>
        <w:ind w:firstLine="640" w:firstLineChars="200"/>
        <w:rPr>
          <w:rFonts w:ascii="黑体" w:hAnsi="黑体" w:eastAsia="黑体"/>
          <w:sz w:val="32"/>
          <w:szCs w:val="32"/>
        </w:rPr>
      </w:pPr>
      <w:r>
        <w:rPr>
          <w:rFonts w:hint="eastAsia" w:ascii="黑体" w:hAnsi="黑体" w:eastAsia="黑体"/>
          <w:sz w:val="32"/>
          <w:szCs w:val="32"/>
        </w:rPr>
        <w:t>一、变更要求</w:t>
      </w:r>
    </w:p>
    <w:p>
      <w:pPr>
        <w:ind w:firstLine="640" w:firstLineChars="200"/>
        <w:rPr>
          <w:rFonts w:ascii="仿宋" w:hAnsi="仿宋" w:eastAsia="仿宋"/>
          <w:sz w:val="32"/>
          <w:szCs w:val="32"/>
        </w:rPr>
      </w:pPr>
      <w:r>
        <w:rPr>
          <w:rFonts w:hint="eastAsia" w:ascii="仿宋" w:hAnsi="仿宋" w:eastAsia="仿宋"/>
          <w:sz w:val="32"/>
          <w:szCs w:val="32"/>
        </w:rPr>
        <w:t>河南省境内取得《融资担保业务经营许可证》的融资担保公司，在日常经营中出现《条例》第九条“融资担保公司合并、分立或者减少注册资本”情形的，应当逐级向金融局提出申请，经省地方金融监管局批准后，方可实施。申请变更时还须满足以下监管要求：</w:t>
      </w:r>
    </w:p>
    <w:p>
      <w:pPr>
        <w:ind w:firstLine="640" w:firstLineChars="200"/>
        <w:rPr>
          <w:rFonts w:ascii="楷体" w:hAnsi="楷体" w:eastAsia="楷体"/>
          <w:sz w:val="32"/>
          <w:szCs w:val="32"/>
        </w:rPr>
      </w:pPr>
      <w:r>
        <w:rPr>
          <w:rFonts w:hint="eastAsia" w:ascii="楷体" w:hAnsi="楷体" w:eastAsia="楷体"/>
          <w:sz w:val="32"/>
          <w:szCs w:val="32"/>
        </w:rPr>
        <w:t>（一）融资担保公司变更——合并</w:t>
      </w:r>
    </w:p>
    <w:p>
      <w:pPr>
        <w:ind w:firstLine="640" w:firstLineChars="200"/>
        <w:rPr>
          <w:rFonts w:ascii="仿宋" w:hAnsi="仿宋" w:eastAsia="仿宋" w:cs="宋体"/>
          <w:sz w:val="32"/>
          <w:szCs w:val="32"/>
        </w:rPr>
      </w:pPr>
      <w:r>
        <w:rPr>
          <w:rFonts w:hint="eastAsia" w:ascii="仿宋" w:hAnsi="仿宋" w:eastAsia="仿宋"/>
          <w:sz w:val="32"/>
          <w:szCs w:val="32"/>
        </w:rPr>
        <w:t>1.吸收合并或新设合并后的融资担保公司注册资本不得低于新设立融资担保公司的标准：即</w:t>
      </w:r>
      <w:r>
        <w:rPr>
          <w:rFonts w:hint="eastAsia" w:ascii="仿宋" w:hAnsi="仿宋" w:eastAsia="仿宋" w:cs="宋体"/>
          <w:sz w:val="32"/>
          <w:szCs w:val="32"/>
        </w:rPr>
        <w:t>在国家级贫困县的不低于人民币1亿元，在省级贫困县的不低于人民币1.5亿元，在其他县（市）不低于人民币2亿元，在省辖市各区的不低于人民币3亿元。专业性的农业信贷融资担保公司</w:t>
      </w:r>
      <w:r>
        <w:rPr>
          <w:rFonts w:ascii="仿宋" w:hAnsi="仿宋" w:eastAsia="仿宋" w:cs="宋体"/>
          <w:sz w:val="32"/>
          <w:szCs w:val="32"/>
        </w:rPr>
        <w:t>注册资本不低于</w:t>
      </w:r>
      <w:r>
        <w:rPr>
          <w:rFonts w:hint="eastAsia" w:ascii="仿宋" w:hAnsi="仿宋" w:eastAsia="仿宋" w:cs="宋体"/>
          <w:sz w:val="32"/>
          <w:szCs w:val="32"/>
        </w:rPr>
        <w:t>人民币</w:t>
      </w:r>
      <w:r>
        <w:rPr>
          <w:rFonts w:ascii="仿宋" w:hAnsi="仿宋" w:eastAsia="仿宋" w:cs="宋体"/>
          <w:sz w:val="32"/>
          <w:szCs w:val="32"/>
        </w:rPr>
        <w:t>1亿元</w:t>
      </w:r>
      <w:r>
        <w:rPr>
          <w:rFonts w:hint="eastAsia" w:ascii="仿宋" w:hAnsi="仿宋" w:eastAsia="仿宋" w:cs="宋体"/>
          <w:sz w:val="32"/>
          <w:szCs w:val="32"/>
        </w:rPr>
        <w:t>，</w:t>
      </w:r>
      <w:r>
        <w:rPr>
          <w:rFonts w:ascii="仿宋" w:hAnsi="仿宋" w:eastAsia="仿宋" w:cs="宋体"/>
          <w:sz w:val="32"/>
          <w:szCs w:val="32"/>
        </w:rPr>
        <w:t>其中财政性资金不得低于注册资本的80%</w:t>
      </w:r>
      <w:r>
        <w:rPr>
          <w:rFonts w:hint="eastAsia" w:ascii="仿宋" w:hAnsi="仿宋" w:eastAsia="仿宋" w:cs="宋体"/>
          <w:sz w:val="32"/>
          <w:szCs w:val="32"/>
        </w:rPr>
        <w:t>。</w:t>
      </w:r>
    </w:p>
    <w:p>
      <w:pPr>
        <w:ind w:firstLine="640" w:firstLineChars="200"/>
        <w:rPr>
          <w:rFonts w:ascii="仿宋" w:hAnsi="仿宋" w:eastAsia="仿宋"/>
          <w:sz w:val="32"/>
          <w:szCs w:val="32"/>
        </w:rPr>
      </w:pPr>
      <w:r>
        <w:rPr>
          <w:rFonts w:hint="eastAsia" w:ascii="仿宋" w:hAnsi="仿宋" w:eastAsia="仿宋" w:cs="宋体"/>
          <w:sz w:val="32"/>
          <w:szCs w:val="32"/>
        </w:rPr>
        <w:t>2.</w:t>
      </w:r>
      <w:r>
        <w:rPr>
          <w:rFonts w:hint="eastAsia" w:ascii="仿宋" w:hAnsi="仿宋" w:eastAsia="仿宋"/>
          <w:sz w:val="32"/>
          <w:szCs w:val="32"/>
        </w:rPr>
        <w:t>吸收合并或新设合并后的融资担保公司名称须由四部分组成，即行政区划、字号、行业、组织形式。其中行业仅为“融资担保”，专业性农业信贷担保公司，行业名称中应备注为“融资担保（农业信贷）。</w:t>
      </w:r>
    </w:p>
    <w:p>
      <w:pPr>
        <w:ind w:firstLine="640" w:firstLineChars="200"/>
        <w:rPr>
          <w:rFonts w:ascii="仿宋" w:hAnsi="仿宋" w:eastAsia="仿宋"/>
          <w:sz w:val="32"/>
          <w:szCs w:val="32"/>
        </w:rPr>
      </w:pPr>
      <w:r>
        <w:rPr>
          <w:rFonts w:hint="eastAsia" w:ascii="仿宋" w:hAnsi="仿宋" w:eastAsia="仿宋"/>
          <w:sz w:val="32"/>
          <w:szCs w:val="32"/>
        </w:rPr>
        <w:t>3.合并各方的债权债务由合并后的公司完全承担。</w:t>
      </w:r>
    </w:p>
    <w:p>
      <w:pPr>
        <w:ind w:firstLine="643"/>
        <w:rPr>
          <w:rFonts w:ascii="仿宋" w:hAnsi="仿宋" w:eastAsia="仿宋"/>
          <w:sz w:val="32"/>
          <w:szCs w:val="32"/>
        </w:rPr>
      </w:pPr>
      <w:r>
        <w:rPr>
          <w:rFonts w:hint="eastAsia" w:ascii="仿宋" w:hAnsi="仿宋" w:eastAsia="仿宋"/>
          <w:sz w:val="32"/>
          <w:szCs w:val="32"/>
        </w:rPr>
        <w:t>4.实行吸收合并的，公司合并完成后，由吸收方按照退出程序，负责被吸收方的退出登记及其《融资担保业务经营许可证》的注销工作。</w:t>
      </w:r>
    </w:p>
    <w:p>
      <w:pPr>
        <w:ind w:firstLine="643"/>
        <w:rPr>
          <w:rFonts w:ascii="仿宋" w:hAnsi="仿宋" w:eastAsia="仿宋"/>
          <w:sz w:val="32"/>
          <w:szCs w:val="32"/>
        </w:rPr>
      </w:pPr>
      <w:r>
        <w:rPr>
          <w:rFonts w:hint="eastAsia" w:ascii="仿宋" w:hAnsi="仿宋" w:eastAsia="仿宋"/>
          <w:sz w:val="32"/>
          <w:szCs w:val="32"/>
        </w:rPr>
        <w:t>5.实行新设合并的，公司合并完成后，由新公司负责按照退出程序，负责合并各方的退出登记及其《融资担保业务经营许可证》的注销工作。</w:t>
      </w:r>
    </w:p>
    <w:p>
      <w:pPr>
        <w:ind w:firstLine="640" w:firstLineChars="200"/>
        <w:rPr>
          <w:rFonts w:ascii="楷体" w:hAnsi="楷体" w:eastAsia="楷体"/>
          <w:sz w:val="32"/>
          <w:szCs w:val="32"/>
        </w:rPr>
      </w:pPr>
      <w:r>
        <w:rPr>
          <w:rFonts w:hint="eastAsia" w:ascii="楷体" w:hAnsi="楷体" w:eastAsia="楷体"/>
          <w:sz w:val="32"/>
          <w:szCs w:val="32"/>
        </w:rPr>
        <w:t>（二）融资担保公司变更——分立</w:t>
      </w:r>
    </w:p>
    <w:p>
      <w:pPr>
        <w:ind w:firstLine="640" w:firstLineChars="200"/>
        <w:rPr>
          <w:rFonts w:ascii="仿宋" w:hAnsi="仿宋" w:eastAsia="仿宋" w:cs="宋体"/>
          <w:sz w:val="32"/>
          <w:szCs w:val="32"/>
        </w:rPr>
      </w:pPr>
      <w:r>
        <w:rPr>
          <w:rFonts w:hint="eastAsia" w:ascii="仿宋" w:hAnsi="仿宋" w:eastAsia="仿宋"/>
          <w:sz w:val="32"/>
          <w:szCs w:val="32"/>
        </w:rPr>
        <w:t>1.分立后的各融资担保公司注册资本不得低于新设立融资担保公司的标准：即</w:t>
      </w:r>
      <w:r>
        <w:rPr>
          <w:rFonts w:hint="eastAsia" w:ascii="仿宋" w:hAnsi="仿宋" w:eastAsia="仿宋" w:cs="宋体"/>
          <w:sz w:val="32"/>
          <w:szCs w:val="32"/>
        </w:rPr>
        <w:t>在国家级贫困县的不低于人民币1亿元，在省级贫困县的不低于人民币1.5亿元，在其他县（市）不低于人民币2亿元，在省辖市各区的不低于人民币3亿元。专业性的农业信贷融资担保公司</w:t>
      </w:r>
      <w:r>
        <w:rPr>
          <w:rFonts w:ascii="仿宋" w:hAnsi="仿宋" w:eastAsia="仿宋" w:cs="宋体"/>
          <w:sz w:val="32"/>
          <w:szCs w:val="32"/>
        </w:rPr>
        <w:t>注册资本不低于</w:t>
      </w:r>
      <w:r>
        <w:rPr>
          <w:rFonts w:hint="eastAsia" w:ascii="仿宋" w:hAnsi="仿宋" w:eastAsia="仿宋" w:cs="宋体"/>
          <w:sz w:val="32"/>
          <w:szCs w:val="32"/>
        </w:rPr>
        <w:t>人民币</w:t>
      </w:r>
      <w:r>
        <w:rPr>
          <w:rFonts w:ascii="仿宋" w:hAnsi="仿宋" w:eastAsia="仿宋" w:cs="宋体"/>
          <w:sz w:val="32"/>
          <w:szCs w:val="32"/>
        </w:rPr>
        <w:t>1亿元</w:t>
      </w:r>
      <w:r>
        <w:rPr>
          <w:rFonts w:hint="eastAsia" w:ascii="仿宋" w:hAnsi="仿宋" w:eastAsia="仿宋" w:cs="宋体"/>
          <w:sz w:val="32"/>
          <w:szCs w:val="32"/>
        </w:rPr>
        <w:t>，</w:t>
      </w:r>
      <w:r>
        <w:rPr>
          <w:rFonts w:ascii="仿宋" w:hAnsi="仿宋" w:eastAsia="仿宋" w:cs="宋体"/>
          <w:sz w:val="32"/>
          <w:szCs w:val="32"/>
        </w:rPr>
        <w:t>其中财政性资金不得低于注册资本的80%</w:t>
      </w:r>
      <w:r>
        <w:rPr>
          <w:rFonts w:hint="eastAsia" w:ascii="仿宋" w:hAnsi="仿宋" w:eastAsia="仿宋" w:cs="宋体"/>
          <w:sz w:val="32"/>
          <w:szCs w:val="32"/>
        </w:rPr>
        <w:t>。</w:t>
      </w:r>
    </w:p>
    <w:p>
      <w:pPr>
        <w:ind w:firstLine="640" w:firstLineChars="200"/>
        <w:rPr>
          <w:rFonts w:ascii="仿宋" w:hAnsi="仿宋" w:eastAsia="仿宋"/>
          <w:sz w:val="32"/>
          <w:szCs w:val="32"/>
        </w:rPr>
      </w:pPr>
      <w:r>
        <w:rPr>
          <w:rFonts w:hint="eastAsia" w:ascii="仿宋" w:hAnsi="仿宋" w:eastAsia="仿宋" w:cs="宋体"/>
          <w:sz w:val="32"/>
          <w:szCs w:val="32"/>
        </w:rPr>
        <w:t>2.</w:t>
      </w:r>
      <w:r>
        <w:rPr>
          <w:rFonts w:hint="eastAsia" w:ascii="仿宋" w:hAnsi="仿宋" w:eastAsia="仿宋"/>
          <w:sz w:val="32"/>
          <w:szCs w:val="32"/>
        </w:rPr>
        <w:t>分立后的各融资担保公司名称须由四部分组成，即行政区划、字号、行业、组织形式。其中行业仅为“融资担保”，专业性农业信贷担保公司，行业名称中应备注为“融资担保（农业信贷）。</w:t>
      </w:r>
    </w:p>
    <w:p>
      <w:pPr>
        <w:ind w:firstLine="640" w:firstLineChars="200"/>
        <w:rPr>
          <w:rFonts w:ascii="仿宋" w:hAnsi="仿宋" w:eastAsia="仿宋"/>
          <w:sz w:val="32"/>
          <w:szCs w:val="32"/>
        </w:rPr>
      </w:pPr>
      <w:r>
        <w:rPr>
          <w:rFonts w:hint="eastAsia" w:ascii="仿宋" w:hAnsi="仿宋" w:eastAsia="仿宋"/>
          <w:sz w:val="32"/>
          <w:szCs w:val="32"/>
        </w:rPr>
        <w:t>3.公司分立后，由分立各方按照公司决议规定的份额分割公司财产，并按照公司分立前与债权人达成的清偿协议承担债务。公司若没有与债权人达成清偿协议就分立的，由分立后的公司对分立前的债务承担连带责任，以保障交易安全和债权人的合法权益。</w:t>
      </w:r>
    </w:p>
    <w:p>
      <w:pPr>
        <w:ind w:firstLine="640" w:firstLineChars="200"/>
        <w:rPr>
          <w:rFonts w:ascii="仿宋" w:hAnsi="仿宋" w:eastAsia="仿宋"/>
          <w:sz w:val="32"/>
          <w:szCs w:val="32"/>
        </w:rPr>
      </w:pPr>
      <w:r>
        <w:rPr>
          <w:rFonts w:hint="eastAsia" w:ascii="仿宋" w:hAnsi="仿宋" w:eastAsia="仿宋"/>
          <w:sz w:val="32"/>
          <w:szCs w:val="32"/>
        </w:rPr>
        <w:t>4.公司分立后，登记事项发生变更的，应当依法向公司登记机关办理变更登记;公司解散的，应当依法办理公司注销登记。设立新公司的，应当依法办理公司设立登记。</w:t>
      </w:r>
    </w:p>
    <w:p>
      <w:pPr>
        <w:ind w:firstLine="640" w:firstLineChars="200"/>
        <w:rPr>
          <w:rFonts w:ascii="仿宋" w:hAnsi="仿宋" w:eastAsia="仿宋"/>
          <w:sz w:val="32"/>
          <w:szCs w:val="32"/>
        </w:rPr>
      </w:pPr>
      <w:r>
        <w:rPr>
          <w:rFonts w:hint="eastAsia" w:ascii="仿宋" w:hAnsi="仿宋" w:eastAsia="仿宋"/>
          <w:sz w:val="32"/>
          <w:szCs w:val="32"/>
        </w:rPr>
        <w:t>5.实行</w:t>
      </w:r>
      <w:r>
        <w:rPr>
          <w:rFonts w:ascii="仿宋" w:hAnsi="仿宋" w:eastAsia="仿宋"/>
          <w:sz w:val="32"/>
          <w:szCs w:val="32"/>
        </w:rPr>
        <w:t>新设分立</w:t>
      </w:r>
      <w:r>
        <w:rPr>
          <w:rFonts w:hint="eastAsia" w:ascii="仿宋" w:hAnsi="仿宋" w:eastAsia="仿宋"/>
          <w:sz w:val="32"/>
          <w:szCs w:val="32"/>
        </w:rPr>
        <w:t>（</w:t>
      </w:r>
      <w:r>
        <w:rPr>
          <w:rFonts w:ascii="仿宋" w:hAnsi="仿宋" w:eastAsia="仿宋"/>
          <w:sz w:val="32"/>
          <w:szCs w:val="32"/>
        </w:rPr>
        <w:t>解散分立</w:t>
      </w:r>
      <w:r>
        <w:rPr>
          <w:rFonts w:hint="eastAsia" w:ascii="仿宋" w:hAnsi="仿宋" w:eastAsia="仿宋"/>
          <w:sz w:val="32"/>
          <w:szCs w:val="32"/>
        </w:rPr>
        <w:t>）的，</w:t>
      </w:r>
      <w:r>
        <w:rPr>
          <w:rFonts w:ascii="仿宋" w:hAnsi="仿宋" w:eastAsia="仿宋"/>
          <w:sz w:val="32"/>
          <w:szCs w:val="32"/>
        </w:rPr>
        <w:t>解散原公司，原公司的财产重新分配组合</w:t>
      </w:r>
      <w:r>
        <w:rPr>
          <w:rFonts w:hint="eastAsia" w:ascii="仿宋" w:hAnsi="仿宋" w:eastAsia="仿宋"/>
          <w:sz w:val="32"/>
          <w:szCs w:val="32"/>
        </w:rPr>
        <w:t>后，按照《河南省融资担保公司设立审批工作指引(2019年修订版)》的规定重新组建新公司</w:t>
      </w:r>
      <w:r>
        <w:rPr>
          <w:rFonts w:ascii="仿宋" w:hAnsi="仿宋" w:eastAsia="仿宋"/>
          <w:sz w:val="32"/>
          <w:szCs w:val="32"/>
        </w:rPr>
        <w:t>。同时原</w:t>
      </w:r>
      <w:r>
        <w:fldChar w:fldCharType="begin"/>
      </w:r>
      <w:r>
        <w:instrText xml:space="preserve"> HYPERLINK "https://baike.baidu.com/item/%E5%85%AC%E5%8F%B8%E8%A7%A3%E6%95%A3" \t "_blank" </w:instrText>
      </w:r>
      <w:r>
        <w:fldChar w:fldCharType="separate"/>
      </w:r>
      <w:r>
        <w:rPr>
          <w:rFonts w:ascii="仿宋" w:hAnsi="仿宋" w:eastAsia="仿宋"/>
          <w:sz w:val="32"/>
          <w:szCs w:val="32"/>
        </w:rPr>
        <w:t>公司</w:t>
      </w:r>
      <w:r>
        <w:rPr>
          <w:rFonts w:ascii="仿宋" w:hAnsi="仿宋" w:eastAsia="仿宋"/>
          <w:sz w:val="32"/>
          <w:szCs w:val="32"/>
        </w:rPr>
        <w:fldChar w:fldCharType="end"/>
      </w:r>
      <w:r>
        <w:rPr>
          <w:rFonts w:hint="eastAsia" w:ascii="仿宋" w:hAnsi="仿宋" w:eastAsia="仿宋"/>
          <w:sz w:val="32"/>
          <w:szCs w:val="32"/>
        </w:rPr>
        <w:t>的</w:t>
      </w:r>
      <w:r>
        <w:fldChar w:fldCharType="begin"/>
      </w:r>
      <w:r>
        <w:instrText xml:space="preserve"> HYPERLINK "https://baike.baidu.com/item/%E5%80%BA%E6%9D%83" \t "_blank" </w:instrText>
      </w:r>
      <w:r>
        <w:fldChar w:fldCharType="separate"/>
      </w:r>
      <w:r>
        <w:rPr>
          <w:rFonts w:ascii="仿宋" w:hAnsi="仿宋" w:eastAsia="仿宋"/>
          <w:sz w:val="32"/>
          <w:szCs w:val="32"/>
        </w:rPr>
        <w:t>债权</w:t>
      </w:r>
      <w:r>
        <w:rPr>
          <w:rFonts w:ascii="仿宋" w:hAnsi="仿宋" w:eastAsia="仿宋"/>
          <w:sz w:val="32"/>
          <w:szCs w:val="32"/>
        </w:rPr>
        <w:fldChar w:fldCharType="end"/>
      </w:r>
      <w:r>
        <w:rPr>
          <w:rFonts w:ascii="仿宋" w:hAnsi="仿宋" w:eastAsia="仿宋"/>
          <w:sz w:val="32"/>
          <w:szCs w:val="32"/>
        </w:rPr>
        <w:t>、债务由新设立的公司分别承受。</w:t>
      </w:r>
    </w:p>
    <w:p>
      <w:pPr>
        <w:ind w:firstLine="640" w:firstLineChars="200"/>
        <w:rPr>
          <w:rFonts w:ascii="仿宋" w:hAnsi="仿宋" w:eastAsia="仿宋"/>
          <w:sz w:val="32"/>
          <w:szCs w:val="32"/>
        </w:rPr>
      </w:pPr>
      <w:r>
        <w:rPr>
          <w:rFonts w:hint="eastAsia" w:ascii="仿宋" w:hAnsi="仿宋" w:eastAsia="仿宋"/>
          <w:sz w:val="32"/>
          <w:szCs w:val="32"/>
        </w:rPr>
        <w:t>6.实行</w:t>
      </w:r>
      <w:r>
        <w:rPr>
          <w:rFonts w:ascii="仿宋" w:hAnsi="仿宋" w:eastAsia="仿宋"/>
          <w:sz w:val="32"/>
          <w:szCs w:val="32"/>
        </w:rPr>
        <w:t>派生分立</w:t>
      </w:r>
      <w:r>
        <w:rPr>
          <w:rFonts w:hint="eastAsia" w:ascii="仿宋" w:hAnsi="仿宋" w:eastAsia="仿宋"/>
          <w:sz w:val="32"/>
          <w:szCs w:val="32"/>
        </w:rPr>
        <w:t>（</w:t>
      </w:r>
      <w:r>
        <w:fldChar w:fldCharType="begin"/>
      </w:r>
      <w:r>
        <w:instrText xml:space="preserve"> HYPERLINK "https://baike.baidu.com/item/%E5%AD%98%E7%BB%AD%E5%88%86%E7%AB%8B" \t "_blank" </w:instrText>
      </w:r>
      <w:r>
        <w:fldChar w:fldCharType="separate"/>
      </w:r>
      <w:r>
        <w:rPr>
          <w:rFonts w:ascii="仿宋" w:hAnsi="仿宋" w:eastAsia="仿宋"/>
          <w:sz w:val="32"/>
          <w:szCs w:val="32"/>
        </w:rPr>
        <w:t>存续分立</w:t>
      </w:r>
      <w:r>
        <w:rPr>
          <w:rFonts w:ascii="仿宋" w:hAnsi="仿宋" w:eastAsia="仿宋"/>
          <w:sz w:val="32"/>
          <w:szCs w:val="32"/>
        </w:rPr>
        <w:fldChar w:fldCharType="end"/>
      </w:r>
      <w:r>
        <w:rPr>
          <w:rFonts w:hint="eastAsia" w:ascii="仿宋" w:hAnsi="仿宋" w:eastAsia="仿宋"/>
          <w:sz w:val="32"/>
          <w:szCs w:val="32"/>
        </w:rPr>
        <w:t>）的，</w:t>
      </w:r>
      <w:r>
        <w:rPr>
          <w:rFonts w:ascii="仿宋" w:hAnsi="仿宋" w:eastAsia="仿宋"/>
          <w:sz w:val="32"/>
          <w:szCs w:val="32"/>
        </w:rPr>
        <w:t>原公司继续存在，</w:t>
      </w:r>
      <w:r>
        <w:rPr>
          <w:rFonts w:hint="eastAsia" w:ascii="仿宋" w:hAnsi="仿宋" w:eastAsia="仿宋"/>
          <w:sz w:val="32"/>
          <w:szCs w:val="32"/>
        </w:rPr>
        <w:t>并继承其原《融资担保业务经营许可证》，</w:t>
      </w:r>
      <w:r>
        <w:rPr>
          <w:rFonts w:ascii="仿宋" w:hAnsi="仿宋" w:eastAsia="仿宋"/>
          <w:sz w:val="32"/>
          <w:szCs w:val="32"/>
        </w:rPr>
        <w:t>原公司的债权债务可由原公司与新公司分别承担，也可按协议由原公司独立承担。</w:t>
      </w:r>
      <w:r>
        <w:rPr>
          <w:rFonts w:hint="eastAsia" w:ascii="仿宋" w:hAnsi="仿宋" w:eastAsia="仿宋"/>
          <w:sz w:val="32"/>
          <w:szCs w:val="32"/>
        </w:rPr>
        <w:t>其他分立出的新公司若有意愿继续从事融资担保业务的，须按照《河南省融资担保公司设立审批工作指引(2019年修订版)》的规定重新组建新公司。</w:t>
      </w:r>
    </w:p>
    <w:p>
      <w:pPr>
        <w:ind w:firstLine="640" w:firstLineChars="200"/>
        <w:rPr>
          <w:rFonts w:ascii="楷体" w:hAnsi="楷体" w:eastAsia="楷体"/>
          <w:sz w:val="32"/>
          <w:szCs w:val="32"/>
        </w:rPr>
      </w:pPr>
      <w:r>
        <w:rPr>
          <w:rFonts w:hint="eastAsia" w:ascii="楷体" w:hAnsi="楷体" w:eastAsia="楷体"/>
          <w:sz w:val="32"/>
          <w:szCs w:val="32"/>
        </w:rPr>
        <w:t>（三）融资担保公司变更——减少注册资本</w:t>
      </w:r>
    </w:p>
    <w:p>
      <w:pPr>
        <w:ind w:firstLine="640" w:firstLineChars="200"/>
        <w:rPr>
          <w:rFonts w:ascii="仿宋" w:hAnsi="仿宋" w:eastAsia="仿宋" w:cs="宋体"/>
          <w:sz w:val="32"/>
          <w:szCs w:val="32"/>
        </w:rPr>
      </w:pPr>
      <w:r>
        <w:rPr>
          <w:rFonts w:hint="eastAsia" w:ascii="仿宋" w:hAnsi="仿宋" w:eastAsia="仿宋"/>
          <w:sz w:val="32"/>
          <w:szCs w:val="32"/>
        </w:rPr>
        <w:t>减资后的融资担保公司注册资本不得低于新设立融资担保公司的标准：即</w:t>
      </w:r>
      <w:r>
        <w:rPr>
          <w:rFonts w:hint="eastAsia" w:ascii="仿宋" w:hAnsi="仿宋" w:eastAsia="仿宋" w:cs="宋体"/>
          <w:sz w:val="32"/>
          <w:szCs w:val="32"/>
        </w:rPr>
        <w:t>在国家级贫困县的不低于人民币1亿元，在省级贫困县的不低于人民币1.5亿元，在其他县（市）不低于人民币2亿元，在省辖市各区的不低于人民币3亿元。专业性的农业信贷融资担保公司</w:t>
      </w:r>
      <w:r>
        <w:rPr>
          <w:rFonts w:ascii="仿宋" w:hAnsi="仿宋" w:eastAsia="仿宋" w:cs="宋体"/>
          <w:sz w:val="32"/>
          <w:szCs w:val="32"/>
        </w:rPr>
        <w:t>注册资本不低于</w:t>
      </w:r>
      <w:r>
        <w:rPr>
          <w:rFonts w:hint="eastAsia" w:ascii="仿宋" w:hAnsi="仿宋" w:eastAsia="仿宋" w:cs="宋体"/>
          <w:sz w:val="32"/>
          <w:szCs w:val="32"/>
        </w:rPr>
        <w:t>人民币</w:t>
      </w:r>
      <w:r>
        <w:rPr>
          <w:rFonts w:ascii="仿宋" w:hAnsi="仿宋" w:eastAsia="仿宋" w:cs="宋体"/>
          <w:sz w:val="32"/>
          <w:szCs w:val="32"/>
        </w:rPr>
        <w:t>1亿元</w:t>
      </w:r>
      <w:r>
        <w:rPr>
          <w:rFonts w:hint="eastAsia" w:ascii="仿宋" w:hAnsi="仿宋" w:eastAsia="仿宋" w:cs="宋体"/>
          <w:sz w:val="32"/>
          <w:szCs w:val="32"/>
        </w:rPr>
        <w:t>，</w:t>
      </w:r>
      <w:r>
        <w:rPr>
          <w:rFonts w:ascii="仿宋" w:hAnsi="仿宋" w:eastAsia="仿宋" w:cs="宋体"/>
          <w:sz w:val="32"/>
          <w:szCs w:val="32"/>
        </w:rPr>
        <w:t>其中财政性资金不得低于注册资本的80%。</w:t>
      </w:r>
    </w:p>
    <w:p>
      <w:pPr>
        <w:ind w:firstLine="640" w:firstLineChars="200"/>
        <w:rPr>
          <w:rFonts w:ascii="黑体" w:hAnsi="黑体" w:eastAsia="黑体"/>
          <w:sz w:val="32"/>
          <w:szCs w:val="32"/>
        </w:rPr>
      </w:pPr>
      <w:r>
        <w:rPr>
          <w:rFonts w:hint="eastAsia" w:ascii="黑体" w:hAnsi="黑体" w:eastAsia="黑体"/>
          <w:sz w:val="32"/>
          <w:szCs w:val="32"/>
        </w:rPr>
        <w:t>二、材料清单</w:t>
      </w:r>
    </w:p>
    <w:p>
      <w:pPr>
        <w:ind w:firstLine="640" w:firstLineChars="200"/>
        <w:rPr>
          <w:rFonts w:ascii="楷体" w:hAnsi="楷体" w:eastAsia="楷体" w:cs="仿宋"/>
          <w:bCs/>
          <w:sz w:val="32"/>
          <w:szCs w:val="32"/>
        </w:rPr>
      </w:pPr>
      <w:r>
        <w:rPr>
          <w:rFonts w:hint="eastAsia" w:ascii="楷体" w:hAnsi="楷体" w:eastAsia="楷体" w:cs="仿宋"/>
          <w:bCs/>
          <w:sz w:val="32"/>
          <w:szCs w:val="32"/>
        </w:rPr>
        <w:t>（一）融资担保公司变更——合并需要提交的材料</w:t>
      </w:r>
    </w:p>
    <w:p>
      <w:pPr>
        <w:ind w:firstLine="640" w:firstLineChars="200"/>
        <w:rPr>
          <w:rFonts w:ascii="仿宋" w:hAnsi="仿宋" w:eastAsia="仿宋" w:cs="仿宋"/>
          <w:sz w:val="32"/>
          <w:szCs w:val="32"/>
        </w:rPr>
      </w:pPr>
      <w:r>
        <w:rPr>
          <w:rFonts w:hint="eastAsia" w:ascii="仿宋" w:hAnsi="仿宋" w:eastAsia="仿宋" w:cs="仿宋"/>
          <w:sz w:val="32"/>
          <w:szCs w:val="32"/>
        </w:rPr>
        <w:t>1.拟合并的各融资担保公司共同签署的合并请示（原件1份）；</w:t>
      </w:r>
    </w:p>
    <w:p>
      <w:pPr>
        <w:ind w:firstLine="664" w:firstLineChars="200"/>
        <w:rPr>
          <w:rFonts w:ascii="仿宋" w:hAnsi="仿宋" w:eastAsia="仿宋" w:cs="仿宋"/>
          <w:spacing w:val="6"/>
          <w:sz w:val="32"/>
          <w:szCs w:val="32"/>
        </w:rPr>
      </w:pPr>
      <w:r>
        <w:rPr>
          <w:rFonts w:hint="eastAsia" w:ascii="仿宋" w:hAnsi="仿宋" w:eastAsia="仿宋" w:cs="仿宋"/>
          <w:spacing w:val="6"/>
          <w:sz w:val="32"/>
          <w:szCs w:val="32"/>
        </w:rPr>
        <w:t>2.省辖市、省直管县(市)金融局</w:t>
      </w:r>
      <w:r>
        <w:rPr>
          <w:rFonts w:hint="eastAsia" w:ascii="仿宋" w:hAnsi="仿宋" w:eastAsia="仿宋"/>
          <w:sz w:val="32"/>
          <w:szCs w:val="32"/>
        </w:rPr>
        <w:t>或主发起人的省级主管单位关于</w:t>
      </w:r>
      <w:r>
        <w:rPr>
          <w:rFonts w:hint="eastAsia" w:ascii="仿宋" w:hAnsi="仿宋" w:eastAsia="仿宋" w:cs="仿宋"/>
          <w:spacing w:val="6"/>
          <w:sz w:val="32"/>
          <w:szCs w:val="32"/>
        </w:rPr>
        <w:t>合并</w:t>
      </w:r>
      <w:r>
        <w:rPr>
          <w:rFonts w:hint="eastAsia" w:ascii="仿宋" w:hAnsi="仿宋" w:eastAsia="仿宋"/>
          <w:sz w:val="32"/>
          <w:szCs w:val="32"/>
        </w:rPr>
        <w:t>的请示或函（原件1份）；</w:t>
      </w:r>
    </w:p>
    <w:p>
      <w:pPr>
        <w:ind w:firstLine="640" w:firstLineChars="200"/>
        <w:rPr>
          <w:rFonts w:ascii="仿宋" w:hAnsi="仿宋" w:eastAsia="仿宋" w:cs="仿宋"/>
          <w:sz w:val="32"/>
          <w:szCs w:val="32"/>
        </w:rPr>
      </w:pPr>
      <w:r>
        <w:rPr>
          <w:rFonts w:hint="eastAsia" w:ascii="仿宋" w:hAnsi="仿宋" w:eastAsia="仿宋" w:cs="仿宋"/>
          <w:sz w:val="32"/>
          <w:szCs w:val="32"/>
        </w:rPr>
        <w:t>3.拟合并的融资担保公司股东会、董事会（设董事会时提供）和监事会（设监事会时提供）的决议（原件1份）；</w:t>
      </w:r>
    </w:p>
    <w:p>
      <w:pPr>
        <w:ind w:firstLine="640" w:firstLineChars="200"/>
        <w:rPr>
          <w:rFonts w:ascii="仿宋" w:hAnsi="仿宋" w:eastAsia="仿宋" w:cs="仿宋"/>
          <w:sz w:val="32"/>
          <w:szCs w:val="32"/>
        </w:rPr>
      </w:pPr>
      <w:r>
        <w:rPr>
          <w:rFonts w:hint="eastAsia" w:ascii="仿宋" w:hAnsi="仿宋" w:eastAsia="仿宋" w:cs="仿宋"/>
          <w:sz w:val="32"/>
          <w:szCs w:val="32"/>
        </w:rPr>
        <w:t>4.合并合同或协议（原件1份）；</w:t>
      </w:r>
    </w:p>
    <w:p>
      <w:pPr>
        <w:ind w:firstLine="640" w:firstLineChars="200"/>
        <w:rPr>
          <w:rFonts w:ascii="仿宋" w:hAnsi="仿宋" w:eastAsia="仿宋" w:cs="仿宋"/>
          <w:sz w:val="32"/>
          <w:szCs w:val="32"/>
        </w:rPr>
      </w:pPr>
      <w:r>
        <w:rPr>
          <w:rFonts w:hint="eastAsia" w:ascii="仿宋" w:hAnsi="仿宋" w:eastAsia="仿宋" w:cs="仿宋"/>
          <w:sz w:val="32"/>
          <w:szCs w:val="32"/>
        </w:rPr>
        <w:t>5.合并后的融资担保公司章程（原件1份）；</w:t>
      </w:r>
    </w:p>
    <w:p>
      <w:pPr>
        <w:ind w:firstLine="640" w:firstLineChars="200"/>
        <w:rPr>
          <w:rFonts w:ascii="仿宋" w:hAnsi="仿宋" w:eastAsia="仿宋" w:cs="仿宋"/>
          <w:sz w:val="32"/>
          <w:szCs w:val="32"/>
        </w:rPr>
      </w:pPr>
      <w:r>
        <w:rPr>
          <w:rFonts w:hint="eastAsia" w:ascii="仿宋" w:hAnsi="仿宋" w:eastAsia="仿宋" w:cs="仿宋"/>
          <w:sz w:val="32"/>
          <w:szCs w:val="32"/>
        </w:rPr>
        <w:t>6.合并后融资担保公司名称发生改变的，提交市场监管部门核发的在有效期的《企业名称预先核准通知书》（复印件1份）；</w:t>
      </w:r>
    </w:p>
    <w:p>
      <w:pPr>
        <w:ind w:firstLine="640" w:firstLineChars="200"/>
        <w:rPr>
          <w:rFonts w:ascii="仿宋" w:hAnsi="仿宋" w:eastAsia="仿宋" w:cs="仿宋"/>
          <w:sz w:val="32"/>
          <w:szCs w:val="32"/>
        </w:rPr>
      </w:pPr>
      <w:r>
        <w:rPr>
          <w:rFonts w:hint="eastAsia" w:ascii="仿宋" w:hAnsi="仿宋" w:eastAsia="仿宋" w:cs="仿宋"/>
          <w:sz w:val="32"/>
          <w:szCs w:val="32"/>
        </w:rPr>
        <w:t>7.拟合并的融资担保公司在当地主流报纸上刊登的债权债务处置、材料真实性承诺和合规经营承诺情况的公告（原件1份）；</w:t>
      </w:r>
    </w:p>
    <w:p>
      <w:pPr>
        <w:ind w:firstLine="640" w:firstLineChars="200"/>
        <w:rPr>
          <w:rFonts w:ascii="仿宋" w:hAnsi="仿宋" w:eastAsia="仿宋" w:cs="仿宋"/>
          <w:sz w:val="32"/>
          <w:szCs w:val="32"/>
        </w:rPr>
      </w:pPr>
      <w:r>
        <w:rPr>
          <w:rFonts w:hint="eastAsia" w:ascii="仿宋" w:hAnsi="仿宋" w:eastAsia="仿宋" w:cs="仿宋"/>
          <w:sz w:val="32"/>
          <w:szCs w:val="32"/>
        </w:rPr>
        <w:t>8.拟合并的各融资担保公司的审计报告（原件1份）；</w:t>
      </w:r>
    </w:p>
    <w:p>
      <w:pPr>
        <w:ind w:firstLine="640" w:firstLineChars="200"/>
        <w:rPr>
          <w:rFonts w:ascii="仿宋" w:hAnsi="仿宋" w:eastAsia="仿宋" w:cs="仿宋"/>
          <w:sz w:val="32"/>
          <w:szCs w:val="32"/>
        </w:rPr>
      </w:pPr>
      <w:r>
        <w:rPr>
          <w:rFonts w:hint="eastAsia" w:ascii="仿宋" w:hAnsi="仿宋" w:eastAsia="仿宋" w:cs="仿宋"/>
          <w:sz w:val="32"/>
          <w:szCs w:val="32"/>
        </w:rPr>
        <w:t>9.合并后的融资担保公司提交法定验资机构出具的在有效期内的验资报告（原件1份）；</w:t>
      </w:r>
    </w:p>
    <w:p>
      <w:pPr>
        <w:ind w:firstLine="640" w:firstLineChars="200"/>
        <w:rPr>
          <w:rFonts w:ascii="仿宋" w:hAnsi="仿宋" w:eastAsia="仿宋" w:cs="仿宋"/>
          <w:sz w:val="32"/>
          <w:szCs w:val="32"/>
        </w:rPr>
      </w:pPr>
      <w:r>
        <w:rPr>
          <w:rFonts w:hint="eastAsia" w:ascii="仿宋" w:hAnsi="仿宋" w:eastAsia="仿宋" w:cs="仿宋"/>
          <w:sz w:val="32"/>
          <w:szCs w:val="32"/>
        </w:rPr>
        <w:t>10. 合并后的融资担保公司制度：财务管理制度、信息统计和披露制度、重大风险事件应急管理制度、风险控制管理制度、项目评审和业务决策内审制度、事后追偿和处置制度、客户档案管理及保密制度等内部管理制度（各1份）。</w:t>
      </w:r>
    </w:p>
    <w:p>
      <w:pPr>
        <w:ind w:firstLine="640" w:firstLineChars="200"/>
        <w:rPr>
          <w:rFonts w:ascii="楷体" w:hAnsi="楷体" w:eastAsia="楷体" w:cs="仿宋"/>
          <w:bCs/>
          <w:sz w:val="32"/>
          <w:szCs w:val="32"/>
        </w:rPr>
      </w:pPr>
      <w:r>
        <w:rPr>
          <w:rFonts w:hint="eastAsia" w:ascii="楷体" w:hAnsi="楷体" w:eastAsia="楷体" w:cs="仿宋"/>
          <w:bCs/>
          <w:sz w:val="32"/>
          <w:szCs w:val="32"/>
        </w:rPr>
        <w:t>（二）融资担保公司变更——分立需要提交的材料</w:t>
      </w:r>
    </w:p>
    <w:p>
      <w:pPr>
        <w:ind w:firstLine="640" w:firstLineChars="200"/>
        <w:rPr>
          <w:rFonts w:ascii="仿宋" w:hAnsi="仿宋" w:eastAsia="仿宋" w:cs="仿宋"/>
          <w:sz w:val="32"/>
          <w:szCs w:val="32"/>
        </w:rPr>
      </w:pPr>
      <w:r>
        <w:rPr>
          <w:rFonts w:hint="eastAsia" w:ascii="仿宋" w:hAnsi="仿宋" w:eastAsia="仿宋" w:cs="仿宋"/>
          <w:sz w:val="32"/>
          <w:szCs w:val="32"/>
        </w:rPr>
        <w:t>1.拟分立融资担保公司的分立请示（原件1份）；</w:t>
      </w:r>
    </w:p>
    <w:p>
      <w:pPr>
        <w:ind w:firstLine="664" w:firstLineChars="200"/>
        <w:rPr>
          <w:rFonts w:ascii="仿宋" w:hAnsi="仿宋" w:eastAsia="仿宋" w:cs="仿宋"/>
          <w:spacing w:val="6"/>
          <w:sz w:val="32"/>
          <w:szCs w:val="32"/>
        </w:rPr>
      </w:pPr>
      <w:r>
        <w:rPr>
          <w:rFonts w:hint="eastAsia" w:ascii="仿宋" w:hAnsi="仿宋" w:eastAsia="仿宋" w:cs="仿宋"/>
          <w:spacing w:val="6"/>
          <w:sz w:val="32"/>
          <w:szCs w:val="32"/>
        </w:rPr>
        <w:t>2.省辖市、省直管县(市)金融局</w:t>
      </w:r>
      <w:r>
        <w:rPr>
          <w:rFonts w:hint="eastAsia" w:ascii="仿宋" w:hAnsi="仿宋" w:eastAsia="仿宋"/>
          <w:sz w:val="32"/>
          <w:szCs w:val="32"/>
        </w:rPr>
        <w:t>或主发起人的省级主管单位关于融资担保公司</w:t>
      </w:r>
      <w:r>
        <w:rPr>
          <w:rFonts w:hint="eastAsia" w:ascii="仿宋" w:hAnsi="仿宋" w:eastAsia="仿宋" w:cs="仿宋"/>
          <w:spacing w:val="6"/>
          <w:sz w:val="32"/>
          <w:szCs w:val="32"/>
        </w:rPr>
        <w:t>分立</w:t>
      </w:r>
      <w:r>
        <w:rPr>
          <w:rFonts w:hint="eastAsia" w:ascii="仿宋" w:hAnsi="仿宋" w:eastAsia="仿宋"/>
          <w:sz w:val="32"/>
          <w:szCs w:val="32"/>
        </w:rPr>
        <w:t>的请示或函</w:t>
      </w:r>
      <w:r>
        <w:rPr>
          <w:rFonts w:hint="eastAsia" w:ascii="仿宋" w:hAnsi="仿宋" w:eastAsia="仿宋" w:cs="仿宋"/>
          <w:spacing w:val="6"/>
          <w:sz w:val="32"/>
          <w:szCs w:val="32"/>
        </w:rPr>
        <w:t>（原件1份）；</w:t>
      </w:r>
    </w:p>
    <w:p>
      <w:pPr>
        <w:ind w:firstLine="640" w:firstLineChars="200"/>
        <w:rPr>
          <w:rFonts w:ascii="仿宋" w:hAnsi="仿宋" w:eastAsia="仿宋" w:cs="仿宋"/>
          <w:sz w:val="32"/>
          <w:szCs w:val="32"/>
        </w:rPr>
      </w:pPr>
      <w:r>
        <w:rPr>
          <w:rFonts w:hint="eastAsia" w:ascii="仿宋" w:hAnsi="仿宋" w:eastAsia="仿宋" w:cs="仿宋"/>
          <w:sz w:val="32"/>
          <w:szCs w:val="32"/>
        </w:rPr>
        <w:t>3.拟分立的融资担保公司股东会、董事会（设董事会时提供）和监事会（设监事会时提供）的决议（原件1份）；</w:t>
      </w:r>
    </w:p>
    <w:p>
      <w:pPr>
        <w:ind w:firstLine="640" w:firstLineChars="200"/>
        <w:rPr>
          <w:rFonts w:ascii="仿宋" w:hAnsi="仿宋" w:eastAsia="仿宋" w:cs="仿宋"/>
          <w:sz w:val="32"/>
          <w:szCs w:val="32"/>
        </w:rPr>
      </w:pPr>
      <w:r>
        <w:rPr>
          <w:rFonts w:hint="eastAsia" w:ascii="仿宋" w:hAnsi="仿宋" w:eastAsia="仿宋" w:cs="仿宋"/>
          <w:sz w:val="32"/>
          <w:szCs w:val="32"/>
        </w:rPr>
        <w:t>4.拟分立的各融资担保公司签订的分立合同或协议（原件1份）；</w:t>
      </w:r>
    </w:p>
    <w:p>
      <w:pPr>
        <w:ind w:firstLine="640" w:firstLineChars="200"/>
        <w:rPr>
          <w:rFonts w:ascii="仿宋" w:hAnsi="仿宋" w:eastAsia="仿宋" w:cs="仿宋"/>
          <w:sz w:val="32"/>
          <w:szCs w:val="32"/>
        </w:rPr>
      </w:pPr>
      <w:r>
        <w:rPr>
          <w:rFonts w:hint="eastAsia" w:ascii="仿宋" w:hAnsi="仿宋" w:eastAsia="仿宋" w:cs="仿宋"/>
          <w:sz w:val="32"/>
          <w:szCs w:val="32"/>
        </w:rPr>
        <w:t>5.分立后融资担保公司的章程（原件1份）；</w:t>
      </w:r>
    </w:p>
    <w:p>
      <w:pPr>
        <w:ind w:firstLine="640" w:firstLineChars="200"/>
        <w:rPr>
          <w:rFonts w:ascii="仿宋" w:hAnsi="仿宋" w:eastAsia="仿宋" w:cs="仿宋"/>
          <w:sz w:val="32"/>
          <w:szCs w:val="32"/>
        </w:rPr>
      </w:pPr>
      <w:r>
        <w:rPr>
          <w:rFonts w:hint="eastAsia" w:ascii="仿宋" w:hAnsi="仿宋" w:eastAsia="仿宋" w:cs="仿宋"/>
          <w:sz w:val="32"/>
          <w:szCs w:val="32"/>
        </w:rPr>
        <w:t>6.分立后融资担保公司若名称发生改变的，提交市场监管部门核发的在有效期的《企业名称预先核准通知书》（复印件1份）；</w:t>
      </w:r>
    </w:p>
    <w:p>
      <w:pPr>
        <w:ind w:firstLine="640" w:firstLineChars="200"/>
        <w:rPr>
          <w:rFonts w:ascii="仿宋" w:hAnsi="仿宋" w:eastAsia="仿宋" w:cs="仿宋"/>
          <w:sz w:val="32"/>
          <w:szCs w:val="32"/>
        </w:rPr>
      </w:pPr>
      <w:r>
        <w:rPr>
          <w:rFonts w:hint="eastAsia" w:ascii="仿宋" w:hAnsi="仿宋" w:eastAsia="仿宋" w:cs="仿宋"/>
          <w:sz w:val="32"/>
          <w:szCs w:val="32"/>
        </w:rPr>
        <w:t>7.拟分立的融资担保公司在当地主流报纸上刊登的债权债务处置、材料真实性承诺和合规经营承诺情况的公告（原件1份）；</w:t>
      </w:r>
    </w:p>
    <w:p>
      <w:pPr>
        <w:ind w:firstLine="640" w:firstLineChars="200"/>
        <w:rPr>
          <w:rFonts w:ascii="仿宋" w:hAnsi="仿宋" w:eastAsia="仿宋" w:cs="仿宋"/>
          <w:sz w:val="32"/>
          <w:szCs w:val="32"/>
        </w:rPr>
      </w:pPr>
      <w:r>
        <w:rPr>
          <w:rFonts w:hint="eastAsia" w:ascii="仿宋" w:hAnsi="仿宋" w:eastAsia="仿宋" w:cs="仿宋"/>
          <w:sz w:val="32"/>
          <w:szCs w:val="32"/>
        </w:rPr>
        <w:t>8.拟分立的各融资担保公司的审计报告（原件1份）；</w:t>
      </w:r>
    </w:p>
    <w:p>
      <w:pPr>
        <w:ind w:firstLine="640" w:firstLineChars="200"/>
        <w:rPr>
          <w:rFonts w:ascii="仿宋" w:hAnsi="仿宋" w:eastAsia="仿宋" w:cs="仿宋"/>
          <w:sz w:val="32"/>
          <w:szCs w:val="32"/>
        </w:rPr>
      </w:pPr>
      <w:r>
        <w:rPr>
          <w:rFonts w:hint="eastAsia" w:ascii="仿宋" w:hAnsi="仿宋" w:eastAsia="仿宋" w:cs="仿宋"/>
          <w:sz w:val="32"/>
          <w:szCs w:val="32"/>
        </w:rPr>
        <w:t>9.分立后融资担保公司提交法定验资机构出具的在有效期内的验资报告（原件1份）；</w:t>
      </w:r>
    </w:p>
    <w:p>
      <w:pPr>
        <w:ind w:firstLine="640" w:firstLineChars="200"/>
        <w:rPr>
          <w:rFonts w:ascii="仿宋" w:hAnsi="仿宋" w:eastAsia="仿宋" w:cs="仿宋"/>
          <w:sz w:val="32"/>
          <w:szCs w:val="32"/>
        </w:rPr>
      </w:pPr>
      <w:r>
        <w:rPr>
          <w:rFonts w:hint="eastAsia" w:ascii="仿宋" w:hAnsi="仿宋" w:eastAsia="仿宋" w:cs="仿宋"/>
          <w:sz w:val="32"/>
          <w:szCs w:val="32"/>
        </w:rPr>
        <w:t>10.分立后融资担保公司的制度：财务管理制度、信息统计和披露制度、重大风险事件应急管理制度、风险控制管理制度、项目评审和业务决策内审制度、事后追偿和处置制度、客户档案管理及保密制度等（原件各1份）。</w:t>
      </w:r>
    </w:p>
    <w:p>
      <w:pPr>
        <w:ind w:firstLine="640" w:firstLineChars="200"/>
        <w:rPr>
          <w:rFonts w:ascii="楷体" w:hAnsi="楷体" w:eastAsia="楷体" w:cs="仿宋"/>
          <w:bCs/>
          <w:sz w:val="32"/>
          <w:szCs w:val="32"/>
        </w:rPr>
      </w:pPr>
      <w:r>
        <w:rPr>
          <w:rFonts w:hint="eastAsia" w:ascii="楷体" w:hAnsi="楷体" w:eastAsia="楷体" w:cs="仿宋"/>
          <w:bCs/>
          <w:sz w:val="32"/>
          <w:szCs w:val="32"/>
        </w:rPr>
        <w:t>（三）融资担保公司变更——减少注册资本需要提交的材料</w:t>
      </w:r>
    </w:p>
    <w:p>
      <w:pPr>
        <w:ind w:firstLine="640" w:firstLineChars="200"/>
        <w:rPr>
          <w:rFonts w:ascii="仿宋" w:hAnsi="仿宋" w:eastAsia="仿宋" w:cs="仿宋"/>
          <w:sz w:val="32"/>
          <w:szCs w:val="32"/>
        </w:rPr>
      </w:pPr>
      <w:r>
        <w:rPr>
          <w:rFonts w:hint="eastAsia" w:ascii="仿宋" w:hAnsi="仿宋" w:eastAsia="仿宋" w:cs="仿宋"/>
          <w:sz w:val="32"/>
          <w:szCs w:val="32"/>
        </w:rPr>
        <w:t>1.拟减资融资担保公司的减资请示（原件1份）；</w:t>
      </w:r>
    </w:p>
    <w:p>
      <w:pPr>
        <w:ind w:firstLine="640" w:firstLineChars="200"/>
        <w:rPr>
          <w:rFonts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pacing w:val="6"/>
          <w:sz w:val="32"/>
          <w:szCs w:val="32"/>
        </w:rPr>
        <w:t>省辖市、省直管县(市)监金融局</w:t>
      </w:r>
      <w:r>
        <w:rPr>
          <w:rFonts w:hint="eastAsia" w:ascii="仿宋" w:hAnsi="仿宋" w:eastAsia="仿宋"/>
          <w:sz w:val="32"/>
          <w:szCs w:val="32"/>
        </w:rPr>
        <w:t>或主发起人的省级主管单位关于融资担保公司</w:t>
      </w:r>
      <w:r>
        <w:rPr>
          <w:rFonts w:hint="eastAsia" w:ascii="仿宋" w:hAnsi="仿宋" w:eastAsia="仿宋" w:cs="仿宋"/>
          <w:spacing w:val="6"/>
          <w:sz w:val="32"/>
          <w:szCs w:val="32"/>
        </w:rPr>
        <w:t>减资</w:t>
      </w:r>
      <w:r>
        <w:rPr>
          <w:rFonts w:hint="eastAsia" w:ascii="仿宋" w:hAnsi="仿宋" w:eastAsia="仿宋"/>
          <w:sz w:val="32"/>
          <w:szCs w:val="32"/>
        </w:rPr>
        <w:t>的请示或函</w:t>
      </w:r>
      <w:r>
        <w:rPr>
          <w:rFonts w:hint="eastAsia" w:ascii="仿宋" w:hAnsi="仿宋" w:eastAsia="仿宋" w:cs="仿宋"/>
          <w:sz w:val="32"/>
          <w:szCs w:val="32"/>
        </w:rPr>
        <w:t>（原件1份）；</w:t>
      </w:r>
    </w:p>
    <w:p>
      <w:pPr>
        <w:ind w:firstLine="640" w:firstLineChars="200"/>
        <w:rPr>
          <w:rFonts w:ascii="仿宋" w:hAnsi="仿宋" w:eastAsia="仿宋" w:cs="仿宋"/>
          <w:sz w:val="32"/>
          <w:szCs w:val="32"/>
        </w:rPr>
      </w:pPr>
      <w:r>
        <w:rPr>
          <w:rFonts w:hint="eastAsia" w:ascii="仿宋" w:hAnsi="仿宋" w:eastAsia="仿宋" w:cs="仿宋"/>
          <w:sz w:val="32"/>
          <w:szCs w:val="32"/>
        </w:rPr>
        <w:t>3.拟减资融资担保公司在当地主流报纸上刊登的债权债务处置、材料真实性承诺和合规经营承诺情况的公告（原件1份）；</w:t>
      </w:r>
    </w:p>
    <w:p>
      <w:pPr>
        <w:ind w:firstLine="640" w:firstLineChars="200"/>
        <w:rPr>
          <w:rFonts w:ascii="仿宋" w:hAnsi="仿宋" w:eastAsia="仿宋" w:cs="仿宋"/>
          <w:sz w:val="32"/>
          <w:szCs w:val="32"/>
        </w:rPr>
      </w:pPr>
      <w:r>
        <w:rPr>
          <w:rFonts w:hint="eastAsia" w:ascii="仿宋" w:hAnsi="仿宋" w:eastAsia="仿宋" w:cs="仿宋"/>
          <w:sz w:val="32"/>
          <w:szCs w:val="32"/>
        </w:rPr>
        <w:t>4.拟减资融资担保公司的股东会、董事会（设董事会时提供）和监事会（设监事会时提供）的决议（原件1份）；</w:t>
      </w:r>
    </w:p>
    <w:p>
      <w:pPr>
        <w:ind w:firstLine="640" w:firstLineChars="200"/>
        <w:rPr>
          <w:rFonts w:ascii="仿宋" w:hAnsi="仿宋" w:eastAsia="仿宋" w:cs="仿宋"/>
          <w:sz w:val="32"/>
          <w:szCs w:val="32"/>
        </w:rPr>
      </w:pPr>
      <w:r>
        <w:rPr>
          <w:rFonts w:hint="eastAsia" w:ascii="仿宋" w:hAnsi="仿宋" w:eastAsia="仿宋" w:cs="仿宋"/>
          <w:sz w:val="32"/>
          <w:szCs w:val="32"/>
        </w:rPr>
        <w:t>5.减资后的融资担保公司章程（原件1份）；</w:t>
      </w:r>
    </w:p>
    <w:p>
      <w:pPr>
        <w:ind w:firstLine="640" w:firstLineChars="200"/>
        <w:rPr>
          <w:rFonts w:ascii="仿宋" w:hAnsi="仿宋" w:eastAsia="仿宋" w:cs="仿宋"/>
          <w:sz w:val="32"/>
          <w:szCs w:val="32"/>
        </w:rPr>
      </w:pPr>
      <w:r>
        <w:rPr>
          <w:rFonts w:hint="eastAsia" w:ascii="仿宋" w:hAnsi="仿宋" w:eastAsia="仿宋" w:cs="仿宋"/>
          <w:sz w:val="32"/>
          <w:szCs w:val="32"/>
        </w:rPr>
        <w:t>6.减资后融资担保公司若名称发生改变的，须提交市场监管部门核发的在有效期内的《企业名称预先核准通知书》，且名称符合新设立融资担保公司的规定（复印件1份）；</w:t>
      </w:r>
    </w:p>
    <w:p>
      <w:pPr>
        <w:ind w:firstLine="640" w:firstLineChars="200"/>
        <w:rPr>
          <w:rFonts w:ascii="仿宋" w:hAnsi="仿宋" w:eastAsia="仿宋" w:cs="仿宋"/>
          <w:sz w:val="32"/>
          <w:szCs w:val="32"/>
        </w:rPr>
      </w:pPr>
      <w:r>
        <w:rPr>
          <w:rFonts w:hint="eastAsia" w:ascii="仿宋" w:hAnsi="仿宋" w:eastAsia="仿宋" w:cs="仿宋"/>
          <w:sz w:val="32"/>
          <w:szCs w:val="32"/>
        </w:rPr>
        <w:t>7.减资后融资担保公司提交法定验资机构出具的在有效期内的验资报告（原件1份）；</w:t>
      </w:r>
    </w:p>
    <w:p>
      <w:pPr>
        <w:ind w:firstLine="640" w:firstLineChars="200"/>
        <w:rPr>
          <w:rFonts w:ascii="仿宋" w:hAnsi="仿宋" w:eastAsia="仿宋" w:cs="仿宋"/>
          <w:sz w:val="32"/>
          <w:szCs w:val="32"/>
        </w:rPr>
      </w:pPr>
      <w:r>
        <w:rPr>
          <w:rFonts w:hint="eastAsia" w:ascii="仿宋" w:hAnsi="仿宋" w:eastAsia="仿宋" w:cs="仿宋"/>
          <w:sz w:val="32"/>
          <w:szCs w:val="32"/>
        </w:rPr>
        <w:t>8.拟减资融资担保公司的审计报告（原件1份）；</w:t>
      </w:r>
    </w:p>
    <w:p>
      <w:pPr>
        <w:ind w:firstLine="640" w:firstLineChars="200"/>
        <w:rPr>
          <w:rFonts w:ascii="仿宋" w:hAnsi="仿宋" w:eastAsia="仿宋" w:cs="仿宋"/>
          <w:sz w:val="32"/>
          <w:szCs w:val="32"/>
        </w:rPr>
      </w:pPr>
      <w:r>
        <w:rPr>
          <w:rFonts w:hint="eastAsia" w:ascii="仿宋" w:hAnsi="仿宋" w:eastAsia="仿宋" w:cs="仿宋"/>
          <w:sz w:val="32"/>
          <w:szCs w:val="32"/>
        </w:rPr>
        <w:t>9.减资后融资担保公司制度：财务管理制度、信息统计和披露制度、重大风险事件应急管理制度、风险控制管理制度、项目评审和业务决策内审制度、事后追偿和处置制度、客户档案管理及保密制度等内部管理制度（原件各1份）。</w:t>
      </w:r>
    </w:p>
    <w:p>
      <w:pPr>
        <w:ind w:firstLine="640" w:firstLineChars="200"/>
        <w:rPr>
          <w:rFonts w:ascii="黑体" w:hAnsi="黑体" w:eastAsia="黑体" w:cs="宋体"/>
          <w:bCs/>
          <w:kern w:val="0"/>
          <w:sz w:val="32"/>
          <w:szCs w:val="32"/>
        </w:rPr>
      </w:pPr>
      <w:r>
        <w:rPr>
          <w:rFonts w:hint="eastAsia" w:ascii="黑体" w:hAnsi="黑体" w:eastAsia="黑体"/>
          <w:sz w:val="32"/>
          <w:szCs w:val="32"/>
        </w:rPr>
        <w:t>三、审查要点</w:t>
      </w:r>
    </w:p>
    <w:p>
      <w:pPr>
        <w:ind w:firstLine="640" w:firstLineChars="200"/>
        <w:rPr>
          <w:rFonts w:ascii="仿宋" w:hAnsi="仿宋" w:eastAsia="仿宋" w:cs="宋体"/>
          <w:kern w:val="0"/>
          <w:sz w:val="32"/>
          <w:szCs w:val="32"/>
        </w:rPr>
      </w:pPr>
      <w:r>
        <w:rPr>
          <w:rFonts w:hint="eastAsia" w:ascii="仿宋" w:hAnsi="仿宋" w:eastAsia="仿宋" w:cs="宋体"/>
          <w:kern w:val="0"/>
          <w:sz w:val="32"/>
          <w:szCs w:val="32"/>
        </w:rPr>
        <w:t>（一）变更的程序性审查。分立或者合并须符合《公司法》的有关规定程序，注重审查企业通知其债权人的材料、合并方案（包括债权债务处置计划、或有债务保障措施等）、分立方案（包括债权债务处置计划、或有债务保障措施，财产分割安排等）等。</w:t>
      </w:r>
      <w:r>
        <w:rPr>
          <w:rFonts w:hint="eastAsia" w:ascii="FangSong_GB2312" w:hAnsi="新宋体-18030" w:eastAsia="FangSong_GB2312" w:cs="新宋体-18030"/>
          <w:kern w:val="0"/>
          <w:sz w:val="30"/>
          <w:szCs w:val="30"/>
        </w:rPr>
        <w:t>国有及国有控股融资担保公司的合并、分立或减少注册资本要有</w:t>
      </w:r>
      <w:r>
        <w:rPr>
          <w:rFonts w:hint="eastAsia" w:ascii="仿宋" w:hAnsi="仿宋" w:eastAsia="仿宋" w:cs="宋体"/>
          <w:kern w:val="0"/>
          <w:sz w:val="32"/>
          <w:szCs w:val="32"/>
        </w:rPr>
        <w:t>履行出资人单位的机构的决定。</w:t>
      </w:r>
    </w:p>
    <w:p>
      <w:pPr>
        <w:ind w:firstLine="640" w:firstLineChars="200"/>
        <w:rPr>
          <w:rFonts w:ascii="仿宋" w:hAnsi="仿宋" w:eastAsia="仿宋" w:cs="宋体"/>
          <w:kern w:val="0"/>
          <w:sz w:val="32"/>
          <w:szCs w:val="32"/>
        </w:rPr>
      </w:pPr>
      <w:r>
        <w:rPr>
          <w:rFonts w:hint="eastAsia" w:ascii="仿宋" w:hAnsi="仿宋" w:eastAsia="仿宋" w:cs="宋体"/>
          <w:kern w:val="0"/>
          <w:sz w:val="32"/>
          <w:szCs w:val="32"/>
        </w:rPr>
        <w:t>（二）名称变化时审查。合并、分立或减少注册资本后公司名称变更的，提交的</w:t>
      </w:r>
      <w:r>
        <w:rPr>
          <w:rFonts w:hint="eastAsia" w:ascii="仿宋" w:hAnsi="仿宋" w:eastAsia="仿宋"/>
          <w:sz w:val="32"/>
          <w:szCs w:val="32"/>
        </w:rPr>
        <w:t>《企业名称预先核准通知书》在有效期内。其中行业仅为“融资担保”，专业性农业信贷担保公司行业名称中应备注为“融资担保（农业信贷）；再担保公司行业名称应备注为“融资担保（再担保）或融资担保（再）”字样。</w:t>
      </w:r>
    </w:p>
    <w:p>
      <w:pPr>
        <w:ind w:firstLine="640" w:firstLineChars="200"/>
        <w:rPr>
          <w:rFonts w:ascii="仿宋" w:hAnsi="仿宋" w:eastAsia="仿宋" w:cs="宋体"/>
          <w:kern w:val="0"/>
          <w:sz w:val="32"/>
          <w:szCs w:val="32"/>
        </w:rPr>
      </w:pPr>
      <w:r>
        <w:rPr>
          <w:rFonts w:hint="eastAsia" w:ascii="仿宋" w:hAnsi="仿宋" w:eastAsia="仿宋" w:cs="宋体"/>
          <w:kern w:val="0"/>
          <w:sz w:val="32"/>
          <w:szCs w:val="32"/>
        </w:rPr>
        <w:t>（三）拟任董事、监事和高级管理人员审查。</w:t>
      </w:r>
      <w:r>
        <w:rPr>
          <w:rFonts w:hint="eastAsia" w:ascii="仿宋" w:hAnsi="仿宋" w:eastAsia="仿宋"/>
          <w:sz w:val="32"/>
          <w:szCs w:val="32"/>
        </w:rPr>
        <w:t>属地金融局可通过对融资担保业务相关的法律、法规、规章和规范性文件进行测试或约谈等方式，对融资担保公司董事、监事和高级管理人员的从业经验和管理能力做出初步的客观评价。</w:t>
      </w:r>
    </w:p>
    <w:p>
      <w:pPr>
        <w:ind w:firstLine="640" w:firstLineChars="200"/>
        <w:rPr>
          <w:rFonts w:ascii="仿宋" w:hAnsi="仿宋" w:eastAsia="仿宋" w:cs="宋体"/>
          <w:kern w:val="0"/>
          <w:sz w:val="32"/>
          <w:szCs w:val="32"/>
        </w:rPr>
      </w:pPr>
      <w:r>
        <w:rPr>
          <w:rFonts w:hint="eastAsia" w:ascii="仿宋" w:hAnsi="仿宋" w:eastAsia="仿宋" w:cs="宋体"/>
          <w:kern w:val="0"/>
          <w:sz w:val="32"/>
          <w:szCs w:val="32"/>
        </w:rPr>
        <w:t>（四）新融资担保公司股东审查。属地金融局须对拟分立或合并后的新融资担保公司股东进行约谈，了解股东的经济实力，以及分立或合并后如何防控风险等情况。可</w:t>
      </w:r>
      <w:r>
        <w:rPr>
          <w:rFonts w:hint="eastAsia" w:ascii="仿宋" w:hAnsi="仿宋" w:eastAsia="仿宋"/>
          <w:sz w:val="32"/>
          <w:szCs w:val="32"/>
        </w:rPr>
        <w:t>通过信用（中国）或国家企业信用信息公示系统等查询股东信用信息，或直接向公安、市场监管、税务及打击和处置非法集资领导小组办公室等有关部门发函等方式，对股东信誉情况做出初步的客观评价。</w:t>
      </w:r>
    </w:p>
    <w:p>
      <w:pPr>
        <w:ind w:firstLine="640" w:firstLineChars="200"/>
        <w:rPr>
          <w:rFonts w:ascii="仿宋" w:hAnsi="仿宋" w:eastAsia="仿宋" w:cs="宋体"/>
          <w:kern w:val="0"/>
          <w:sz w:val="32"/>
          <w:szCs w:val="32"/>
        </w:rPr>
      </w:pPr>
      <w:r>
        <w:rPr>
          <w:rFonts w:hint="eastAsia" w:ascii="仿宋" w:hAnsi="仿宋" w:eastAsia="仿宋" w:cs="宋体"/>
          <w:kern w:val="0"/>
          <w:sz w:val="32"/>
          <w:szCs w:val="32"/>
        </w:rPr>
        <w:t>（五）新融资担保公司注册资本审查。新设公司可将拟合并公司注册资本相加，或对拟合并公司的</w:t>
      </w:r>
      <w:r>
        <w:fldChar w:fldCharType="begin"/>
      </w:r>
      <w:r>
        <w:instrText xml:space="preserve"> HYPERLINK "http://www.so.com/s?q=%E8%B5%84%E4%BA%A7&amp;ie=utf-8&amp;src=internal_wenda_recommend_textn" \t "_blank" </w:instrText>
      </w:r>
      <w:r>
        <w:fldChar w:fldCharType="separate"/>
      </w:r>
      <w:r>
        <w:rPr>
          <w:rFonts w:hint="eastAsia" w:ascii="仿宋" w:hAnsi="仿宋" w:eastAsia="仿宋" w:cs="宋体"/>
          <w:kern w:val="0"/>
          <w:sz w:val="32"/>
          <w:szCs w:val="32"/>
        </w:rPr>
        <w:t>资产</w:t>
      </w:r>
      <w:r>
        <w:rPr>
          <w:rFonts w:hint="eastAsia" w:ascii="仿宋" w:hAnsi="仿宋" w:eastAsia="仿宋" w:cs="宋体"/>
          <w:kern w:val="0"/>
          <w:sz w:val="32"/>
          <w:szCs w:val="32"/>
        </w:rPr>
        <w:fldChar w:fldCharType="end"/>
      </w:r>
      <w:r>
        <w:rPr>
          <w:rFonts w:hint="eastAsia" w:ascii="仿宋" w:hAnsi="仿宋" w:eastAsia="仿宋" w:cs="宋体"/>
          <w:kern w:val="0"/>
          <w:sz w:val="32"/>
          <w:szCs w:val="32"/>
        </w:rPr>
        <w:t>进行评估，将评估后</w:t>
      </w:r>
      <w:r>
        <w:fldChar w:fldCharType="begin"/>
      </w:r>
      <w:r>
        <w:instrText xml:space="preserve"> HYPERLINK "http://www.so.com/s?q=%E5%87%80%E8%B5%84%E4%BA%A7&amp;ie=utf-8&amp;src=internal_wenda_recommend_textn" \t "_blank" </w:instrText>
      </w:r>
      <w:r>
        <w:fldChar w:fldCharType="separate"/>
      </w:r>
      <w:r>
        <w:rPr>
          <w:rFonts w:hint="eastAsia" w:ascii="仿宋" w:hAnsi="仿宋" w:eastAsia="仿宋" w:cs="宋体"/>
          <w:kern w:val="0"/>
          <w:sz w:val="32"/>
          <w:szCs w:val="32"/>
        </w:rPr>
        <w:t>净资产</w:t>
      </w:r>
      <w:r>
        <w:rPr>
          <w:rFonts w:hint="eastAsia" w:ascii="仿宋" w:hAnsi="仿宋" w:eastAsia="仿宋" w:cs="宋体"/>
          <w:kern w:val="0"/>
          <w:sz w:val="32"/>
          <w:szCs w:val="32"/>
        </w:rPr>
        <w:fldChar w:fldCharType="end"/>
      </w:r>
      <w:r>
        <w:rPr>
          <w:rFonts w:hint="eastAsia" w:ascii="仿宋" w:hAnsi="仿宋" w:eastAsia="仿宋" w:cs="宋体"/>
          <w:kern w:val="0"/>
          <w:sz w:val="32"/>
          <w:szCs w:val="32"/>
        </w:rPr>
        <w:t>相加作为公司合并后的注册资本。</w:t>
      </w:r>
      <w:r>
        <w:rPr>
          <w:rFonts w:hint="eastAsia" w:ascii="仿宋" w:hAnsi="仿宋" w:eastAsia="仿宋"/>
          <w:sz w:val="32"/>
          <w:szCs w:val="32"/>
        </w:rPr>
        <w:t>验资报告中的股东名称、出资金额、股权比例等与新设融资担保公司的股东相关信息一致。</w:t>
      </w:r>
      <w:r>
        <w:rPr>
          <w:rFonts w:hint="eastAsia" w:ascii="仿宋" w:hAnsi="仿宋" w:eastAsia="仿宋" w:cs="宋体"/>
          <w:kern w:val="0"/>
          <w:sz w:val="32"/>
          <w:szCs w:val="32"/>
        </w:rPr>
        <w:t>国有资产的合并或分立，须按照《企业国有资产评估管理暂行办法》的有关要求进行。</w:t>
      </w:r>
    </w:p>
    <w:p>
      <w:pPr>
        <w:ind w:firstLine="643"/>
        <w:rPr>
          <w:rFonts w:ascii="仿宋" w:hAnsi="仿宋" w:eastAsia="仿宋"/>
          <w:sz w:val="32"/>
          <w:szCs w:val="32"/>
        </w:rPr>
      </w:pPr>
      <w:r>
        <w:rPr>
          <w:rFonts w:hint="eastAsia" w:ascii="仿宋" w:hAnsi="仿宋" w:eastAsia="仿宋"/>
          <w:sz w:val="32"/>
          <w:szCs w:val="32"/>
        </w:rPr>
        <w:t>（六）公司章程审查。公司章程应符合《公司法》要求，还要列明融资担保行业的特殊规定和禁止性条款。国有企业要</w:t>
      </w:r>
      <w:r>
        <w:rPr>
          <w:rFonts w:ascii="仿宋" w:hAnsi="仿宋" w:eastAsia="仿宋"/>
          <w:sz w:val="32"/>
          <w:szCs w:val="32"/>
        </w:rPr>
        <w:t>把党建工作要求写入国有企业公司章程</w:t>
      </w:r>
      <w:r>
        <w:rPr>
          <w:rFonts w:hint="eastAsia" w:ascii="仿宋" w:hAnsi="仿宋" w:eastAsia="仿宋"/>
          <w:sz w:val="32"/>
          <w:szCs w:val="32"/>
        </w:rPr>
        <w:t>。新的公司章程需法人股东盖章、自然人股东签字。</w:t>
      </w:r>
    </w:p>
    <w:p>
      <w:pPr>
        <w:ind w:firstLine="640" w:firstLineChars="200"/>
        <w:jc w:val="left"/>
        <w:rPr>
          <w:rFonts w:ascii="黑体" w:hAnsi="黑体" w:eastAsia="黑体" w:cs="黑体"/>
          <w:sz w:val="32"/>
          <w:szCs w:val="32"/>
        </w:rPr>
      </w:pPr>
      <w:r>
        <w:rPr>
          <w:rFonts w:hint="eastAsia" w:ascii="黑体" w:hAnsi="黑体" w:eastAsia="黑体" w:cs="黑体"/>
          <w:sz w:val="32"/>
          <w:szCs w:val="32"/>
        </w:rPr>
        <w:t>四、申请程序</w:t>
      </w:r>
    </w:p>
    <w:p>
      <w:pPr>
        <w:ind w:firstLine="640" w:firstLineChars="200"/>
        <w:rPr>
          <w:rFonts w:ascii="仿宋" w:hAnsi="仿宋" w:eastAsia="仿宋"/>
          <w:sz w:val="32"/>
          <w:szCs w:val="32"/>
        </w:rPr>
      </w:pPr>
      <w:r>
        <w:rPr>
          <w:rFonts w:hint="eastAsia" w:ascii="仿宋" w:hAnsi="仿宋" w:eastAsia="仿宋" w:cs="KaiTi_GB2312"/>
          <w:sz w:val="32"/>
          <w:szCs w:val="32"/>
        </w:rPr>
        <w:t>（一）受理。</w:t>
      </w:r>
      <w:r>
        <w:rPr>
          <w:rFonts w:hint="eastAsia" w:ascii="仿宋" w:hAnsi="仿宋" w:eastAsia="仿宋"/>
          <w:sz w:val="32"/>
          <w:szCs w:val="32"/>
        </w:rPr>
        <w:t>申请人应按照材料清单准备相关材料, 通过金融局逐级上报。</w:t>
      </w:r>
    </w:p>
    <w:p>
      <w:pPr>
        <w:ind w:firstLine="640" w:firstLineChars="200"/>
        <w:jc w:val="left"/>
        <w:rPr>
          <w:rFonts w:ascii="仿宋" w:hAnsi="仿宋" w:eastAsia="仿宋"/>
          <w:sz w:val="32"/>
          <w:szCs w:val="32"/>
        </w:rPr>
      </w:pPr>
      <w:r>
        <w:rPr>
          <w:rFonts w:hint="eastAsia" w:ascii="仿宋" w:hAnsi="仿宋" w:eastAsia="仿宋" w:cs="KaiTi_GB2312"/>
          <w:sz w:val="32"/>
          <w:szCs w:val="32"/>
        </w:rPr>
        <w:t>（二）审查。</w:t>
      </w:r>
      <w:r>
        <w:rPr>
          <w:rFonts w:hint="eastAsia" w:ascii="仿宋" w:hAnsi="仿宋" w:eastAsia="仿宋"/>
          <w:sz w:val="32"/>
          <w:szCs w:val="32"/>
        </w:rPr>
        <w:t>各级金融局对材料进行审查，材料需要补正或说明的，要一次性告知申请人，并要求申请人限期完善；需要现场核查的，可组织专家现场核查，并书面告知申请人；需要征求有关部门意见的，应直接向有关部门函证。材料齐全且符合变更审批要求的，逐级向上一级金融局提交。</w:t>
      </w:r>
    </w:p>
    <w:p>
      <w:pPr>
        <w:ind w:firstLine="643"/>
        <w:rPr>
          <w:rFonts w:ascii="仿宋" w:hAnsi="仿宋" w:eastAsia="仿宋"/>
          <w:sz w:val="32"/>
          <w:szCs w:val="32"/>
        </w:rPr>
      </w:pPr>
      <w:r>
        <w:rPr>
          <w:rFonts w:hint="eastAsia" w:ascii="仿宋" w:hAnsi="仿宋" w:eastAsia="仿宋" w:cs="KaiTi_GB2312"/>
          <w:sz w:val="32"/>
          <w:szCs w:val="32"/>
        </w:rPr>
        <w:t>（三）决定。符合条件拟予批准的，</w:t>
      </w:r>
      <w:r>
        <w:rPr>
          <w:rFonts w:hint="eastAsia" w:ascii="仿宋" w:hAnsi="仿宋" w:eastAsia="仿宋"/>
          <w:sz w:val="32"/>
          <w:szCs w:val="32"/>
        </w:rPr>
        <w:t>省地方金融监管局</w:t>
      </w:r>
      <w:r>
        <w:rPr>
          <w:rFonts w:hint="eastAsia" w:ascii="仿宋" w:hAnsi="仿宋" w:eastAsia="仿宋" w:cs="KaiTi_GB2312"/>
          <w:sz w:val="32"/>
          <w:szCs w:val="32"/>
        </w:rPr>
        <w:t>下发变更批复，换发《融资担保业务经营许可证》；不予批准的，书面告知申请人，并说明理由。</w:t>
      </w:r>
    </w:p>
    <w:p>
      <w:pPr>
        <w:ind w:firstLine="643"/>
        <w:rPr>
          <w:rFonts w:ascii="仿宋" w:hAnsi="仿宋" w:eastAsia="仿宋"/>
        </w:rPr>
      </w:pPr>
      <w:r>
        <w:rPr>
          <w:rFonts w:hint="eastAsia" w:ascii="仿宋" w:hAnsi="仿宋" w:eastAsia="仿宋" w:cs="KaiTi_GB2312"/>
          <w:sz w:val="32"/>
          <w:szCs w:val="32"/>
        </w:rPr>
        <w:t>（四）送达。</w:t>
      </w:r>
      <w:r>
        <w:rPr>
          <w:rFonts w:hint="eastAsia" w:ascii="仿宋" w:hAnsi="仿宋" w:eastAsia="仿宋"/>
          <w:sz w:val="32"/>
          <w:szCs w:val="32"/>
        </w:rPr>
        <w:t>省地方金融监管局将批复文件和</w:t>
      </w:r>
      <w:r>
        <w:rPr>
          <w:rFonts w:hint="eastAsia" w:ascii="仿宋" w:hAnsi="仿宋" w:eastAsia="仿宋" w:cs="KaiTi_GB2312"/>
          <w:sz w:val="32"/>
          <w:szCs w:val="32"/>
        </w:rPr>
        <w:t>《融资担保业务经营许可证》</w:t>
      </w:r>
      <w:r>
        <w:rPr>
          <w:rFonts w:hint="eastAsia" w:ascii="仿宋" w:hAnsi="仿宋" w:eastAsia="仿宋"/>
          <w:sz w:val="32"/>
          <w:szCs w:val="32"/>
        </w:rPr>
        <w:t>通过邮寄或自行领取等方式送达</w:t>
      </w:r>
      <w:r>
        <w:rPr>
          <w:rFonts w:hint="eastAsia" w:ascii="仿宋" w:hAnsi="仿宋" w:eastAsia="仿宋" w:cs="KaiTi_GB2312"/>
          <w:sz w:val="32"/>
          <w:szCs w:val="32"/>
        </w:rPr>
        <w:t>金融局或申请人。</w:t>
      </w:r>
    </w:p>
    <w:p>
      <w:pPr>
        <w:pStyle w:val="3"/>
        <w:jc w:val="center"/>
        <w:rPr>
          <w:rFonts w:hint="eastAsia" w:asciiTheme="majorHAnsi" w:hAnsiTheme="majorHAnsi" w:eastAsiaTheme="majorEastAsia" w:cstheme="majorBidi"/>
          <w:b/>
          <w:bCs/>
          <w:kern w:val="2"/>
          <w:sz w:val="44"/>
          <w:szCs w:val="44"/>
          <w:lang w:val="en-US" w:eastAsia="zh-CN" w:bidi="ar-SA"/>
        </w:rPr>
      </w:pPr>
      <w:bookmarkStart w:id="42" w:name="_Toc23067"/>
      <w:r>
        <w:rPr>
          <w:rFonts w:hint="eastAsia"/>
          <w:sz w:val="44"/>
          <w:szCs w:val="44"/>
        </w:rPr>
        <w:t>八、河南省融资担保公司设立审批工作指引</w:t>
      </w:r>
      <w:bookmarkEnd w:id="42"/>
      <w:r>
        <w:rPr>
          <w:rFonts w:hint="eastAsia" w:asciiTheme="majorHAnsi" w:hAnsiTheme="majorHAnsi" w:eastAsiaTheme="majorEastAsia" w:cstheme="majorBidi"/>
          <w:b/>
          <w:bCs/>
          <w:kern w:val="2"/>
          <w:sz w:val="44"/>
          <w:szCs w:val="44"/>
          <w:lang w:val="en-US" w:eastAsia="zh-CN" w:bidi="ar-SA"/>
        </w:rPr>
        <w:t>(2019 年修订版)</w:t>
      </w:r>
    </w:p>
    <w:p>
      <w:pPr>
        <w:keepNext/>
        <w:keepLines/>
        <w:spacing w:line="560" w:lineRule="exact"/>
        <w:ind w:firstLine="480" w:firstLineChars="200"/>
        <w:jc w:val="center"/>
        <w:rPr>
          <w:rStyle w:val="19"/>
          <w:rFonts w:hint="eastAsia" w:ascii="楷体" w:hAnsi="楷体" w:eastAsia="楷体" w:cs="楷体"/>
          <w:color w:val="000000"/>
          <w:sz w:val="24"/>
          <w:szCs w:val="24"/>
        </w:rPr>
      </w:pPr>
      <w:r>
        <w:rPr>
          <w:rStyle w:val="19"/>
          <w:rFonts w:hint="eastAsia" w:ascii="楷体" w:hAnsi="楷体" w:eastAsia="楷体" w:cs="楷体"/>
          <w:color w:val="000000"/>
          <w:sz w:val="24"/>
          <w:szCs w:val="24"/>
          <w:lang w:eastAsia="zh-CN"/>
        </w:rPr>
        <w:t>河南省地方金融监督管理局文件</w:t>
      </w:r>
      <w:r>
        <w:rPr>
          <w:rStyle w:val="19"/>
          <w:rFonts w:hint="eastAsia" w:ascii="楷体" w:hAnsi="楷体" w:eastAsia="楷体" w:cs="楷体"/>
          <w:color w:val="000000"/>
          <w:sz w:val="24"/>
          <w:szCs w:val="24"/>
          <w:lang w:val="en-US" w:eastAsia="zh-CN"/>
        </w:rPr>
        <w:t xml:space="preserve"> </w:t>
      </w:r>
      <w:r>
        <w:rPr>
          <w:rStyle w:val="19"/>
          <w:rFonts w:hint="eastAsia" w:ascii="楷体" w:hAnsi="楷体" w:eastAsia="楷体" w:cs="楷体"/>
          <w:color w:val="000000"/>
          <w:sz w:val="24"/>
          <w:szCs w:val="24"/>
          <w:lang w:eastAsia="zh-CN"/>
        </w:rPr>
        <w:t>豫金发</w:t>
      </w:r>
      <w:r>
        <w:rPr>
          <w:rStyle w:val="19"/>
          <w:rFonts w:hint="eastAsia" w:ascii="楷体" w:hAnsi="楷体" w:eastAsia="楷体" w:cs="楷体"/>
          <w:color w:val="000000"/>
          <w:sz w:val="24"/>
          <w:szCs w:val="24"/>
        </w:rPr>
        <w:t>〔20</w:t>
      </w:r>
      <w:r>
        <w:rPr>
          <w:rStyle w:val="19"/>
          <w:rFonts w:hint="eastAsia" w:ascii="楷体" w:hAnsi="楷体" w:eastAsia="楷体" w:cs="楷体"/>
          <w:color w:val="000000"/>
          <w:sz w:val="24"/>
          <w:szCs w:val="24"/>
          <w:lang w:val="en-US" w:eastAsia="zh-CN"/>
        </w:rPr>
        <w:t>19</w:t>
      </w:r>
      <w:r>
        <w:rPr>
          <w:rStyle w:val="19"/>
          <w:rFonts w:hint="eastAsia" w:ascii="楷体" w:hAnsi="楷体" w:eastAsia="楷体" w:cs="楷体"/>
          <w:color w:val="000000"/>
          <w:sz w:val="24"/>
          <w:szCs w:val="24"/>
        </w:rPr>
        <w:t>〕</w:t>
      </w:r>
      <w:r>
        <w:rPr>
          <w:rStyle w:val="19"/>
          <w:rFonts w:hint="eastAsia" w:ascii="楷体" w:hAnsi="楷体" w:eastAsia="楷体" w:cs="楷体"/>
          <w:color w:val="000000"/>
          <w:sz w:val="24"/>
          <w:szCs w:val="24"/>
          <w:lang w:val="en-US" w:eastAsia="zh-CN"/>
        </w:rPr>
        <w:t>201</w:t>
      </w:r>
      <w:r>
        <w:rPr>
          <w:rStyle w:val="19"/>
          <w:rFonts w:hint="eastAsia" w:ascii="楷体" w:hAnsi="楷体" w:eastAsia="楷体" w:cs="楷体"/>
          <w:color w:val="000000"/>
          <w:sz w:val="24"/>
          <w:szCs w:val="24"/>
        </w:rPr>
        <w:t>号</w:t>
      </w:r>
    </w:p>
    <w:p>
      <w:pPr>
        <w:keepNext/>
        <w:keepLines/>
        <w:spacing w:line="560" w:lineRule="exact"/>
        <w:ind w:firstLine="480" w:firstLineChars="200"/>
        <w:jc w:val="center"/>
        <w:rPr>
          <w:rFonts w:hint="eastAsia" w:ascii="仿宋" w:hAnsi="仿宋" w:eastAsia="仿宋" w:cs="宋体"/>
          <w:kern w:val="0"/>
          <w:sz w:val="32"/>
          <w:szCs w:val="32"/>
        </w:rPr>
      </w:pPr>
      <w:r>
        <w:rPr>
          <w:rStyle w:val="19"/>
          <w:rFonts w:hint="eastAsia" w:ascii="楷体" w:hAnsi="楷体" w:eastAsia="楷体" w:cs="楷体"/>
          <w:color w:val="000000"/>
          <w:sz w:val="24"/>
          <w:szCs w:val="24"/>
        </w:rPr>
        <w:t>20</w:t>
      </w:r>
      <w:r>
        <w:rPr>
          <w:rStyle w:val="19"/>
          <w:rFonts w:hint="eastAsia" w:ascii="楷体" w:hAnsi="楷体" w:eastAsia="楷体" w:cs="楷体"/>
          <w:color w:val="000000"/>
          <w:sz w:val="24"/>
          <w:szCs w:val="24"/>
          <w:lang w:val="en-US" w:eastAsia="zh-CN"/>
        </w:rPr>
        <w:t>19</w:t>
      </w:r>
      <w:r>
        <w:rPr>
          <w:rStyle w:val="19"/>
          <w:rFonts w:hint="eastAsia" w:ascii="楷体" w:hAnsi="楷体" w:eastAsia="楷体" w:cs="楷体"/>
          <w:color w:val="000000"/>
          <w:sz w:val="24"/>
          <w:szCs w:val="24"/>
        </w:rPr>
        <w:t>年</w:t>
      </w:r>
      <w:r>
        <w:rPr>
          <w:rStyle w:val="19"/>
          <w:rFonts w:hint="eastAsia" w:ascii="楷体" w:hAnsi="楷体" w:eastAsia="楷体" w:cs="楷体"/>
          <w:color w:val="000000"/>
          <w:sz w:val="24"/>
          <w:szCs w:val="24"/>
          <w:lang w:val="en-US" w:eastAsia="zh-CN"/>
        </w:rPr>
        <w:t>8</w:t>
      </w:r>
      <w:r>
        <w:rPr>
          <w:rStyle w:val="19"/>
          <w:rFonts w:hint="eastAsia" w:ascii="楷体" w:hAnsi="楷体" w:eastAsia="楷体" w:cs="楷体"/>
          <w:color w:val="000000"/>
          <w:sz w:val="24"/>
          <w:szCs w:val="24"/>
        </w:rPr>
        <w:t>月</w:t>
      </w:r>
      <w:r>
        <w:rPr>
          <w:rStyle w:val="19"/>
          <w:rFonts w:hint="eastAsia" w:ascii="楷体" w:hAnsi="楷体" w:eastAsia="楷体" w:cs="楷体"/>
          <w:color w:val="000000"/>
          <w:sz w:val="24"/>
          <w:szCs w:val="24"/>
          <w:lang w:val="en-US" w:eastAsia="zh-CN"/>
        </w:rPr>
        <w:t>19</w:t>
      </w:r>
      <w:r>
        <w:rPr>
          <w:rStyle w:val="19"/>
          <w:rFonts w:hint="eastAsia" w:ascii="楷体" w:hAnsi="楷体" w:eastAsia="楷体" w:cs="楷体"/>
          <w:color w:val="000000"/>
          <w:sz w:val="24"/>
          <w:szCs w:val="24"/>
        </w:rPr>
        <w:t>日印发</w:t>
      </w:r>
    </w:p>
    <w:p>
      <w:pPr>
        <w:rPr>
          <w:rFonts w:hint="eastAsia"/>
          <w:lang w:val="en-US" w:eastAsia="zh-CN"/>
        </w:rPr>
      </w:pPr>
    </w:p>
    <w:p>
      <w:pPr>
        <w:ind w:firstLine="640" w:firstLineChars="200"/>
        <w:rPr>
          <w:rFonts w:ascii="仿宋" w:hAnsi="仿宋" w:eastAsia="仿宋"/>
          <w:sz w:val="32"/>
          <w:szCs w:val="32"/>
        </w:rPr>
      </w:pPr>
      <w:r>
        <w:rPr>
          <w:rFonts w:ascii="仿宋" w:hAnsi="仿宋" w:eastAsia="仿宋"/>
          <w:sz w:val="32"/>
          <w:szCs w:val="32"/>
        </w:rPr>
        <w:t>为规范河南省融资担保公司设立审批工作，落实国家和省委、省政府“放管服”的决策部署，提高融资担保公司设立审查和审批效率，根据《融资担保公司监督管理条例》(以下简称《条例》)等有关法律、法规、规章和规范性文件，制定本指引。</w:t>
      </w:r>
    </w:p>
    <w:p>
      <w:pPr>
        <w:ind w:firstLine="640" w:firstLineChars="200"/>
        <w:jc w:val="left"/>
        <w:rPr>
          <w:rFonts w:ascii="黑体" w:hAnsi="黑体" w:eastAsia="黑体" w:cs="黑体"/>
          <w:sz w:val="32"/>
          <w:szCs w:val="32"/>
        </w:rPr>
      </w:pPr>
      <w:r>
        <w:rPr>
          <w:rFonts w:ascii="黑体" w:hAnsi="黑体" w:eastAsia="黑体" w:cs="黑体"/>
          <w:sz w:val="32"/>
          <w:szCs w:val="32"/>
        </w:rPr>
        <w:t>一、申请条件</w:t>
      </w:r>
    </w:p>
    <w:p>
      <w:pPr>
        <w:ind w:firstLine="640" w:firstLineChars="200"/>
        <w:rPr>
          <w:rFonts w:ascii="仿宋" w:hAnsi="仿宋" w:eastAsia="仿宋"/>
          <w:sz w:val="32"/>
          <w:szCs w:val="32"/>
        </w:rPr>
      </w:pPr>
      <w:r>
        <w:rPr>
          <w:rFonts w:ascii="仿宋" w:hAnsi="仿宋" w:eastAsia="仿宋"/>
          <w:sz w:val="32"/>
          <w:szCs w:val="32"/>
        </w:rPr>
        <w:t>(一)注册资本。为实缴货币资本，且一次性缴纳。在国家级贫困县设立融资担保公司，注册资本不低于人民币1亿元;在省级贫困县设立融资担保公司，注册资本不低于人民币1.5亿元;在其他县(市)设立融资担保公司，注册资本不低于人民币2亿元;在省辖市各区设立融资担保公司，注册资本不低于人民币3亿元。设立专业性农业信贷融资担保公司，注册资本不低于人民币1亿元，其中财政性资金不得低于注册资本的80%。</w:t>
      </w:r>
    </w:p>
    <w:p>
      <w:pPr>
        <w:ind w:firstLine="640" w:firstLineChars="200"/>
        <w:rPr>
          <w:rFonts w:ascii="仿宋" w:hAnsi="仿宋" w:eastAsia="仿宋"/>
          <w:sz w:val="32"/>
          <w:szCs w:val="32"/>
        </w:rPr>
      </w:pPr>
      <w:r>
        <w:rPr>
          <w:rFonts w:ascii="仿宋" w:hAnsi="仿宋" w:eastAsia="仿宋"/>
          <w:sz w:val="32"/>
          <w:szCs w:val="32"/>
        </w:rPr>
        <w:t>(二)股东要求。股东信誉良好，最近三个会计年度(实际经营期不满三年的，按实际经营时间计算)无重大违法违规记录，主发起人(第一大股东)为企业法人、政府财政、事业法人、社团组织或国(境)外法人。主发起人管理规范、信用良好、实力雄厚，有充足的货币资金足以满足出资需要，对本项目出资不得低于本项目注册资本的30%。</w:t>
      </w:r>
    </w:p>
    <w:p>
      <w:pPr>
        <w:ind w:firstLine="640" w:firstLineChars="200"/>
        <w:rPr>
          <w:rFonts w:ascii="仿宋" w:hAnsi="仿宋" w:eastAsia="仿宋"/>
          <w:sz w:val="32"/>
          <w:szCs w:val="32"/>
        </w:rPr>
      </w:pPr>
      <w:r>
        <w:rPr>
          <w:rFonts w:ascii="仿宋" w:hAnsi="仿宋" w:eastAsia="仿宋"/>
          <w:sz w:val="32"/>
          <w:szCs w:val="32"/>
        </w:rPr>
        <w:t>自然人股东具有完全民事行为能力，信誉良好，有充足的货币资金，入股资金为自有货币资金，出资来源合法有效，不得以他人委托资金、借贷资金入股。自然人股东以共有财产出资应征得其财产共有人同意。</w:t>
      </w:r>
    </w:p>
    <w:p>
      <w:pPr>
        <w:ind w:firstLine="640" w:firstLineChars="200"/>
        <w:rPr>
          <w:rFonts w:ascii="仿宋" w:hAnsi="仿宋" w:eastAsia="仿宋"/>
          <w:sz w:val="32"/>
          <w:szCs w:val="32"/>
        </w:rPr>
      </w:pPr>
      <w:r>
        <w:rPr>
          <w:rFonts w:ascii="仿宋" w:hAnsi="仿宋" w:eastAsia="仿宋"/>
          <w:sz w:val="32"/>
          <w:szCs w:val="32"/>
        </w:rPr>
        <w:t>(三)人员要求。拟任董事、监事、高级管理人员熟悉与融资担保业务相关的法律法规，信誉良好，具有履行职责所需的从业经验和管理能力。</w:t>
      </w:r>
    </w:p>
    <w:p>
      <w:pPr>
        <w:ind w:firstLine="640" w:firstLineChars="200"/>
        <w:jc w:val="left"/>
        <w:rPr>
          <w:rFonts w:ascii="黑体" w:hAnsi="黑体" w:eastAsia="黑体" w:cs="黑体"/>
          <w:sz w:val="32"/>
          <w:szCs w:val="32"/>
        </w:rPr>
      </w:pPr>
      <w:r>
        <w:rPr>
          <w:rFonts w:ascii="黑体" w:hAnsi="黑体" w:eastAsia="黑体" w:cs="黑体"/>
          <w:sz w:val="32"/>
          <w:szCs w:val="32"/>
        </w:rPr>
        <w:t>二、设立要点</w:t>
      </w:r>
    </w:p>
    <w:p>
      <w:pPr>
        <w:ind w:firstLine="640" w:firstLineChars="200"/>
        <w:rPr>
          <w:rFonts w:ascii="仿宋" w:hAnsi="仿宋" w:eastAsia="仿宋"/>
          <w:sz w:val="32"/>
          <w:szCs w:val="32"/>
        </w:rPr>
      </w:pPr>
      <w:r>
        <w:rPr>
          <w:rFonts w:ascii="仿宋" w:hAnsi="仿宋" w:eastAsia="仿宋"/>
          <w:sz w:val="32"/>
          <w:szCs w:val="32"/>
        </w:rPr>
        <w:t>(一)出资人按照《中华人民共和国公司法》(以下简称《公司法》)规定,签订出资人协议书，确定拟组建融资担保公司的组织形式、出资方式和股本结构，明确出资人的权利和义务。</w:t>
      </w:r>
    </w:p>
    <w:p>
      <w:pPr>
        <w:ind w:firstLine="640" w:firstLineChars="200"/>
        <w:rPr>
          <w:rFonts w:ascii="仿宋" w:hAnsi="仿宋" w:eastAsia="仿宋"/>
          <w:sz w:val="32"/>
          <w:szCs w:val="32"/>
        </w:rPr>
      </w:pPr>
      <w:r>
        <w:rPr>
          <w:rFonts w:ascii="仿宋" w:hAnsi="仿宋" w:eastAsia="仿宋"/>
          <w:sz w:val="32"/>
          <w:szCs w:val="32"/>
        </w:rPr>
        <w:t>(二)主要出资人召集其他出资人召开出资人会议，按照法定程序审议通过出资设立融资担保公司、成立筹备工作小组(或指定代表或者共同委托代理人)并授权其履行组建工作职责的有关决议。</w:t>
      </w:r>
    </w:p>
    <w:p>
      <w:pPr>
        <w:ind w:firstLine="640" w:firstLineChars="200"/>
        <w:rPr>
          <w:rFonts w:ascii="仿宋" w:hAnsi="仿宋" w:eastAsia="仿宋"/>
          <w:sz w:val="32"/>
          <w:szCs w:val="32"/>
        </w:rPr>
      </w:pPr>
      <w:r>
        <w:rPr>
          <w:rFonts w:ascii="仿宋" w:hAnsi="仿宋" w:eastAsia="仿宋"/>
          <w:sz w:val="32"/>
          <w:szCs w:val="32"/>
        </w:rPr>
        <w:t>(三)起草新设融资担保公司章程草案和各项内部管理制度。</w:t>
      </w:r>
    </w:p>
    <w:p>
      <w:pPr>
        <w:ind w:firstLine="640" w:firstLineChars="200"/>
        <w:rPr>
          <w:rFonts w:ascii="仿宋" w:hAnsi="仿宋" w:eastAsia="仿宋"/>
          <w:sz w:val="32"/>
          <w:szCs w:val="32"/>
        </w:rPr>
      </w:pPr>
      <w:r>
        <w:rPr>
          <w:rFonts w:ascii="仿宋" w:hAnsi="仿宋" w:eastAsia="仿宋"/>
          <w:sz w:val="32"/>
          <w:szCs w:val="32"/>
        </w:rPr>
        <w:t>(四)召开创立大会(出资人会议)、董事会等有关会议，审议通过章程草案，选举董事、监事及聘任高级管理人员，审议通过内部管理机构设置、内部管理制度等议案。</w:t>
      </w:r>
    </w:p>
    <w:p>
      <w:pPr>
        <w:ind w:firstLine="640" w:firstLineChars="200"/>
        <w:rPr>
          <w:rFonts w:ascii="仿宋" w:hAnsi="仿宋" w:eastAsia="仿宋"/>
          <w:sz w:val="32"/>
          <w:szCs w:val="32"/>
        </w:rPr>
      </w:pPr>
      <w:r>
        <w:rPr>
          <w:rFonts w:ascii="仿宋" w:hAnsi="仿宋" w:eastAsia="仿宋"/>
          <w:sz w:val="32"/>
          <w:szCs w:val="32"/>
        </w:rPr>
        <w:t>(五)预先核准新设融资担保公司名称。</w:t>
      </w:r>
    </w:p>
    <w:p>
      <w:pPr>
        <w:ind w:firstLine="640" w:firstLineChars="200"/>
        <w:rPr>
          <w:rFonts w:ascii="仿宋" w:hAnsi="仿宋" w:eastAsia="仿宋"/>
          <w:sz w:val="32"/>
          <w:szCs w:val="32"/>
        </w:rPr>
      </w:pPr>
      <w:r>
        <w:rPr>
          <w:rFonts w:ascii="仿宋" w:hAnsi="仿宋" w:eastAsia="仿宋"/>
          <w:sz w:val="32"/>
          <w:szCs w:val="32"/>
        </w:rPr>
        <w:t>(六)遴选会计师事务所验资，出具验资报告。</w:t>
      </w:r>
    </w:p>
    <w:p>
      <w:pPr>
        <w:ind w:firstLine="640" w:firstLineChars="200"/>
        <w:rPr>
          <w:rFonts w:ascii="仿宋" w:hAnsi="仿宋" w:eastAsia="仿宋"/>
          <w:sz w:val="32"/>
          <w:szCs w:val="32"/>
        </w:rPr>
      </w:pPr>
      <w:r>
        <w:rPr>
          <w:rFonts w:ascii="仿宋" w:hAnsi="仿宋" w:eastAsia="仿宋"/>
          <w:sz w:val="32"/>
          <w:szCs w:val="32"/>
        </w:rPr>
        <w:t>(七)拟任董事、监事及高级管理人员熟悉与融资担保业务相关的法律法规，具有履行职责所需的从业经验和管理能力。</w:t>
      </w:r>
    </w:p>
    <w:p>
      <w:pPr>
        <w:ind w:firstLine="640" w:firstLineChars="200"/>
        <w:rPr>
          <w:rFonts w:ascii="仿宋" w:hAnsi="仿宋" w:eastAsia="仿宋"/>
          <w:sz w:val="32"/>
          <w:szCs w:val="32"/>
        </w:rPr>
      </w:pPr>
      <w:r>
        <w:rPr>
          <w:rFonts w:ascii="仿宋" w:hAnsi="仿宋" w:eastAsia="仿宋"/>
          <w:sz w:val="32"/>
          <w:szCs w:val="32"/>
        </w:rPr>
        <w:t>(八)确定营业场所。</w:t>
      </w:r>
    </w:p>
    <w:p>
      <w:pPr>
        <w:ind w:firstLine="640" w:firstLineChars="200"/>
        <w:rPr>
          <w:rFonts w:ascii="仿宋" w:hAnsi="仿宋" w:eastAsia="仿宋"/>
          <w:sz w:val="32"/>
          <w:szCs w:val="32"/>
        </w:rPr>
      </w:pPr>
      <w:r>
        <w:rPr>
          <w:rFonts w:ascii="仿宋" w:hAnsi="仿宋" w:eastAsia="仿宋"/>
          <w:sz w:val="32"/>
          <w:szCs w:val="32"/>
        </w:rPr>
        <w:t>(九)在当地主流报纸上公示发起设立融资担保公司的基本情况、资金来源真实合法和依法合规经营承诺等信息。</w:t>
      </w:r>
    </w:p>
    <w:p>
      <w:pPr>
        <w:ind w:firstLine="640" w:firstLineChars="200"/>
        <w:rPr>
          <w:rFonts w:ascii="仿宋" w:hAnsi="仿宋" w:eastAsia="仿宋"/>
          <w:sz w:val="32"/>
          <w:szCs w:val="32"/>
        </w:rPr>
      </w:pPr>
      <w:r>
        <w:rPr>
          <w:rFonts w:ascii="仿宋" w:hAnsi="仿宋" w:eastAsia="仿宋"/>
          <w:sz w:val="32"/>
          <w:szCs w:val="32"/>
        </w:rPr>
        <w:t>(十)提交申请材料，获得设立批复后，凭经营许可证到市场监管部门办理注册登记手续。</w:t>
      </w:r>
    </w:p>
    <w:p>
      <w:pPr>
        <w:ind w:firstLine="640" w:firstLineChars="200"/>
        <w:jc w:val="left"/>
        <w:rPr>
          <w:rFonts w:ascii="黑体" w:hAnsi="黑体" w:eastAsia="黑体" w:cs="黑体"/>
          <w:sz w:val="32"/>
          <w:szCs w:val="32"/>
        </w:rPr>
      </w:pPr>
      <w:r>
        <w:rPr>
          <w:rFonts w:ascii="黑体" w:hAnsi="黑体" w:eastAsia="黑体" w:cs="黑体"/>
          <w:sz w:val="32"/>
          <w:szCs w:val="32"/>
        </w:rPr>
        <w:t>三、申请材料</w:t>
      </w:r>
    </w:p>
    <w:p>
      <w:pPr>
        <w:ind w:firstLine="640" w:firstLineChars="200"/>
        <w:rPr>
          <w:rFonts w:ascii="仿宋" w:hAnsi="仿宋" w:eastAsia="仿宋"/>
          <w:sz w:val="32"/>
          <w:szCs w:val="32"/>
        </w:rPr>
      </w:pPr>
      <w:r>
        <w:rPr>
          <w:rFonts w:ascii="仿宋" w:hAnsi="仿宋" w:eastAsia="仿宋"/>
          <w:sz w:val="32"/>
          <w:szCs w:val="32"/>
        </w:rPr>
        <w:t>(一)新设融资担保公司的设立申请登记表(原件1份);</w:t>
      </w:r>
    </w:p>
    <w:p>
      <w:pPr>
        <w:ind w:firstLine="640" w:firstLineChars="200"/>
        <w:rPr>
          <w:rFonts w:ascii="仿宋" w:hAnsi="仿宋" w:eastAsia="仿宋"/>
          <w:sz w:val="32"/>
          <w:szCs w:val="32"/>
        </w:rPr>
      </w:pPr>
      <w:r>
        <w:rPr>
          <w:rFonts w:ascii="仿宋" w:hAnsi="仿宋" w:eastAsia="仿宋"/>
          <w:sz w:val="32"/>
          <w:szCs w:val="32"/>
        </w:rPr>
        <w:t>(二)省辖市、省直管县(市)金融局或主发起人的省级主管单位关于设立融资担保公司的请示或函(原件1份);</w:t>
      </w:r>
    </w:p>
    <w:p>
      <w:pPr>
        <w:ind w:firstLine="640" w:firstLineChars="200"/>
        <w:rPr>
          <w:rFonts w:ascii="仿宋" w:hAnsi="仿宋" w:eastAsia="仿宋"/>
          <w:sz w:val="32"/>
          <w:szCs w:val="32"/>
        </w:rPr>
      </w:pPr>
      <w:r>
        <w:rPr>
          <w:rFonts w:ascii="仿宋" w:hAnsi="仿宋" w:eastAsia="仿宋"/>
          <w:sz w:val="32"/>
          <w:szCs w:val="32"/>
        </w:rPr>
        <w:t>(三)新设融资担保公司提交的登记注册机关核发的在有效期内的《企业名称预先核准通知书》(复印件1份);</w:t>
      </w:r>
    </w:p>
    <w:p>
      <w:pPr>
        <w:ind w:firstLine="640" w:firstLineChars="200"/>
        <w:rPr>
          <w:rFonts w:ascii="仿宋" w:hAnsi="仿宋" w:eastAsia="仿宋"/>
          <w:sz w:val="32"/>
          <w:szCs w:val="32"/>
        </w:rPr>
      </w:pPr>
      <w:r>
        <w:rPr>
          <w:rFonts w:ascii="仿宋" w:hAnsi="仿宋" w:eastAsia="仿宋"/>
          <w:sz w:val="32"/>
          <w:szCs w:val="32"/>
        </w:rPr>
        <w:t>(四)新设融资担保公司在当地主流报纸上刊登的基本情况、材料真实性承诺和合规经营承诺情况的公告(原件1份);</w:t>
      </w:r>
    </w:p>
    <w:p>
      <w:pPr>
        <w:ind w:firstLine="640" w:firstLineChars="200"/>
        <w:rPr>
          <w:rFonts w:ascii="仿宋" w:hAnsi="仿宋" w:eastAsia="仿宋"/>
          <w:sz w:val="32"/>
          <w:szCs w:val="32"/>
        </w:rPr>
      </w:pPr>
      <w:r>
        <w:rPr>
          <w:rFonts w:ascii="仿宋" w:hAnsi="仿宋" w:eastAsia="仿宋"/>
          <w:sz w:val="32"/>
          <w:szCs w:val="32"/>
        </w:rPr>
        <w:t>(五)新设融资担保公司的可行性研究报告(包括经营发展战略和规划)(原件1份);</w:t>
      </w:r>
    </w:p>
    <w:p>
      <w:pPr>
        <w:ind w:firstLine="640" w:firstLineChars="200"/>
        <w:rPr>
          <w:rFonts w:ascii="仿宋" w:hAnsi="仿宋" w:eastAsia="仿宋"/>
          <w:sz w:val="32"/>
          <w:szCs w:val="32"/>
        </w:rPr>
      </w:pPr>
      <w:r>
        <w:rPr>
          <w:rFonts w:ascii="仿宋" w:hAnsi="仿宋" w:eastAsia="仿宋"/>
          <w:sz w:val="32"/>
          <w:szCs w:val="32"/>
        </w:rPr>
        <w:t>(六)新设融资担保公司的股东会、董事会(设董事会时提供)和监事会(设监事会时提供)的决议(原件1份);</w:t>
      </w:r>
    </w:p>
    <w:p>
      <w:pPr>
        <w:ind w:firstLine="640" w:firstLineChars="200"/>
        <w:rPr>
          <w:rFonts w:ascii="仿宋" w:hAnsi="仿宋" w:eastAsia="仿宋"/>
          <w:sz w:val="32"/>
          <w:szCs w:val="32"/>
        </w:rPr>
      </w:pPr>
      <w:r>
        <w:rPr>
          <w:rFonts w:ascii="仿宋" w:hAnsi="仿宋" w:eastAsia="仿宋"/>
          <w:sz w:val="32"/>
          <w:szCs w:val="32"/>
        </w:rPr>
        <w:t>(七)新设融资担保公司章程(原件1份);</w:t>
      </w:r>
    </w:p>
    <w:p>
      <w:pPr>
        <w:ind w:firstLine="640" w:firstLineChars="200"/>
        <w:rPr>
          <w:rFonts w:ascii="仿宋" w:hAnsi="仿宋" w:eastAsia="仿宋"/>
          <w:sz w:val="32"/>
          <w:szCs w:val="32"/>
        </w:rPr>
      </w:pPr>
      <w:r>
        <w:rPr>
          <w:rFonts w:ascii="仿宋" w:hAnsi="仿宋" w:eastAsia="仿宋"/>
          <w:sz w:val="32"/>
          <w:szCs w:val="32"/>
        </w:rPr>
        <w:t>(八)新设融资担保公司提交法定验资机构出具的在有效期内的验资报告(原件1份);</w:t>
      </w:r>
    </w:p>
    <w:p>
      <w:pPr>
        <w:ind w:firstLine="640" w:firstLineChars="200"/>
        <w:rPr>
          <w:rFonts w:ascii="仿宋" w:hAnsi="仿宋" w:eastAsia="仿宋"/>
          <w:sz w:val="32"/>
          <w:szCs w:val="32"/>
        </w:rPr>
      </w:pPr>
      <w:r>
        <w:rPr>
          <w:rFonts w:ascii="仿宋" w:hAnsi="仿宋" w:eastAsia="仿宋"/>
          <w:sz w:val="32"/>
          <w:szCs w:val="32"/>
        </w:rPr>
        <w:t>(九)新设融资担保公司的企业法人股东提交以下资料，并加盖公章和法定代表人签字:1.法人股东近三年(实际经营期不满三年的，按实际经营时间计算)的审计报告(复印件1份);2.人民银行的信用报告(原件1份);</w:t>
      </w:r>
    </w:p>
    <w:p>
      <w:pPr>
        <w:ind w:firstLine="640" w:firstLineChars="200"/>
        <w:rPr>
          <w:rFonts w:ascii="仿宋" w:hAnsi="仿宋" w:eastAsia="仿宋"/>
          <w:sz w:val="32"/>
          <w:szCs w:val="32"/>
        </w:rPr>
      </w:pPr>
      <w:r>
        <w:rPr>
          <w:rFonts w:ascii="仿宋" w:hAnsi="仿宋" w:eastAsia="仿宋"/>
          <w:sz w:val="32"/>
          <w:szCs w:val="32"/>
        </w:rPr>
        <w:t>(十)新设融资担保公司的自然人股东提交以下资料，并签字:1.身份证(复印件1份);2.自然人股东资金来源说明(原件1份);3.个人信用记录报告(原件1份);</w:t>
      </w:r>
    </w:p>
    <w:p>
      <w:pPr>
        <w:ind w:firstLine="640" w:firstLineChars="200"/>
        <w:rPr>
          <w:rFonts w:ascii="仿宋" w:hAnsi="仿宋" w:eastAsia="仿宋"/>
          <w:sz w:val="32"/>
          <w:szCs w:val="32"/>
        </w:rPr>
      </w:pPr>
      <w:r>
        <w:rPr>
          <w:rFonts w:ascii="仿宋" w:hAnsi="仿宋" w:eastAsia="仿宋"/>
          <w:sz w:val="32"/>
          <w:szCs w:val="32"/>
        </w:rPr>
        <w:t>(十一)新设融资担保公司的拟任董事、监事、高级管理人员材料：1.董事、监事、高级管理人员情况表(原件1份);2.身份证(复印件1份);3.个人信用记录报告(原件1份);</w:t>
      </w:r>
    </w:p>
    <w:p>
      <w:pPr>
        <w:ind w:firstLine="640" w:firstLineChars="200"/>
        <w:rPr>
          <w:rFonts w:ascii="仿宋" w:hAnsi="仿宋" w:eastAsia="仿宋"/>
          <w:sz w:val="32"/>
          <w:szCs w:val="32"/>
        </w:rPr>
      </w:pPr>
      <w:r>
        <w:rPr>
          <w:rFonts w:ascii="仿宋" w:hAnsi="仿宋" w:eastAsia="仿宋"/>
          <w:sz w:val="32"/>
          <w:szCs w:val="32"/>
        </w:rPr>
        <w:t>(十二)新设融资担保公司制度：财务管理制度、信息统计和披露制度、重大风险事件应急管理制度、风险控制管理制度、项目评审和业务决策内审制度、事后追偿和处置制度、客户档案管理及保密制度等内部管理制度(原件各1份)。</w:t>
      </w:r>
    </w:p>
    <w:p>
      <w:pPr>
        <w:ind w:firstLine="640" w:firstLineChars="200"/>
        <w:jc w:val="left"/>
        <w:rPr>
          <w:rFonts w:ascii="黑体" w:hAnsi="黑体" w:eastAsia="黑体" w:cs="黑体"/>
          <w:sz w:val="32"/>
          <w:szCs w:val="32"/>
        </w:rPr>
      </w:pPr>
      <w:r>
        <w:rPr>
          <w:rFonts w:ascii="黑体" w:hAnsi="黑体" w:eastAsia="黑体" w:cs="黑体"/>
          <w:sz w:val="32"/>
          <w:szCs w:val="32"/>
        </w:rPr>
        <w:t>四、审查要点</w:t>
      </w:r>
    </w:p>
    <w:p>
      <w:pPr>
        <w:ind w:firstLine="640" w:firstLineChars="200"/>
        <w:rPr>
          <w:rFonts w:ascii="仿宋" w:hAnsi="仿宋" w:eastAsia="仿宋"/>
          <w:sz w:val="32"/>
          <w:szCs w:val="32"/>
        </w:rPr>
      </w:pPr>
      <w:r>
        <w:rPr>
          <w:rFonts w:ascii="仿宋" w:hAnsi="仿宋" w:eastAsia="仿宋"/>
          <w:sz w:val="32"/>
          <w:szCs w:val="32"/>
        </w:rPr>
        <w:t>(一)设立申请登记表审查。申请人自行下载并按要求如实填写、逐项自查，登记表不得缺项漏项。</w:t>
      </w:r>
    </w:p>
    <w:p>
      <w:pPr>
        <w:ind w:firstLine="640" w:firstLineChars="200"/>
        <w:rPr>
          <w:rFonts w:ascii="仿宋" w:hAnsi="仿宋" w:eastAsia="仿宋"/>
          <w:sz w:val="32"/>
          <w:szCs w:val="32"/>
        </w:rPr>
      </w:pPr>
      <w:r>
        <w:rPr>
          <w:rFonts w:ascii="仿宋" w:hAnsi="仿宋" w:eastAsia="仿宋"/>
          <w:sz w:val="32"/>
          <w:szCs w:val="32"/>
        </w:rPr>
        <w:t>(二)设立的请示或函审查。省辖市、省直管县(市)金融局或主发起人的省级主管单位关于设立的请示或函，要列明设立原因、新设公司基本情况、现场勘查、审查公示情况和材料审查意见等。</w:t>
      </w:r>
    </w:p>
    <w:p>
      <w:pPr>
        <w:ind w:firstLine="640" w:firstLineChars="200"/>
        <w:rPr>
          <w:rFonts w:ascii="仿宋" w:hAnsi="仿宋" w:eastAsia="仿宋"/>
          <w:sz w:val="32"/>
          <w:szCs w:val="32"/>
        </w:rPr>
      </w:pPr>
      <w:r>
        <w:rPr>
          <w:rFonts w:ascii="仿宋" w:hAnsi="仿宋" w:eastAsia="仿宋"/>
          <w:sz w:val="32"/>
          <w:szCs w:val="32"/>
        </w:rPr>
        <w:t>省级主管单位是指省直部门、中央企业、省属重点骨干企业和省属骨干企业。</w:t>
      </w:r>
    </w:p>
    <w:p>
      <w:pPr>
        <w:ind w:firstLine="640" w:firstLineChars="200"/>
        <w:rPr>
          <w:rFonts w:ascii="仿宋" w:hAnsi="仿宋" w:eastAsia="仿宋"/>
          <w:sz w:val="32"/>
          <w:szCs w:val="32"/>
        </w:rPr>
      </w:pPr>
      <w:r>
        <w:rPr>
          <w:rFonts w:ascii="仿宋" w:hAnsi="仿宋" w:eastAsia="仿宋"/>
          <w:sz w:val="32"/>
          <w:szCs w:val="32"/>
        </w:rPr>
        <w:t>(三)监管谈话的要求。在审查申请人的设立申请登记表的基础上，属地金融局可通过对融资担保业务相关的法律、法规、规章和规范性文件进行测试或约谈等方式，对董事、监事和高级管理人员的从业经验和管理能力做出初步的客观评价;通过信用(中国)或国家企业信用信息公示系统等查询股东的信用信息，或直接向公安、市场监管、税务及打击和处置非法集资领导小组办公室等有关部门发函等方式，对股东出资能力、信誉情况做出初步的客观评价;通过到公司的住所进行现场勘查,对购房合同(自有)或租赁合同现场审验等做出初步的客观评价。属地金融局约谈时，要现场核查被约谈人的身份证信息。</w:t>
      </w:r>
    </w:p>
    <w:p>
      <w:pPr>
        <w:ind w:firstLine="640" w:firstLineChars="200"/>
        <w:rPr>
          <w:rFonts w:ascii="仿宋" w:hAnsi="仿宋" w:eastAsia="仿宋"/>
          <w:sz w:val="32"/>
          <w:szCs w:val="32"/>
        </w:rPr>
      </w:pPr>
      <w:r>
        <w:rPr>
          <w:rFonts w:ascii="仿宋" w:hAnsi="仿宋" w:eastAsia="仿宋"/>
          <w:sz w:val="32"/>
          <w:szCs w:val="32"/>
        </w:rPr>
        <w:t>(四)公司名称审查。新设融资担保公司提交的《企业名称预先核准通知书》在有效期内，名称四部分组成,即行政区划、字号、行业、组织形式。其中行业仅为“融资担保”，专业性农业信贷担保公司，行业名称中应备注为“融资担保(农业信贷)。</w:t>
      </w:r>
    </w:p>
    <w:p>
      <w:pPr>
        <w:ind w:firstLine="640" w:firstLineChars="200"/>
        <w:rPr>
          <w:rFonts w:ascii="仿宋" w:hAnsi="仿宋" w:eastAsia="仿宋"/>
          <w:sz w:val="32"/>
          <w:szCs w:val="32"/>
        </w:rPr>
      </w:pPr>
      <w:r>
        <w:rPr>
          <w:rFonts w:ascii="仿宋" w:hAnsi="仿宋" w:eastAsia="仿宋"/>
          <w:sz w:val="32"/>
          <w:szCs w:val="32"/>
        </w:rPr>
        <w:t>(五)报纸公告审查。新设融资担保公司在当地主流报纸明显位置刊登的基本情况、材料真实性承诺和合规经营承诺情况的公告，公告内容包括：新设融资担保公司名称、住所、注册资本、股东及股权比例、拟任董事长、拟任监事长、拟任总经理人选，承诺申报材料真实合法、依法合规经营，并承担相应法律责任。</w:t>
      </w:r>
    </w:p>
    <w:p>
      <w:pPr>
        <w:ind w:firstLine="640" w:firstLineChars="200"/>
        <w:rPr>
          <w:rFonts w:ascii="仿宋" w:hAnsi="仿宋" w:eastAsia="仿宋"/>
          <w:sz w:val="32"/>
          <w:szCs w:val="32"/>
        </w:rPr>
      </w:pPr>
      <w:r>
        <w:rPr>
          <w:rFonts w:ascii="仿宋" w:hAnsi="仿宋" w:eastAsia="仿宋"/>
          <w:sz w:val="32"/>
          <w:szCs w:val="32"/>
        </w:rPr>
        <w:t>(六)可行性研究报告(包括经营发展战略和规划)审查。可行性研究报告内容至少包括：设立的可行性和必要性、市场前景分析、经营机制、目标市场、内控机制及控制目标、经济效益和社会效果等相关内容，可行性研究报告要有本项目确实可行的结论性意见，法人股东盖章、自然人股东签字。</w:t>
      </w:r>
    </w:p>
    <w:p>
      <w:pPr>
        <w:ind w:firstLine="640" w:firstLineChars="200"/>
        <w:rPr>
          <w:rFonts w:ascii="仿宋" w:hAnsi="仿宋" w:eastAsia="仿宋"/>
          <w:sz w:val="32"/>
          <w:szCs w:val="32"/>
        </w:rPr>
      </w:pPr>
      <w:r>
        <w:rPr>
          <w:rFonts w:ascii="仿宋" w:hAnsi="仿宋" w:eastAsia="仿宋"/>
          <w:sz w:val="32"/>
          <w:szCs w:val="32"/>
        </w:rPr>
        <w:t>(七)有关决议审查。设董事会或监事会时，相关决议符合《公司法》要求，即股东会选举董事和监事，董事会和监事会选举相应董事长和监事长，董事或监事的人数等相关决议内容要与公司章程的有关条款保持一致。股东会决议要符合法定程序，须参会的法人股东盖章、法定代表人或委托人签字，自然人股东签字;董事会和监事会决议，须参会人员签字。</w:t>
      </w:r>
    </w:p>
    <w:p>
      <w:pPr>
        <w:ind w:firstLine="640" w:firstLineChars="200"/>
        <w:rPr>
          <w:rFonts w:ascii="仿宋" w:hAnsi="仿宋" w:eastAsia="仿宋"/>
          <w:sz w:val="32"/>
          <w:szCs w:val="32"/>
        </w:rPr>
      </w:pPr>
      <w:r>
        <w:rPr>
          <w:rFonts w:ascii="仿宋" w:hAnsi="仿宋" w:eastAsia="仿宋"/>
          <w:sz w:val="32"/>
          <w:szCs w:val="32"/>
        </w:rPr>
        <w:t>(八)公司章程审查。公司章程应符合《公司法》要求，还要列明融资担保行业的特殊规定和禁止性条款，国有企业要把党建工作要求写入国有企业公司章程。公司章程需要法人股东盖章、自然人股东签字。</w:t>
      </w:r>
    </w:p>
    <w:p>
      <w:pPr>
        <w:ind w:firstLine="640" w:firstLineChars="200"/>
        <w:rPr>
          <w:rFonts w:ascii="仿宋" w:hAnsi="仿宋" w:eastAsia="仿宋"/>
          <w:sz w:val="32"/>
          <w:szCs w:val="32"/>
        </w:rPr>
      </w:pPr>
      <w:r>
        <w:rPr>
          <w:rFonts w:ascii="仿宋" w:hAnsi="仿宋" w:eastAsia="仿宋"/>
          <w:sz w:val="32"/>
          <w:szCs w:val="32"/>
        </w:rPr>
        <w:t>(九)验资报告审查。报告中的股东名称、出资金额、股权比例等与新设融资担保公司的股东相关信息一致;验资报告在90日内，带验证码或防伪标识，可登录河南省注册会计师网等有关网站查询。企业可在上报省地方金融监管局审批前开展验资工作，验资报告经省辖市、省直管县(市)金融局审验并盖章后，随同其他材料一并上报。</w:t>
      </w:r>
    </w:p>
    <w:p>
      <w:pPr>
        <w:ind w:firstLine="640" w:firstLineChars="200"/>
        <w:rPr>
          <w:rFonts w:ascii="仿宋" w:hAnsi="仿宋" w:eastAsia="仿宋"/>
          <w:sz w:val="32"/>
          <w:szCs w:val="32"/>
        </w:rPr>
      </w:pPr>
      <w:r>
        <w:rPr>
          <w:rFonts w:ascii="仿宋" w:hAnsi="仿宋" w:eastAsia="仿宋"/>
          <w:sz w:val="32"/>
          <w:szCs w:val="32"/>
        </w:rPr>
        <w:t>(十)法人股东审查。审计报告中的自有或流动货币资金须超过拟出资额(不含抵押、存货、担保类等资产)。</w:t>
      </w:r>
    </w:p>
    <w:p>
      <w:pPr>
        <w:ind w:firstLine="640" w:firstLineChars="200"/>
        <w:rPr>
          <w:rFonts w:ascii="仿宋" w:hAnsi="仿宋" w:eastAsia="仿宋"/>
          <w:sz w:val="32"/>
          <w:szCs w:val="32"/>
        </w:rPr>
      </w:pPr>
      <w:r>
        <w:rPr>
          <w:rFonts w:ascii="仿宋" w:hAnsi="仿宋" w:eastAsia="仿宋"/>
          <w:sz w:val="32"/>
          <w:szCs w:val="32"/>
        </w:rPr>
        <w:t>(十一)自然人股东审查。对照自然人股东资金来源说明进行审查，若主要来源于股权投资或兴办的经济实体,须登陆全国企业信用信息公示系统或信用(中国)等信用信息系统进行查证有关经济实体情况;其他来源的，可通过约谈或面签等方式了解。</w:t>
      </w:r>
    </w:p>
    <w:p>
      <w:pPr>
        <w:ind w:firstLine="640" w:firstLineChars="200"/>
        <w:rPr>
          <w:rFonts w:ascii="仿宋" w:hAnsi="仿宋" w:eastAsia="仿宋"/>
          <w:sz w:val="32"/>
          <w:szCs w:val="32"/>
        </w:rPr>
      </w:pPr>
      <w:r>
        <w:rPr>
          <w:rFonts w:ascii="仿宋" w:hAnsi="仿宋" w:eastAsia="仿宋"/>
          <w:sz w:val="32"/>
          <w:szCs w:val="32"/>
        </w:rPr>
        <w:t>(十二)从业人员审查。按照《条例》的有关规定，并结合《新设融资担保公司的设立申请登记表》的内容，对融资担保公司董事、监事、高级管理人员任职条件进行审查。其中，财务负责人应有中级以上的会计师证书或等同证书，属地金融局查看原件。</w:t>
      </w:r>
    </w:p>
    <w:p>
      <w:pPr>
        <w:ind w:firstLine="640" w:firstLineChars="200"/>
        <w:rPr>
          <w:rFonts w:ascii="仿宋" w:hAnsi="仿宋" w:eastAsia="仿宋"/>
          <w:sz w:val="32"/>
          <w:szCs w:val="32"/>
        </w:rPr>
      </w:pPr>
      <w:r>
        <w:rPr>
          <w:rFonts w:ascii="仿宋" w:hAnsi="仿宋" w:eastAsia="仿宋"/>
          <w:sz w:val="32"/>
          <w:szCs w:val="32"/>
        </w:rPr>
        <w:t>(十三)公司制度审查。审核新设融资担保公司是否制定了以下制度：财务管理制度、信息统计和披露制度、重大风险事件应急管理制度、风险控制管理制度、项目评审和业务决策内审制度、事后追偿和处置制度、客户档案管理及保密制度等。</w:t>
      </w:r>
    </w:p>
    <w:p>
      <w:pPr>
        <w:ind w:firstLine="640" w:firstLineChars="200"/>
        <w:jc w:val="left"/>
        <w:rPr>
          <w:rFonts w:ascii="黑体" w:hAnsi="黑体" w:eastAsia="黑体" w:cs="黑体"/>
          <w:sz w:val="32"/>
          <w:szCs w:val="32"/>
        </w:rPr>
      </w:pPr>
      <w:r>
        <w:rPr>
          <w:rFonts w:ascii="黑体" w:hAnsi="黑体" w:eastAsia="黑体" w:cs="黑体"/>
          <w:sz w:val="32"/>
          <w:szCs w:val="32"/>
        </w:rPr>
        <w:t>五、办理程序</w:t>
      </w:r>
    </w:p>
    <w:p>
      <w:pPr>
        <w:ind w:firstLine="640" w:firstLineChars="200"/>
        <w:rPr>
          <w:rFonts w:ascii="仿宋" w:hAnsi="仿宋" w:eastAsia="仿宋"/>
          <w:sz w:val="32"/>
          <w:szCs w:val="32"/>
        </w:rPr>
      </w:pPr>
      <w:r>
        <w:rPr>
          <w:rFonts w:ascii="仿宋" w:hAnsi="仿宋" w:eastAsia="仿宋"/>
          <w:sz w:val="32"/>
          <w:szCs w:val="32"/>
        </w:rPr>
        <w:t>(一)受理。申请人符合本指引申请条件的，按照材料清单准备相关材料，通过市、县金融局逐级上报。纳入省直管的融资担保公司，由其省级主管单位向省地方金融监管局提交设立意见函。不予受理的，书面告知申请人，并说明理由。</w:t>
      </w:r>
    </w:p>
    <w:p>
      <w:pPr>
        <w:ind w:firstLine="640" w:firstLineChars="200"/>
        <w:rPr>
          <w:rFonts w:ascii="仿宋" w:hAnsi="仿宋" w:eastAsia="仿宋"/>
          <w:sz w:val="32"/>
          <w:szCs w:val="32"/>
        </w:rPr>
      </w:pPr>
      <w:r>
        <w:rPr>
          <w:rFonts w:ascii="仿宋" w:hAnsi="仿宋" w:eastAsia="仿宋"/>
          <w:sz w:val="32"/>
          <w:szCs w:val="32"/>
        </w:rPr>
        <w:t>(二)审查。实施逐级审查、逐级公示，属地金融局接到申请材料后，按照《条例》等有关规定，以及本指引的审查要点进行审查。经审查符合设立条件、材料齐全且门户网站公示期内无异议的，向上一级金融局提交设立申请。审查中，材料需要补正或说明的，要一次性告知申请人，并要求申请人限期完善;需要现场核查的，可组织专家现场核查，并书面告知申请人;需要征求有关部门意见的，应直接向有关部门函证。</w:t>
      </w:r>
    </w:p>
    <w:p>
      <w:pPr>
        <w:ind w:firstLine="640" w:firstLineChars="200"/>
        <w:rPr>
          <w:rFonts w:ascii="仿宋" w:hAnsi="仿宋" w:eastAsia="仿宋"/>
          <w:sz w:val="32"/>
          <w:szCs w:val="32"/>
        </w:rPr>
      </w:pPr>
      <w:r>
        <w:rPr>
          <w:rFonts w:ascii="仿宋" w:hAnsi="仿宋" w:eastAsia="仿宋"/>
          <w:sz w:val="32"/>
          <w:szCs w:val="32"/>
        </w:rPr>
        <w:t>(三)决定。符合条件拟予批准的，省地方金融监管局下发设立批复或函，颁发《融资担保业务经营许可证》;不予批准的，书面告知申请人，并说明理由。</w:t>
      </w:r>
    </w:p>
    <w:p>
      <w:pPr>
        <w:ind w:firstLine="640" w:firstLineChars="200"/>
        <w:rPr>
          <w:rFonts w:ascii="仿宋" w:hAnsi="仿宋" w:eastAsia="仿宋"/>
          <w:sz w:val="32"/>
          <w:szCs w:val="32"/>
        </w:rPr>
      </w:pPr>
      <w:r>
        <w:rPr>
          <w:rFonts w:ascii="仿宋" w:hAnsi="仿宋" w:eastAsia="仿宋"/>
          <w:sz w:val="32"/>
          <w:szCs w:val="32"/>
        </w:rPr>
        <w:t>(四)送达。省地方金融监管局将相关批复文件和《融资担保业务经营许可证》通过邮寄或自行领取等方式送达省辖市、省直管县(市)金融局或申请人。</w:t>
      </w:r>
    </w:p>
    <w:p>
      <w:pPr>
        <w:rPr>
          <w:rFonts w:asciiTheme="majorEastAsia" w:hAnsiTheme="majorEastAsia" w:eastAsiaTheme="majorEastAsia" w:cstheme="majorEastAsia"/>
        </w:rPr>
      </w:pPr>
      <w:r>
        <w:rPr>
          <w:rFonts w:ascii="仿宋" w:hAnsi="仿宋" w:eastAsia="仿宋"/>
          <w:sz w:val="32"/>
          <w:szCs w:val="32"/>
        </w:rPr>
        <w:br w:type="page"/>
      </w:r>
    </w:p>
    <w:p>
      <w:pPr>
        <w:pStyle w:val="3"/>
        <w:numPr>
          <w:ilvl w:val="0"/>
          <w:numId w:val="4"/>
        </w:numPr>
        <w:jc w:val="center"/>
        <w:rPr>
          <w:rFonts w:hint="eastAsia"/>
          <w:sz w:val="44"/>
          <w:szCs w:val="44"/>
        </w:rPr>
      </w:pPr>
      <w:bookmarkStart w:id="43" w:name="_Toc16749"/>
      <w:r>
        <w:rPr>
          <w:rFonts w:hint="eastAsia"/>
          <w:sz w:val="44"/>
          <w:szCs w:val="44"/>
        </w:rPr>
        <w:t>省外融资担保公司在河南省设立分支机构审批工作指引</w:t>
      </w:r>
      <w:bookmarkEnd w:id="43"/>
    </w:p>
    <w:p>
      <w:pPr>
        <w:keepNext/>
        <w:keepLines/>
        <w:spacing w:line="560" w:lineRule="exact"/>
        <w:ind w:firstLine="480" w:firstLineChars="200"/>
        <w:jc w:val="center"/>
        <w:rPr>
          <w:rStyle w:val="19"/>
          <w:rFonts w:hint="eastAsia" w:ascii="楷体" w:hAnsi="楷体" w:eastAsia="楷体" w:cs="楷体"/>
          <w:color w:val="000000"/>
          <w:sz w:val="24"/>
          <w:szCs w:val="24"/>
        </w:rPr>
      </w:pPr>
      <w:r>
        <w:rPr>
          <w:rStyle w:val="19"/>
          <w:rFonts w:hint="eastAsia" w:ascii="楷体" w:hAnsi="楷体" w:eastAsia="楷体" w:cs="楷体"/>
          <w:color w:val="000000"/>
          <w:sz w:val="24"/>
          <w:szCs w:val="24"/>
          <w:lang w:eastAsia="zh-CN"/>
        </w:rPr>
        <w:t>河南省地方金融监督管理局文件</w:t>
      </w:r>
      <w:r>
        <w:rPr>
          <w:rStyle w:val="19"/>
          <w:rFonts w:hint="eastAsia" w:ascii="楷体" w:hAnsi="楷体" w:eastAsia="楷体" w:cs="楷体"/>
          <w:color w:val="000000"/>
          <w:sz w:val="24"/>
          <w:szCs w:val="24"/>
          <w:lang w:val="en-US" w:eastAsia="zh-CN"/>
        </w:rPr>
        <w:t xml:space="preserve"> </w:t>
      </w:r>
      <w:r>
        <w:rPr>
          <w:rStyle w:val="19"/>
          <w:rFonts w:hint="eastAsia" w:ascii="楷体" w:hAnsi="楷体" w:eastAsia="楷体" w:cs="楷体"/>
          <w:color w:val="000000"/>
          <w:sz w:val="24"/>
          <w:szCs w:val="24"/>
          <w:lang w:eastAsia="zh-CN"/>
        </w:rPr>
        <w:t>豫金发</w:t>
      </w:r>
      <w:r>
        <w:rPr>
          <w:rStyle w:val="19"/>
          <w:rFonts w:hint="eastAsia" w:ascii="楷体" w:hAnsi="楷体" w:eastAsia="楷体" w:cs="楷体"/>
          <w:color w:val="000000"/>
          <w:sz w:val="24"/>
          <w:szCs w:val="24"/>
        </w:rPr>
        <w:t>〔20</w:t>
      </w:r>
      <w:r>
        <w:rPr>
          <w:rStyle w:val="19"/>
          <w:rFonts w:hint="eastAsia" w:ascii="楷体" w:hAnsi="楷体" w:eastAsia="楷体" w:cs="楷体"/>
          <w:color w:val="000000"/>
          <w:sz w:val="24"/>
          <w:szCs w:val="24"/>
          <w:lang w:val="en-US" w:eastAsia="zh-CN"/>
        </w:rPr>
        <w:t>19</w:t>
      </w:r>
      <w:r>
        <w:rPr>
          <w:rStyle w:val="19"/>
          <w:rFonts w:hint="eastAsia" w:ascii="楷体" w:hAnsi="楷体" w:eastAsia="楷体" w:cs="楷体"/>
          <w:color w:val="000000"/>
          <w:sz w:val="24"/>
          <w:szCs w:val="24"/>
        </w:rPr>
        <w:t>〕</w:t>
      </w:r>
      <w:r>
        <w:rPr>
          <w:rStyle w:val="19"/>
          <w:rFonts w:hint="eastAsia" w:ascii="楷体" w:hAnsi="楷体" w:eastAsia="楷体" w:cs="楷体"/>
          <w:color w:val="000000"/>
          <w:sz w:val="24"/>
          <w:szCs w:val="24"/>
          <w:lang w:val="en-US" w:eastAsia="zh-CN"/>
        </w:rPr>
        <w:t>199</w:t>
      </w:r>
      <w:r>
        <w:rPr>
          <w:rStyle w:val="19"/>
          <w:rFonts w:hint="eastAsia" w:ascii="楷体" w:hAnsi="楷体" w:eastAsia="楷体" w:cs="楷体"/>
          <w:color w:val="000000"/>
          <w:sz w:val="24"/>
          <w:szCs w:val="24"/>
        </w:rPr>
        <w:t>号</w:t>
      </w:r>
    </w:p>
    <w:p>
      <w:pPr>
        <w:keepNext/>
        <w:keepLines/>
        <w:spacing w:line="560" w:lineRule="exact"/>
        <w:ind w:firstLine="480" w:firstLineChars="200"/>
        <w:jc w:val="center"/>
        <w:rPr>
          <w:rFonts w:hint="eastAsia" w:ascii="仿宋" w:hAnsi="仿宋" w:eastAsia="仿宋" w:cs="宋体"/>
          <w:kern w:val="0"/>
          <w:sz w:val="32"/>
          <w:szCs w:val="32"/>
        </w:rPr>
      </w:pPr>
      <w:r>
        <w:rPr>
          <w:rStyle w:val="19"/>
          <w:rFonts w:hint="eastAsia" w:ascii="楷体" w:hAnsi="楷体" w:eastAsia="楷体" w:cs="楷体"/>
          <w:color w:val="000000"/>
          <w:sz w:val="24"/>
          <w:szCs w:val="24"/>
        </w:rPr>
        <w:t>20</w:t>
      </w:r>
      <w:r>
        <w:rPr>
          <w:rStyle w:val="19"/>
          <w:rFonts w:hint="eastAsia" w:ascii="楷体" w:hAnsi="楷体" w:eastAsia="楷体" w:cs="楷体"/>
          <w:color w:val="000000"/>
          <w:sz w:val="24"/>
          <w:szCs w:val="24"/>
          <w:lang w:val="en-US" w:eastAsia="zh-CN"/>
        </w:rPr>
        <w:t>19</w:t>
      </w:r>
      <w:r>
        <w:rPr>
          <w:rStyle w:val="19"/>
          <w:rFonts w:hint="eastAsia" w:ascii="楷体" w:hAnsi="楷体" w:eastAsia="楷体" w:cs="楷体"/>
          <w:color w:val="000000"/>
          <w:sz w:val="24"/>
          <w:szCs w:val="24"/>
        </w:rPr>
        <w:t>年</w:t>
      </w:r>
      <w:r>
        <w:rPr>
          <w:rStyle w:val="19"/>
          <w:rFonts w:hint="eastAsia" w:ascii="楷体" w:hAnsi="楷体" w:eastAsia="楷体" w:cs="楷体"/>
          <w:color w:val="000000"/>
          <w:sz w:val="24"/>
          <w:szCs w:val="24"/>
          <w:lang w:val="en-US" w:eastAsia="zh-CN"/>
        </w:rPr>
        <w:t>8</w:t>
      </w:r>
      <w:r>
        <w:rPr>
          <w:rStyle w:val="19"/>
          <w:rFonts w:hint="eastAsia" w:ascii="楷体" w:hAnsi="楷体" w:eastAsia="楷体" w:cs="楷体"/>
          <w:color w:val="000000"/>
          <w:sz w:val="24"/>
          <w:szCs w:val="24"/>
        </w:rPr>
        <w:t>月</w:t>
      </w:r>
      <w:r>
        <w:rPr>
          <w:rStyle w:val="19"/>
          <w:rFonts w:hint="eastAsia" w:ascii="楷体" w:hAnsi="楷体" w:eastAsia="楷体" w:cs="楷体"/>
          <w:color w:val="000000"/>
          <w:sz w:val="24"/>
          <w:szCs w:val="24"/>
          <w:lang w:val="en-US" w:eastAsia="zh-CN"/>
        </w:rPr>
        <w:t>19</w:t>
      </w:r>
      <w:r>
        <w:rPr>
          <w:rStyle w:val="19"/>
          <w:rFonts w:hint="eastAsia" w:ascii="楷体" w:hAnsi="楷体" w:eastAsia="楷体" w:cs="楷体"/>
          <w:color w:val="000000"/>
          <w:sz w:val="24"/>
          <w:szCs w:val="24"/>
        </w:rPr>
        <w:t>日印发</w:t>
      </w:r>
    </w:p>
    <w:p>
      <w:pPr>
        <w:numPr>
          <w:numId w:val="0"/>
        </w:numPr>
      </w:pPr>
    </w:p>
    <w:p>
      <w:pPr>
        <w:ind w:firstLine="640" w:firstLineChars="200"/>
        <w:rPr>
          <w:rFonts w:ascii="仿宋" w:hAnsi="仿宋" w:eastAsia="仿宋"/>
          <w:sz w:val="32"/>
          <w:szCs w:val="32"/>
        </w:rPr>
      </w:pPr>
      <w:r>
        <w:rPr>
          <w:rFonts w:ascii="仿宋" w:hAnsi="仿宋" w:eastAsia="仿宋"/>
          <w:sz w:val="32"/>
          <w:szCs w:val="32"/>
        </w:rPr>
        <w:t>为规范省外融资担保公司在河南省设立分支机构审批工作,切实加强监管，引导支持各类融资担保公司及其分支机构服务我省经济社会发展，根据《融资担保公司监督管理条例》等有关法律、法规、规章和规范性文件，制定本指引。</w:t>
      </w:r>
    </w:p>
    <w:p>
      <w:pPr>
        <w:rPr>
          <w:rFonts w:ascii="黑体" w:hAnsi="黑体" w:eastAsia="黑体" w:cs="黑体"/>
          <w:sz w:val="32"/>
          <w:szCs w:val="32"/>
        </w:rPr>
      </w:pPr>
      <w:r>
        <w:rPr>
          <w:rFonts w:hint="eastAsia" w:ascii="黑体" w:hAnsi="黑体" w:eastAsia="黑体" w:cs="黑体"/>
          <w:sz w:val="32"/>
          <w:szCs w:val="32"/>
        </w:rPr>
        <w:t>　　一、申请条件</w:t>
      </w:r>
    </w:p>
    <w:p>
      <w:pPr>
        <w:rPr>
          <w:rFonts w:ascii="仿宋" w:hAnsi="仿宋" w:eastAsia="仿宋"/>
          <w:sz w:val="32"/>
          <w:szCs w:val="32"/>
        </w:rPr>
      </w:pPr>
      <w:r>
        <w:rPr>
          <w:rFonts w:ascii="仿宋" w:hAnsi="仿宋" w:eastAsia="仿宋"/>
          <w:sz w:val="32"/>
          <w:szCs w:val="32"/>
        </w:rPr>
        <w:t>　　(一)总公司经营范围符合《融资担保公司监督管理条例》及四项配套制度规定。</w:t>
      </w:r>
    </w:p>
    <w:p>
      <w:pPr>
        <w:rPr>
          <w:rFonts w:ascii="仿宋" w:hAnsi="仿宋" w:eastAsia="仿宋"/>
          <w:sz w:val="32"/>
          <w:szCs w:val="32"/>
        </w:rPr>
      </w:pPr>
      <w:r>
        <w:rPr>
          <w:rFonts w:ascii="仿宋" w:hAnsi="仿宋" w:eastAsia="仿宋"/>
          <w:sz w:val="32"/>
          <w:szCs w:val="32"/>
        </w:rPr>
        <w:t>　　(二)总公司注册资本不低于30亿元人民币或等值人民币的外币。</w:t>
      </w:r>
    </w:p>
    <w:p>
      <w:pPr>
        <w:rPr>
          <w:rFonts w:ascii="仿宋" w:hAnsi="仿宋" w:eastAsia="仿宋"/>
          <w:sz w:val="32"/>
          <w:szCs w:val="32"/>
        </w:rPr>
      </w:pPr>
      <w:r>
        <w:rPr>
          <w:rFonts w:ascii="仿宋" w:hAnsi="仿宋" w:eastAsia="仿宋"/>
          <w:sz w:val="32"/>
          <w:szCs w:val="32"/>
        </w:rPr>
        <w:t>　　(三)总公司经营融资担保业务3年以上，且最近2个会计年度连续盈利;最近2年无重大违法违规记录。</w:t>
      </w:r>
    </w:p>
    <w:p>
      <w:pPr>
        <w:rPr>
          <w:rFonts w:ascii="仿宋" w:hAnsi="仿宋" w:eastAsia="仿宋"/>
          <w:sz w:val="32"/>
          <w:szCs w:val="32"/>
        </w:rPr>
      </w:pPr>
      <w:r>
        <w:rPr>
          <w:rFonts w:ascii="仿宋" w:hAnsi="仿宋" w:eastAsia="仿宋"/>
          <w:sz w:val="32"/>
          <w:szCs w:val="32"/>
        </w:rPr>
        <w:t>　　(四)总公司最近两年每年担保业务放大3倍以上,担保代偿率低于3%。</w:t>
      </w:r>
    </w:p>
    <w:p>
      <w:pPr>
        <w:rPr>
          <w:rFonts w:ascii="仿宋" w:hAnsi="仿宋" w:eastAsia="仿宋"/>
          <w:sz w:val="32"/>
          <w:szCs w:val="32"/>
        </w:rPr>
      </w:pPr>
      <w:r>
        <w:rPr>
          <w:rFonts w:ascii="仿宋" w:hAnsi="仿宋" w:eastAsia="仿宋"/>
          <w:sz w:val="32"/>
          <w:szCs w:val="32"/>
        </w:rPr>
        <w:t>　　(五)总公司注入分支机构的运营资金总额最高不超过注册资本的50%。其中，子公司注册资本为实缴货币资本，一次性缴纳，在国家级贫困县设立的子公司注册资本不低于人民币1亿元，在省级贫困县设立的子公司注册资本不低于人民币1.5亿元，在其他县(市)设立的子公司注册资本不低于人民币2亿元，在省辖市各区设立的子公司注册资本不低于人民币3亿元;单个分公司运营资金最低不少于3000万元人民币。</w:t>
      </w:r>
    </w:p>
    <w:p>
      <w:pPr>
        <w:rPr>
          <w:rFonts w:ascii="仿宋" w:hAnsi="仿宋" w:eastAsia="仿宋"/>
          <w:sz w:val="32"/>
          <w:szCs w:val="32"/>
        </w:rPr>
      </w:pPr>
      <w:r>
        <w:rPr>
          <w:rFonts w:ascii="仿宋" w:hAnsi="仿宋" w:eastAsia="仿宋"/>
          <w:sz w:val="32"/>
          <w:szCs w:val="32"/>
        </w:rPr>
        <w:t>　　</w:t>
      </w:r>
      <w:r>
        <w:rPr>
          <w:rFonts w:hint="eastAsia" w:ascii="黑体" w:hAnsi="黑体" w:eastAsia="黑体" w:cs="黑体"/>
          <w:sz w:val="32"/>
          <w:szCs w:val="32"/>
        </w:rPr>
        <w:t>二、申请材料</w:t>
      </w:r>
    </w:p>
    <w:p>
      <w:pPr>
        <w:rPr>
          <w:rFonts w:ascii="仿宋" w:hAnsi="仿宋" w:eastAsia="仿宋"/>
          <w:sz w:val="32"/>
          <w:szCs w:val="32"/>
        </w:rPr>
      </w:pPr>
      <w:r>
        <w:rPr>
          <w:rFonts w:ascii="仿宋" w:hAnsi="仿宋" w:eastAsia="仿宋"/>
          <w:sz w:val="32"/>
          <w:szCs w:val="32"/>
        </w:rPr>
        <w:t>　　设立子公司所提交的材料与新设融资担保机构相同，设立分公司需要提交如下材料：</w:t>
      </w:r>
    </w:p>
    <w:p>
      <w:pPr>
        <w:rPr>
          <w:rFonts w:ascii="仿宋" w:hAnsi="仿宋" w:eastAsia="仿宋"/>
          <w:sz w:val="32"/>
          <w:szCs w:val="32"/>
        </w:rPr>
      </w:pPr>
      <w:r>
        <w:rPr>
          <w:rFonts w:ascii="仿宋" w:hAnsi="仿宋" w:eastAsia="仿宋"/>
          <w:sz w:val="32"/>
          <w:szCs w:val="32"/>
        </w:rPr>
        <w:t>　　(一)分公司注册地的省辖市、省直管县(市)金融局关于省外融资担保公司在我省设立分公司的请示(原件1份)。</w:t>
      </w:r>
    </w:p>
    <w:p>
      <w:pPr>
        <w:rPr>
          <w:rFonts w:ascii="仿宋" w:hAnsi="仿宋" w:eastAsia="仿宋"/>
          <w:sz w:val="32"/>
          <w:szCs w:val="32"/>
        </w:rPr>
      </w:pPr>
      <w:r>
        <w:rPr>
          <w:rFonts w:ascii="仿宋" w:hAnsi="仿宋" w:eastAsia="仿宋"/>
          <w:sz w:val="32"/>
          <w:szCs w:val="32"/>
        </w:rPr>
        <w:t>　　(二)总公司注册地的省级监管部门出具的总公司信誉良好、经营稳健、财务状况良好、最近2年无重大违法违规记录的监管意见函(原件1份)。</w:t>
      </w:r>
    </w:p>
    <w:p>
      <w:pPr>
        <w:rPr>
          <w:rFonts w:ascii="仿宋" w:hAnsi="仿宋" w:eastAsia="仿宋"/>
          <w:sz w:val="32"/>
          <w:szCs w:val="32"/>
        </w:rPr>
      </w:pPr>
      <w:r>
        <w:rPr>
          <w:rFonts w:ascii="仿宋" w:hAnsi="仿宋" w:eastAsia="仿宋"/>
          <w:sz w:val="32"/>
          <w:szCs w:val="32"/>
        </w:rPr>
        <w:t>　　(三)总公司关于在我省设立分公司的股东会或董事会的决议(原件一份)。</w:t>
      </w:r>
    </w:p>
    <w:p>
      <w:pPr>
        <w:rPr>
          <w:rFonts w:ascii="仿宋" w:hAnsi="仿宋" w:eastAsia="仿宋"/>
          <w:sz w:val="32"/>
          <w:szCs w:val="32"/>
        </w:rPr>
      </w:pPr>
      <w:r>
        <w:rPr>
          <w:rFonts w:ascii="仿宋" w:hAnsi="仿宋" w:eastAsia="仿宋"/>
          <w:sz w:val="32"/>
          <w:szCs w:val="32"/>
        </w:rPr>
        <w:t>　　(四)总公司依法取得的《融资担保业务经营许可证》(复印件1份)。</w:t>
      </w:r>
    </w:p>
    <w:p>
      <w:pPr>
        <w:rPr>
          <w:rFonts w:ascii="仿宋" w:hAnsi="仿宋" w:eastAsia="仿宋"/>
          <w:sz w:val="32"/>
          <w:szCs w:val="32"/>
        </w:rPr>
      </w:pPr>
      <w:r>
        <w:rPr>
          <w:rFonts w:ascii="仿宋" w:hAnsi="仿宋" w:eastAsia="仿宋"/>
          <w:sz w:val="32"/>
          <w:szCs w:val="32"/>
        </w:rPr>
        <w:t>　　(五)分公司注册地的属地金融局对管理人员的监管谈话材料(原件1份)。</w:t>
      </w:r>
    </w:p>
    <w:p>
      <w:pPr>
        <w:rPr>
          <w:rFonts w:ascii="仿宋" w:hAnsi="仿宋" w:eastAsia="仿宋"/>
          <w:sz w:val="32"/>
          <w:szCs w:val="32"/>
        </w:rPr>
      </w:pPr>
      <w:r>
        <w:rPr>
          <w:rFonts w:ascii="仿宋" w:hAnsi="仿宋" w:eastAsia="仿宋"/>
          <w:sz w:val="32"/>
          <w:szCs w:val="32"/>
        </w:rPr>
        <w:t>　　(六)分公司提交的登记注册机关核发的在有效期的《企业名称预先核准通知书》(复印件1份)。</w:t>
      </w:r>
    </w:p>
    <w:p>
      <w:pPr>
        <w:rPr>
          <w:rFonts w:ascii="仿宋" w:hAnsi="仿宋" w:eastAsia="仿宋"/>
          <w:sz w:val="32"/>
          <w:szCs w:val="32"/>
        </w:rPr>
      </w:pPr>
      <w:r>
        <w:rPr>
          <w:rFonts w:ascii="仿宋" w:hAnsi="仿宋" w:eastAsia="仿宋"/>
          <w:sz w:val="32"/>
          <w:szCs w:val="32"/>
        </w:rPr>
        <w:t>　　(七)分公司在当地主流报纸刊登的基本情况、材料真实性承诺和合规经营承诺情况的公告(原件1份)。</w:t>
      </w:r>
    </w:p>
    <w:p>
      <w:pPr>
        <w:rPr>
          <w:rFonts w:ascii="仿宋" w:hAnsi="仿宋" w:eastAsia="仿宋"/>
          <w:sz w:val="32"/>
          <w:szCs w:val="32"/>
        </w:rPr>
      </w:pPr>
      <w:r>
        <w:rPr>
          <w:rFonts w:ascii="仿宋" w:hAnsi="仿宋" w:eastAsia="仿宋"/>
          <w:sz w:val="32"/>
          <w:szCs w:val="32"/>
        </w:rPr>
        <w:t>　　(八)分公司制度：信息统计和披露制度、重大风险事件应急管理制度、风险控制管理制度和客户档案管理及保密制度(原件各1份)。</w:t>
      </w:r>
    </w:p>
    <w:p>
      <w:pPr>
        <w:rPr>
          <w:rFonts w:ascii="仿宋" w:hAnsi="仿宋" w:eastAsia="仿宋"/>
          <w:sz w:val="32"/>
          <w:szCs w:val="32"/>
        </w:rPr>
      </w:pPr>
      <w:r>
        <w:rPr>
          <w:rFonts w:ascii="仿宋" w:hAnsi="仿宋" w:eastAsia="仿宋"/>
          <w:sz w:val="32"/>
          <w:szCs w:val="32"/>
        </w:rPr>
        <w:t>　　(九)分公司提交总公司划拨运营资金的流水单据(复印件1份)。</w:t>
      </w:r>
    </w:p>
    <w:p>
      <w:pPr>
        <w:rPr>
          <w:rFonts w:ascii="仿宋" w:hAnsi="仿宋" w:eastAsia="仿宋"/>
          <w:sz w:val="32"/>
          <w:szCs w:val="32"/>
        </w:rPr>
      </w:pPr>
      <w:r>
        <w:rPr>
          <w:rFonts w:ascii="仿宋" w:hAnsi="仿宋" w:eastAsia="仿宋"/>
          <w:sz w:val="32"/>
          <w:szCs w:val="32"/>
        </w:rPr>
        <w:t>　　(十)总公司近三年的注册资本、净资产等财务状况，融资性担保业务新增、解保和在保等运营情况，以及当年新增代偿、代偿余额、准备金提取和拨备等风控情况的报告或报表(原件1份)。</w:t>
      </w:r>
    </w:p>
    <w:p>
      <w:pPr>
        <w:rPr>
          <w:rFonts w:ascii="黑体" w:hAnsi="黑体" w:eastAsia="黑体" w:cs="黑体"/>
          <w:sz w:val="32"/>
          <w:szCs w:val="32"/>
        </w:rPr>
      </w:pPr>
      <w:r>
        <w:rPr>
          <w:rFonts w:hint="eastAsia" w:ascii="黑体" w:hAnsi="黑体" w:eastAsia="黑体" w:cs="黑体"/>
          <w:sz w:val="32"/>
          <w:szCs w:val="32"/>
        </w:rPr>
        <w:t>　　三、申请程序</w:t>
      </w:r>
    </w:p>
    <w:p>
      <w:pPr>
        <w:rPr>
          <w:rFonts w:ascii="仿宋" w:hAnsi="仿宋" w:eastAsia="仿宋"/>
          <w:sz w:val="32"/>
          <w:szCs w:val="32"/>
        </w:rPr>
      </w:pPr>
      <w:r>
        <w:rPr>
          <w:rFonts w:ascii="仿宋" w:hAnsi="仿宋" w:eastAsia="仿宋"/>
          <w:sz w:val="32"/>
          <w:szCs w:val="32"/>
        </w:rPr>
        <w:t>　　(一)受理。申请人符合本指引的申请条件的，应按照材料清单准备相关材料，通过属地金融局逐级上报。纳入省直管的分支机构,由其省级主管单位向省地方金融监管局提交设立意见函。不予受理的，书面告知申请人，并说明理由。</w:t>
      </w:r>
    </w:p>
    <w:p>
      <w:pPr>
        <w:rPr>
          <w:rFonts w:ascii="仿宋" w:hAnsi="仿宋" w:eastAsia="仿宋"/>
          <w:sz w:val="32"/>
          <w:szCs w:val="32"/>
        </w:rPr>
      </w:pPr>
      <w:r>
        <w:rPr>
          <w:rFonts w:ascii="仿宋" w:hAnsi="仿宋" w:eastAsia="仿宋"/>
          <w:sz w:val="32"/>
          <w:szCs w:val="32"/>
        </w:rPr>
        <w:t>　　(二)审查。经属地金融局审查符合设立条件、材料齐全且门户网站公示无异议的，向上一级金融局提交设立申请。审查中，材料需要补正或情况说明的，要一次性告知申请人，并要求申请人限期完善;需要现场核查的，可组织专家现场核查，并书面告知申请人;需要征求有关部门意见的，应直接向有关部门函证。</w:t>
      </w:r>
    </w:p>
    <w:p>
      <w:pPr>
        <w:rPr>
          <w:rFonts w:ascii="仿宋" w:hAnsi="仿宋" w:eastAsia="仿宋"/>
          <w:sz w:val="32"/>
          <w:szCs w:val="32"/>
        </w:rPr>
      </w:pPr>
      <w:r>
        <w:rPr>
          <w:rFonts w:ascii="仿宋" w:hAnsi="仿宋" w:eastAsia="仿宋"/>
          <w:sz w:val="32"/>
          <w:szCs w:val="32"/>
        </w:rPr>
        <w:t>　　(三)决定。符合条件拟予批准的，省地方金融监管局下发设立批复或函，在局门户网站进行公告并颁发《融资担保业务经营许可证》;不予批准的，书面告知申请人，并说明理由。</w:t>
      </w:r>
    </w:p>
    <w:p>
      <w:pPr>
        <w:rPr>
          <w:rFonts w:ascii="仿宋" w:hAnsi="仿宋" w:eastAsia="仿宋"/>
          <w:sz w:val="32"/>
          <w:szCs w:val="32"/>
        </w:rPr>
      </w:pPr>
      <w:r>
        <w:rPr>
          <w:rFonts w:ascii="仿宋" w:hAnsi="仿宋" w:eastAsia="仿宋"/>
          <w:sz w:val="32"/>
          <w:szCs w:val="32"/>
        </w:rPr>
        <w:t>　　(四)送达。省地方金融监管局将批复文件和《融资担保业务经营许可证》通过邮寄或自行领取等方式送达省辖市、省直管县(市)金融局或申请人。</w:t>
      </w:r>
    </w:p>
    <w:p>
      <w:pPr>
        <w:rPr>
          <w:rFonts w:ascii="仿宋" w:hAnsi="仿宋" w:eastAsia="仿宋"/>
          <w:sz w:val="32"/>
          <w:szCs w:val="32"/>
        </w:rPr>
      </w:pPr>
      <w:r>
        <w:rPr>
          <w:rFonts w:ascii="仿宋" w:hAnsi="仿宋" w:eastAsia="仿宋"/>
          <w:sz w:val="32"/>
          <w:szCs w:val="32"/>
        </w:rPr>
        <w:br w:type="page"/>
      </w:r>
    </w:p>
    <w:p>
      <w:pPr>
        <w:pStyle w:val="3"/>
        <w:numPr>
          <w:ilvl w:val="0"/>
          <w:numId w:val="4"/>
        </w:numPr>
        <w:ind w:left="0" w:leftChars="0" w:firstLine="0" w:firstLineChars="0"/>
        <w:jc w:val="center"/>
        <w:rPr>
          <w:spacing w:val="-20"/>
          <w:sz w:val="44"/>
          <w:szCs w:val="44"/>
        </w:rPr>
      </w:pPr>
      <w:bookmarkStart w:id="44" w:name="_Toc28069"/>
      <w:r>
        <w:rPr>
          <w:spacing w:val="-20"/>
          <w:sz w:val="44"/>
          <w:szCs w:val="44"/>
        </w:rPr>
        <w:t>河南省人民政府金融服务办公室关于融资担保公司和小额贷款公司退出问题的通知</w:t>
      </w:r>
      <w:bookmarkEnd w:id="44"/>
    </w:p>
    <w:p>
      <w:pPr>
        <w:keepNext/>
        <w:keepLines/>
        <w:spacing w:line="560" w:lineRule="exact"/>
        <w:ind w:firstLine="480" w:firstLineChars="200"/>
        <w:jc w:val="center"/>
        <w:rPr>
          <w:rStyle w:val="19"/>
          <w:rFonts w:hint="eastAsia" w:ascii="楷体" w:hAnsi="楷体" w:eastAsia="楷体" w:cs="楷体"/>
          <w:color w:val="000000"/>
          <w:sz w:val="24"/>
          <w:szCs w:val="24"/>
        </w:rPr>
      </w:pPr>
      <w:r>
        <w:rPr>
          <w:rStyle w:val="19"/>
          <w:rFonts w:hint="eastAsia" w:ascii="楷体" w:hAnsi="楷体" w:eastAsia="楷体" w:cs="楷体"/>
          <w:color w:val="000000"/>
          <w:sz w:val="24"/>
          <w:szCs w:val="24"/>
          <w:lang w:eastAsia="zh-CN"/>
        </w:rPr>
        <w:t>河南省人民政府金融服务办公室文件</w:t>
      </w:r>
      <w:r>
        <w:rPr>
          <w:rStyle w:val="19"/>
          <w:rFonts w:hint="eastAsia" w:ascii="楷体" w:hAnsi="楷体" w:eastAsia="楷体" w:cs="楷体"/>
          <w:color w:val="000000"/>
          <w:sz w:val="24"/>
          <w:szCs w:val="24"/>
          <w:lang w:val="en-US" w:eastAsia="zh-CN"/>
        </w:rPr>
        <w:t xml:space="preserve"> </w:t>
      </w:r>
      <w:r>
        <w:rPr>
          <w:rStyle w:val="19"/>
          <w:rFonts w:hint="eastAsia" w:ascii="楷体" w:hAnsi="楷体" w:eastAsia="楷体" w:cs="楷体"/>
          <w:color w:val="000000"/>
          <w:sz w:val="24"/>
          <w:szCs w:val="24"/>
          <w:lang w:eastAsia="zh-CN"/>
        </w:rPr>
        <w:t>豫政金</w:t>
      </w:r>
      <w:r>
        <w:rPr>
          <w:rStyle w:val="19"/>
          <w:rFonts w:hint="eastAsia" w:ascii="楷体" w:hAnsi="楷体" w:eastAsia="楷体" w:cs="楷体"/>
          <w:color w:val="000000"/>
          <w:sz w:val="24"/>
          <w:szCs w:val="24"/>
        </w:rPr>
        <w:t>〔20</w:t>
      </w:r>
      <w:r>
        <w:rPr>
          <w:rStyle w:val="19"/>
          <w:rFonts w:hint="eastAsia" w:ascii="楷体" w:hAnsi="楷体" w:eastAsia="楷体" w:cs="楷体"/>
          <w:color w:val="000000"/>
          <w:sz w:val="24"/>
          <w:szCs w:val="24"/>
          <w:lang w:val="en-US" w:eastAsia="zh-CN"/>
        </w:rPr>
        <w:t>18</w:t>
      </w:r>
      <w:r>
        <w:rPr>
          <w:rStyle w:val="19"/>
          <w:rFonts w:hint="eastAsia" w:ascii="楷体" w:hAnsi="楷体" w:eastAsia="楷体" w:cs="楷体"/>
          <w:color w:val="000000"/>
          <w:sz w:val="24"/>
          <w:szCs w:val="24"/>
        </w:rPr>
        <w:t>〕</w:t>
      </w:r>
      <w:r>
        <w:rPr>
          <w:rStyle w:val="19"/>
          <w:rFonts w:hint="eastAsia" w:ascii="楷体" w:hAnsi="楷体" w:eastAsia="楷体" w:cs="楷体"/>
          <w:color w:val="000000"/>
          <w:sz w:val="24"/>
          <w:szCs w:val="24"/>
          <w:lang w:val="en-US" w:eastAsia="zh-CN"/>
        </w:rPr>
        <w:t>109</w:t>
      </w:r>
      <w:r>
        <w:rPr>
          <w:rStyle w:val="19"/>
          <w:rFonts w:hint="eastAsia" w:ascii="楷体" w:hAnsi="楷体" w:eastAsia="楷体" w:cs="楷体"/>
          <w:color w:val="000000"/>
          <w:sz w:val="24"/>
          <w:szCs w:val="24"/>
        </w:rPr>
        <w:t>号</w:t>
      </w:r>
    </w:p>
    <w:p>
      <w:pPr>
        <w:keepNext/>
        <w:keepLines/>
        <w:spacing w:line="560" w:lineRule="exact"/>
        <w:ind w:firstLine="480" w:firstLineChars="200"/>
        <w:jc w:val="center"/>
        <w:rPr>
          <w:rFonts w:hint="eastAsia" w:ascii="仿宋" w:hAnsi="仿宋" w:eastAsia="仿宋" w:cs="宋体"/>
          <w:kern w:val="0"/>
          <w:sz w:val="32"/>
          <w:szCs w:val="32"/>
        </w:rPr>
      </w:pPr>
      <w:r>
        <w:rPr>
          <w:rStyle w:val="19"/>
          <w:rFonts w:hint="eastAsia" w:ascii="楷体" w:hAnsi="楷体" w:eastAsia="楷体" w:cs="楷体"/>
          <w:color w:val="000000"/>
          <w:sz w:val="24"/>
          <w:szCs w:val="24"/>
        </w:rPr>
        <w:t>20</w:t>
      </w:r>
      <w:r>
        <w:rPr>
          <w:rStyle w:val="19"/>
          <w:rFonts w:hint="eastAsia" w:ascii="楷体" w:hAnsi="楷体" w:eastAsia="楷体" w:cs="楷体"/>
          <w:color w:val="000000"/>
          <w:sz w:val="24"/>
          <w:szCs w:val="24"/>
          <w:lang w:val="en-US" w:eastAsia="zh-CN"/>
        </w:rPr>
        <w:t>18</w:t>
      </w:r>
      <w:r>
        <w:rPr>
          <w:rStyle w:val="19"/>
          <w:rFonts w:hint="eastAsia" w:ascii="楷体" w:hAnsi="楷体" w:eastAsia="楷体" w:cs="楷体"/>
          <w:color w:val="000000"/>
          <w:sz w:val="24"/>
          <w:szCs w:val="24"/>
        </w:rPr>
        <w:t>年</w:t>
      </w:r>
      <w:r>
        <w:rPr>
          <w:rStyle w:val="19"/>
          <w:rFonts w:hint="eastAsia" w:ascii="楷体" w:hAnsi="楷体" w:eastAsia="楷体" w:cs="楷体"/>
          <w:color w:val="000000"/>
          <w:sz w:val="24"/>
          <w:szCs w:val="24"/>
          <w:lang w:val="en-US" w:eastAsia="zh-CN"/>
        </w:rPr>
        <w:t>7</w:t>
      </w:r>
      <w:r>
        <w:rPr>
          <w:rStyle w:val="19"/>
          <w:rFonts w:hint="eastAsia" w:ascii="楷体" w:hAnsi="楷体" w:eastAsia="楷体" w:cs="楷体"/>
          <w:color w:val="000000"/>
          <w:sz w:val="24"/>
          <w:szCs w:val="24"/>
        </w:rPr>
        <w:t>月</w:t>
      </w:r>
      <w:r>
        <w:rPr>
          <w:rStyle w:val="19"/>
          <w:rFonts w:hint="eastAsia" w:ascii="楷体" w:hAnsi="楷体" w:eastAsia="楷体" w:cs="楷体"/>
          <w:color w:val="000000"/>
          <w:sz w:val="24"/>
          <w:szCs w:val="24"/>
          <w:lang w:val="en-US" w:eastAsia="zh-CN"/>
        </w:rPr>
        <w:t>8</w:t>
      </w:r>
      <w:r>
        <w:rPr>
          <w:rStyle w:val="19"/>
          <w:rFonts w:hint="eastAsia" w:ascii="楷体" w:hAnsi="楷体" w:eastAsia="楷体" w:cs="楷体"/>
          <w:color w:val="000000"/>
          <w:sz w:val="24"/>
          <w:szCs w:val="24"/>
        </w:rPr>
        <w:t>日印发</w:t>
      </w:r>
    </w:p>
    <w:p>
      <w:pPr>
        <w:numPr>
          <w:numId w:val="0"/>
        </w:numPr>
        <w:ind w:leftChars="0"/>
      </w:pPr>
    </w:p>
    <w:p>
      <w:pPr>
        <w:ind w:firstLine="640" w:firstLineChars="200"/>
        <w:rPr>
          <w:rFonts w:ascii="仿宋" w:hAnsi="仿宋" w:eastAsia="仿宋"/>
          <w:sz w:val="32"/>
          <w:szCs w:val="32"/>
        </w:rPr>
      </w:pPr>
      <w:r>
        <w:rPr>
          <w:rFonts w:ascii="仿宋" w:hAnsi="仿宋" w:eastAsia="仿宋"/>
          <w:sz w:val="32"/>
          <w:szCs w:val="32"/>
        </w:rPr>
        <w:t>各省辖市、省直管县（市）政府金融办，省直管融资担保公司、小额贷款公司：</w:t>
      </w:r>
    </w:p>
    <w:p>
      <w:pPr>
        <w:ind w:firstLine="640" w:firstLineChars="200"/>
        <w:rPr>
          <w:rFonts w:ascii="仿宋" w:hAnsi="仿宋" w:eastAsia="仿宋"/>
          <w:sz w:val="32"/>
          <w:szCs w:val="32"/>
        </w:rPr>
      </w:pPr>
      <w:r>
        <w:rPr>
          <w:rFonts w:hint="eastAsia" w:ascii="仿宋" w:hAnsi="仿宋" w:eastAsia="仿宋"/>
          <w:sz w:val="32"/>
          <w:szCs w:val="32"/>
        </w:rPr>
        <w:t>为贯彻落实《融资担保公司监督管理条例》、《国家工商总局国家税务总局关于清理长期停业未经营企业工作有关问题的通知》（工商企监字〔2016〕97号）和《河南省人民政府办公厅关于促进融资担保行业加快发展的实施意见》（豫政办〔2016〕151号）、《河南省人民政府办公厅关于进一步促进小额贷款公司健康发展的意见》（豫政办〔2017〕30号），维护良好市场秩序，建立完善融资担保公司、小额贷款公司，以及非融资性担保机构退出机制，督促企业履行法定义务，引导企业守法诚信经营，净化市场环境。经省政府金融办与省工商局协商一致，现就有关事项通知如下：</w:t>
      </w:r>
    </w:p>
    <w:p>
      <w:pPr>
        <w:ind w:firstLine="640" w:firstLineChars="200"/>
        <w:rPr>
          <w:rFonts w:ascii="黑体" w:hAnsi="黑体" w:eastAsia="黑体" w:cs="黑体"/>
          <w:sz w:val="32"/>
          <w:szCs w:val="32"/>
        </w:rPr>
      </w:pPr>
      <w:r>
        <w:rPr>
          <w:rFonts w:hint="eastAsia" w:ascii="黑体" w:hAnsi="黑体" w:eastAsia="黑体" w:cs="黑体"/>
          <w:sz w:val="32"/>
          <w:szCs w:val="32"/>
        </w:rPr>
        <w:t>一、融资担保公司的退出</w:t>
      </w:r>
    </w:p>
    <w:p>
      <w:pPr>
        <w:ind w:firstLine="640" w:firstLineChars="200"/>
        <w:rPr>
          <w:rFonts w:ascii="仿宋" w:hAnsi="仿宋" w:eastAsia="仿宋"/>
          <w:sz w:val="32"/>
          <w:szCs w:val="32"/>
        </w:rPr>
      </w:pPr>
      <w:r>
        <w:rPr>
          <w:rFonts w:hint="eastAsia" w:ascii="仿宋" w:hAnsi="仿宋" w:eastAsia="仿宋" w:cs="仿宋"/>
          <w:sz w:val="32"/>
          <w:szCs w:val="32"/>
        </w:rPr>
        <w:t>（一）融资担保公司自愿申请退出。融资</w:t>
      </w:r>
      <w:r>
        <w:rPr>
          <w:rFonts w:hint="eastAsia" w:ascii="仿宋" w:hAnsi="仿宋" w:eastAsia="仿宋"/>
          <w:sz w:val="32"/>
          <w:szCs w:val="32"/>
        </w:rPr>
        <w:t>担保公司因公司章程规定的营业期限届满或者公司章程规定的其他解散事由出现、股东会或者股东大会决议解散的，按以下程序办理：</w:t>
      </w:r>
    </w:p>
    <w:p>
      <w:pPr>
        <w:ind w:firstLine="640" w:firstLineChars="200"/>
        <w:rPr>
          <w:rFonts w:ascii="仿宋" w:hAnsi="仿宋" w:eastAsia="仿宋"/>
          <w:sz w:val="32"/>
          <w:szCs w:val="32"/>
        </w:rPr>
      </w:pPr>
      <w:r>
        <w:rPr>
          <w:rFonts w:hint="eastAsia" w:ascii="仿宋" w:hAnsi="仿宋" w:eastAsia="仿宋"/>
          <w:sz w:val="32"/>
          <w:szCs w:val="32"/>
        </w:rPr>
        <w:t>1.融资担保公司应当在上述解散事由出现起十五日内依法成立清算组，并及时组织清算组按照《公司法》的相关规定进行清算。清算过程应当接受属地监督管理部门的监督，对未到期融资担保责任的承接做出明确安排。</w:t>
      </w:r>
    </w:p>
    <w:p>
      <w:pPr>
        <w:ind w:firstLine="640" w:firstLineChars="200"/>
        <w:rPr>
          <w:rFonts w:ascii="仿宋" w:hAnsi="仿宋" w:eastAsia="仿宋"/>
          <w:sz w:val="32"/>
          <w:szCs w:val="32"/>
        </w:rPr>
      </w:pPr>
      <w:r>
        <w:rPr>
          <w:rFonts w:hint="eastAsia" w:ascii="仿宋" w:hAnsi="仿宋" w:eastAsia="仿宋"/>
          <w:sz w:val="32"/>
          <w:szCs w:val="32"/>
        </w:rPr>
        <w:t>2.融资担保公司完成清算后，即可向属地监管部门提出退出经营融资担保业务的书面申请，上交《融资担保业务经营许可证》。同时，提供营业执照复印件、股东会或董事会的相关决议、融资性担保业务余额清单、公司清算报告等资料。</w:t>
      </w:r>
    </w:p>
    <w:p>
      <w:pPr>
        <w:ind w:firstLine="640" w:firstLineChars="200"/>
        <w:rPr>
          <w:rFonts w:ascii="仿宋" w:hAnsi="仿宋" w:eastAsia="仿宋"/>
          <w:sz w:val="32"/>
          <w:szCs w:val="32"/>
        </w:rPr>
      </w:pPr>
      <w:r>
        <w:rPr>
          <w:rFonts w:hint="eastAsia" w:ascii="仿宋" w:hAnsi="仿宋" w:eastAsia="仿宋"/>
          <w:sz w:val="32"/>
          <w:szCs w:val="32"/>
        </w:rPr>
        <w:t>3.县、市监管部门逐级审核，并在政府或监管部门网站公示后报省政府金融办。</w:t>
      </w:r>
    </w:p>
    <w:p>
      <w:pPr>
        <w:ind w:firstLine="640" w:firstLineChars="200"/>
        <w:rPr>
          <w:rFonts w:ascii="仿宋" w:hAnsi="仿宋" w:eastAsia="仿宋"/>
          <w:sz w:val="32"/>
          <w:szCs w:val="32"/>
        </w:rPr>
      </w:pPr>
      <w:r>
        <w:rPr>
          <w:rFonts w:hint="eastAsia" w:ascii="仿宋" w:hAnsi="仿宋" w:eastAsia="仿宋"/>
          <w:sz w:val="32"/>
          <w:szCs w:val="32"/>
        </w:rPr>
        <w:t>4.省政府金融办审核后，将其融资担保业务经营许可证进行注销，并在河南省政府金融网站予以公告，并在10个工作日内将相关信息推送至工商行政管理部门。</w:t>
      </w:r>
    </w:p>
    <w:p>
      <w:pPr>
        <w:ind w:firstLine="640" w:firstLineChars="200"/>
        <w:rPr>
          <w:rFonts w:ascii="仿宋" w:hAnsi="仿宋" w:eastAsia="仿宋"/>
          <w:sz w:val="32"/>
          <w:szCs w:val="32"/>
        </w:rPr>
      </w:pPr>
      <w:r>
        <w:rPr>
          <w:rFonts w:hint="eastAsia" w:ascii="仿宋" w:hAnsi="仿宋" w:eastAsia="仿宋"/>
          <w:sz w:val="32"/>
          <w:szCs w:val="32"/>
        </w:rPr>
        <w:t>5.融资担保公司在省政府金融办发布融资担保业务经营许可证注销公告后，即可在公司的登记机关办理注销手续，或通过变更企业名称和经营范围退出担保行业。</w:t>
      </w:r>
    </w:p>
    <w:p>
      <w:pPr>
        <w:ind w:firstLine="640" w:firstLineChars="200"/>
        <w:rPr>
          <w:rFonts w:ascii="仿宋" w:hAnsi="仿宋" w:eastAsia="仿宋"/>
          <w:sz w:val="32"/>
          <w:szCs w:val="32"/>
        </w:rPr>
      </w:pPr>
      <w:r>
        <w:rPr>
          <w:rFonts w:hint="eastAsia" w:ascii="仿宋" w:hAnsi="仿宋" w:eastAsia="仿宋"/>
          <w:sz w:val="32"/>
          <w:szCs w:val="32"/>
        </w:rPr>
        <w:t>（二）融资担保公司因分立或者合并而解散。</w:t>
      </w:r>
    </w:p>
    <w:p>
      <w:pPr>
        <w:ind w:firstLine="640" w:firstLineChars="200"/>
        <w:rPr>
          <w:rFonts w:ascii="仿宋" w:hAnsi="仿宋" w:eastAsia="仿宋"/>
          <w:sz w:val="32"/>
          <w:szCs w:val="32"/>
        </w:rPr>
      </w:pPr>
      <w:r>
        <w:rPr>
          <w:rFonts w:hint="eastAsia" w:ascii="仿宋" w:hAnsi="仿宋" w:eastAsia="仿宋"/>
          <w:sz w:val="32"/>
          <w:szCs w:val="32"/>
        </w:rPr>
        <w:t>融资担保公司有合并、分立情形的，应按照《公司法》等有关规定依程序办理后，逐级报省政府金融办批准。其中，国有独资公司的合并、分立，应符合国有资产管理的有关规定。</w:t>
      </w:r>
    </w:p>
    <w:p>
      <w:pPr>
        <w:ind w:firstLine="640" w:firstLineChars="200"/>
        <w:rPr>
          <w:rFonts w:ascii="仿宋" w:hAnsi="仿宋" w:eastAsia="仿宋"/>
          <w:sz w:val="32"/>
          <w:szCs w:val="32"/>
        </w:rPr>
      </w:pPr>
      <w:r>
        <w:rPr>
          <w:rFonts w:hint="eastAsia" w:ascii="仿宋" w:hAnsi="仿宋" w:eastAsia="仿宋"/>
          <w:sz w:val="32"/>
          <w:szCs w:val="32"/>
        </w:rPr>
        <w:t>1.融资担保公司吸收合并。一个融资担保公司吸收其他融资担保公司，吸收公司按照程序和条件办理。吸收公司完成注册的同时，被吸收公司解散并办理注销手续。</w:t>
      </w:r>
    </w:p>
    <w:p>
      <w:pPr>
        <w:ind w:firstLine="640" w:firstLineChars="200"/>
        <w:rPr>
          <w:rFonts w:ascii="仿宋" w:hAnsi="仿宋" w:eastAsia="仿宋"/>
          <w:sz w:val="32"/>
          <w:szCs w:val="32"/>
        </w:rPr>
      </w:pPr>
      <w:r>
        <w:rPr>
          <w:rFonts w:hint="eastAsia" w:ascii="仿宋" w:hAnsi="仿宋" w:eastAsia="仿宋"/>
          <w:sz w:val="32"/>
          <w:szCs w:val="32"/>
        </w:rPr>
        <w:t>2.融资担保公司新设合并。两个及以上融资担保公司合并设立一个新的融资担保公司，新的融资担保公司按照新设公司的程序和条件办理，新公司完成注册的同时，合并各方解散并办理注销手续。</w:t>
      </w:r>
    </w:p>
    <w:p>
      <w:pPr>
        <w:ind w:firstLine="640" w:firstLineChars="200"/>
        <w:rPr>
          <w:rFonts w:ascii="仿宋" w:hAnsi="仿宋" w:eastAsia="仿宋"/>
          <w:sz w:val="32"/>
          <w:szCs w:val="32"/>
        </w:rPr>
      </w:pPr>
      <w:r>
        <w:rPr>
          <w:rFonts w:hint="eastAsia" w:ascii="仿宋" w:hAnsi="仿宋" w:eastAsia="仿宋"/>
          <w:sz w:val="32"/>
          <w:szCs w:val="32"/>
        </w:rPr>
        <w:t>3.融资担保公司分立。一家融资担保公司分立为两家及以上的融资担保公司，新公司须达到融资担保公司的准入条件，按照新设融资担保公司程序办理。新公司完成注册的同时，原公司解散办理注销手续。</w:t>
      </w:r>
    </w:p>
    <w:p>
      <w:pPr>
        <w:ind w:firstLine="640" w:firstLineChars="200"/>
        <w:rPr>
          <w:rFonts w:ascii="仿宋" w:hAnsi="仿宋" w:eastAsia="仿宋"/>
          <w:sz w:val="32"/>
          <w:szCs w:val="32"/>
        </w:rPr>
      </w:pPr>
      <w:r>
        <w:rPr>
          <w:rFonts w:hint="eastAsia" w:ascii="仿宋" w:hAnsi="仿宋" w:eastAsia="仿宋"/>
          <w:sz w:val="32"/>
          <w:szCs w:val="32"/>
        </w:rPr>
        <w:t>4.公司合并时，合并各方的债权、债务，应当由合并存续的公司或者新设的公司继承。公司分立前的债务由分立后的公司或者新设的公司继承。但是，公司在分立前与债权人就债务清偿达成的书面协议另有约定的除外。融资担保公司合并、分立、涉及变更名称的须符合相关法律规定。</w:t>
      </w:r>
    </w:p>
    <w:p>
      <w:pPr>
        <w:ind w:firstLine="640" w:firstLineChars="200"/>
        <w:rPr>
          <w:rFonts w:ascii="仿宋" w:hAnsi="仿宋" w:eastAsia="仿宋" w:cs="仿宋"/>
          <w:sz w:val="32"/>
          <w:szCs w:val="32"/>
        </w:rPr>
      </w:pPr>
      <w:r>
        <w:rPr>
          <w:rFonts w:hint="eastAsia" w:ascii="仿宋" w:hAnsi="仿宋" w:eastAsia="仿宋" w:cs="仿宋"/>
          <w:sz w:val="32"/>
          <w:szCs w:val="32"/>
        </w:rPr>
        <w:t>（三）融资担保公司《融资担保业务经营许可证》被吊销。</w:t>
      </w:r>
    </w:p>
    <w:p>
      <w:pPr>
        <w:ind w:firstLine="640" w:firstLineChars="200"/>
        <w:rPr>
          <w:rFonts w:ascii="仿宋" w:hAnsi="仿宋" w:eastAsia="仿宋"/>
          <w:sz w:val="32"/>
          <w:szCs w:val="32"/>
        </w:rPr>
      </w:pPr>
      <w:r>
        <w:rPr>
          <w:rFonts w:hint="eastAsia" w:ascii="仿宋" w:hAnsi="仿宋" w:eastAsia="仿宋"/>
          <w:sz w:val="32"/>
          <w:szCs w:val="32"/>
        </w:rPr>
        <w:t>监管部门依据监督检查职权，或者通过投诉、申诉、举报、其他机关移送、上级机关交办等途径发现融资担保公司违反《公司法》、《融资担保公司监督管理条例》、《河南省融资担保公司监督管理暂行办法》等有关法律法规和监管政策规定，情节严重的，监管部门应当吊销其《融资担保业务经营许可证》。按以下程序办理：</w:t>
      </w:r>
    </w:p>
    <w:p>
      <w:pPr>
        <w:ind w:firstLine="640" w:firstLineChars="200"/>
        <w:rPr>
          <w:rFonts w:ascii="仿宋" w:hAnsi="仿宋" w:eastAsia="仿宋"/>
          <w:sz w:val="32"/>
          <w:szCs w:val="32"/>
        </w:rPr>
      </w:pPr>
      <w:r>
        <w:rPr>
          <w:rFonts w:hint="eastAsia" w:ascii="仿宋" w:hAnsi="仿宋" w:eastAsia="仿宋"/>
          <w:sz w:val="32"/>
          <w:szCs w:val="32"/>
        </w:rPr>
        <w:t>1.属地监管部门将拟吊销《融资担保业务经营许可证》行政处罚的事实、理由、依据、处罚内容和当事人依法享有的陈述、申辩权一并告知当事人，责令其上缴《融资担保业务经营许可证》。</w:t>
      </w:r>
    </w:p>
    <w:p>
      <w:pPr>
        <w:ind w:firstLine="640" w:firstLineChars="200"/>
        <w:rPr>
          <w:rFonts w:ascii="仿宋" w:hAnsi="仿宋" w:eastAsia="仿宋"/>
          <w:sz w:val="32"/>
          <w:szCs w:val="32"/>
        </w:rPr>
      </w:pPr>
      <w:r>
        <w:rPr>
          <w:rFonts w:hint="eastAsia" w:ascii="仿宋" w:hAnsi="仿宋" w:eastAsia="仿宋"/>
          <w:sz w:val="32"/>
          <w:szCs w:val="32"/>
        </w:rPr>
        <w:t>采取口头形式告知的，监管部门应当将告知情况记入笔录，并由当事人在笔录上签名或者盖章。</w:t>
      </w:r>
    </w:p>
    <w:p>
      <w:pPr>
        <w:ind w:firstLine="640" w:firstLineChars="200"/>
        <w:rPr>
          <w:rFonts w:ascii="仿宋" w:hAnsi="仿宋" w:eastAsia="仿宋"/>
          <w:sz w:val="32"/>
          <w:szCs w:val="32"/>
        </w:rPr>
      </w:pPr>
      <w:r>
        <w:rPr>
          <w:rFonts w:hint="eastAsia" w:ascii="仿宋" w:hAnsi="仿宋" w:eastAsia="仿宋"/>
          <w:sz w:val="32"/>
          <w:szCs w:val="32"/>
        </w:rPr>
        <w:t>采取书面形式告知的，监管部门可以直接送达当事人，也可以采取邮寄送达的方式送达当事人。</w:t>
      </w:r>
    </w:p>
    <w:p>
      <w:pPr>
        <w:ind w:firstLine="640" w:firstLineChars="200"/>
        <w:rPr>
          <w:rFonts w:ascii="仿宋" w:hAnsi="仿宋" w:eastAsia="仿宋"/>
          <w:sz w:val="32"/>
          <w:szCs w:val="32"/>
        </w:rPr>
      </w:pPr>
      <w:r>
        <w:rPr>
          <w:rFonts w:hint="eastAsia" w:ascii="仿宋" w:hAnsi="仿宋" w:eastAsia="仿宋"/>
          <w:sz w:val="32"/>
          <w:szCs w:val="32"/>
        </w:rPr>
        <w:t>采用上述方式无法送达的，由监管部门在当地报纸和门户网站上以公示的方式告知。</w:t>
      </w:r>
    </w:p>
    <w:p>
      <w:pPr>
        <w:ind w:firstLine="640" w:firstLineChars="200"/>
        <w:rPr>
          <w:rFonts w:ascii="仿宋" w:hAnsi="仿宋" w:eastAsia="仿宋"/>
          <w:sz w:val="32"/>
          <w:szCs w:val="32"/>
        </w:rPr>
      </w:pPr>
      <w:r>
        <w:rPr>
          <w:rFonts w:hint="eastAsia" w:ascii="仿宋" w:hAnsi="仿宋" w:eastAsia="仿宋"/>
          <w:sz w:val="32"/>
          <w:szCs w:val="32"/>
        </w:rPr>
        <w:t>自当事人签收之日起三个工作日内，或者监管部门挂号寄出之日起十五日内，或者自公示之日起十五日内，当事人未行使陈述、申辩权，也未作任何其他表示的，视为放弃此权利。</w:t>
      </w:r>
    </w:p>
    <w:p>
      <w:pPr>
        <w:ind w:firstLine="640" w:firstLineChars="200"/>
        <w:rPr>
          <w:rFonts w:ascii="仿宋" w:hAnsi="仿宋" w:eastAsia="仿宋"/>
          <w:sz w:val="32"/>
          <w:szCs w:val="32"/>
        </w:rPr>
      </w:pPr>
      <w:r>
        <w:rPr>
          <w:rFonts w:hint="eastAsia" w:ascii="仿宋" w:hAnsi="仿宋" w:eastAsia="仿宋"/>
          <w:sz w:val="32"/>
          <w:szCs w:val="32"/>
        </w:rPr>
        <w:t>2.属地监管部门将拟吊销《融资担保业务经营许可证》行政意见在当地主流报纸和门户网站上公示后，上报省辖市监管部门。省辖市监管部门复核，并在当地主流报纸和门户网站上公示后，上报省政府金融办。</w:t>
      </w:r>
    </w:p>
    <w:p>
      <w:pPr>
        <w:ind w:firstLine="640" w:firstLineChars="200"/>
        <w:rPr>
          <w:rFonts w:ascii="仿宋" w:hAnsi="仿宋" w:eastAsia="仿宋"/>
          <w:sz w:val="32"/>
          <w:szCs w:val="32"/>
        </w:rPr>
      </w:pPr>
      <w:r>
        <w:rPr>
          <w:rFonts w:hint="eastAsia" w:ascii="仿宋" w:hAnsi="仿宋" w:eastAsia="仿宋"/>
          <w:sz w:val="32"/>
          <w:szCs w:val="32"/>
        </w:rPr>
        <w:t>3.省政府金融办在作出吊销《融资担保业务经营许可证》公告之前，通过市、县监管部门告知当事人，听取当事人的陈述和申辩；如果当事人要求举行听证，并且确实符合听证条件的，省政府金融办将举行听证会。</w:t>
      </w:r>
    </w:p>
    <w:p>
      <w:pPr>
        <w:ind w:firstLine="640" w:firstLineChars="200"/>
        <w:rPr>
          <w:rFonts w:ascii="仿宋" w:hAnsi="仿宋" w:eastAsia="仿宋"/>
          <w:sz w:val="32"/>
          <w:szCs w:val="32"/>
        </w:rPr>
      </w:pPr>
      <w:r>
        <w:rPr>
          <w:rFonts w:hint="eastAsia" w:ascii="仿宋" w:hAnsi="仿宋" w:eastAsia="仿宋"/>
          <w:sz w:val="32"/>
          <w:szCs w:val="32"/>
        </w:rPr>
        <w:t>4.省政府金融办作出吊销《融资担保业务经营许可证》决定后，在其网站上进行公告，并在10个工作日内将相关信息推送至同级公安、工商、人行、银监等部门，处理决定同时推送至国家企业信用信息公示系统和全国社会信用信息共享平台。</w:t>
      </w:r>
    </w:p>
    <w:p>
      <w:pPr>
        <w:ind w:firstLine="640" w:firstLineChars="200"/>
        <w:rPr>
          <w:rFonts w:ascii="仿宋" w:hAnsi="仿宋" w:eastAsia="仿宋"/>
          <w:sz w:val="32"/>
          <w:szCs w:val="32"/>
        </w:rPr>
      </w:pPr>
      <w:r>
        <w:rPr>
          <w:rFonts w:hint="eastAsia" w:ascii="仿宋" w:hAnsi="仿宋" w:eastAsia="仿宋"/>
          <w:sz w:val="32"/>
          <w:szCs w:val="32"/>
        </w:rPr>
        <w:t>5.市县监管部门将省政府金融办吊销《融资担保业务经营许可证》决定通知融资担保公司，同时将行政处罚信息推送至国家企业信用信息公司系统（河南）记入企业名下。属地监管部门要采取风险防范、处置和监管措施，防止发生风险或风险扩大。</w:t>
      </w:r>
    </w:p>
    <w:p>
      <w:pPr>
        <w:ind w:firstLine="640" w:firstLineChars="200"/>
        <w:rPr>
          <w:rFonts w:ascii="仿宋" w:hAnsi="仿宋" w:eastAsia="仿宋"/>
          <w:sz w:val="32"/>
          <w:szCs w:val="32"/>
        </w:rPr>
      </w:pPr>
      <w:r>
        <w:rPr>
          <w:rFonts w:hint="eastAsia" w:ascii="仿宋" w:hAnsi="仿宋" w:eastAsia="仿宋"/>
          <w:sz w:val="32"/>
          <w:szCs w:val="32"/>
        </w:rPr>
        <w:t>6.《融资担保业务经营许可证》被吊销后，融资担保公司法人主体资格依然存在，必须继续承担本应承担的债权债务及相关法律责任，直至责任解除，但不得继续开展融资担保业务。</w:t>
      </w:r>
    </w:p>
    <w:p>
      <w:pPr>
        <w:ind w:firstLine="640" w:firstLineChars="200"/>
        <w:rPr>
          <w:rFonts w:ascii="仿宋" w:hAnsi="仿宋" w:eastAsia="仿宋"/>
          <w:sz w:val="32"/>
          <w:szCs w:val="32"/>
        </w:rPr>
      </w:pPr>
      <w:r>
        <w:rPr>
          <w:rFonts w:hint="eastAsia" w:ascii="仿宋" w:hAnsi="仿宋" w:eastAsia="仿宋"/>
          <w:sz w:val="32"/>
          <w:szCs w:val="32"/>
        </w:rPr>
        <w:t>7.融资担保公司《融资担保业务经营许可证》被吊销后，若需将公司予以注销，须按照《公司法》的相关规定和程序依法成立清算组进行清算，公司清算结束后，清算组应当制作清算报告，报股东会、股东大会或者人民法院确认，并报送工商管理部门，申请注销公司登记，公告公司终止。</w:t>
      </w:r>
    </w:p>
    <w:p>
      <w:pPr>
        <w:ind w:firstLine="640" w:firstLineChars="200"/>
        <w:rPr>
          <w:rFonts w:ascii="仿宋" w:hAnsi="仿宋" w:eastAsia="仿宋"/>
          <w:sz w:val="32"/>
          <w:szCs w:val="32"/>
        </w:rPr>
      </w:pPr>
      <w:r>
        <w:rPr>
          <w:rFonts w:hint="eastAsia" w:ascii="仿宋" w:hAnsi="仿宋" w:eastAsia="仿宋"/>
          <w:sz w:val="32"/>
          <w:szCs w:val="32"/>
        </w:rPr>
        <w:t>（四）融资担保公司通过司法裁决市场退出。融资担保公司出现《公司法》《破产法》等法律法规规定的解散、破产情形，需要解散或破产的，按照《公司法》《破产法》等相关法律法规和司法裁决进行。属地监管部门应当及时将司法裁决结果上报省政府金融办，由省政府金融办予以吊销融资担保业务经营许可证，并在10个工作日内将相关信息推送至工商行政管理部门。融资担保公司按照《公司法》《破产法》的规定执行解散或破产程序。</w:t>
      </w:r>
    </w:p>
    <w:p>
      <w:pPr>
        <w:ind w:firstLine="640" w:firstLineChars="200"/>
        <w:rPr>
          <w:rFonts w:ascii="黑体" w:hAnsi="黑体" w:eastAsia="黑体" w:cs="黑体"/>
          <w:sz w:val="32"/>
          <w:szCs w:val="32"/>
        </w:rPr>
      </w:pPr>
      <w:r>
        <w:rPr>
          <w:rFonts w:hint="eastAsia" w:ascii="黑体" w:hAnsi="黑体" w:eastAsia="黑体" w:cs="黑体"/>
          <w:sz w:val="32"/>
          <w:szCs w:val="32"/>
        </w:rPr>
        <w:t>二、小额贷款公司的退出</w:t>
      </w:r>
    </w:p>
    <w:p>
      <w:pPr>
        <w:ind w:firstLine="640" w:firstLineChars="200"/>
        <w:rPr>
          <w:rFonts w:ascii="仿宋" w:hAnsi="仿宋" w:eastAsia="仿宋"/>
          <w:sz w:val="32"/>
          <w:szCs w:val="32"/>
        </w:rPr>
      </w:pPr>
      <w:r>
        <w:rPr>
          <w:rFonts w:hint="eastAsia" w:ascii="仿宋" w:hAnsi="仿宋" w:eastAsia="仿宋"/>
          <w:sz w:val="32"/>
          <w:szCs w:val="32"/>
        </w:rPr>
        <w:t>（一）小额贷款公司自愿申请退出。小额贷款公司因公司章程规定的营业期限届满或者公司章程规定的其他解散事由出现、股东会或者股东大会决议解散的，按以下程序办理：</w:t>
      </w:r>
    </w:p>
    <w:p>
      <w:pPr>
        <w:ind w:firstLine="640" w:firstLineChars="200"/>
        <w:rPr>
          <w:rFonts w:ascii="仿宋" w:hAnsi="仿宋" w:eastAsia="仿宋"/>
          <w:sz w:val="32"/>
          <w:szCs w:val="32"/>
        </w:rPr>
      </w:pPr>
      <w:r>
        <w:rPr>
          <w:rFonts w:hint="eastAsia" w:ascii="仿宋" w:hAnsi="仿宋" w:eastAsia="仿宋"/>
          <w:sz w:val="32"/>
          <w:szCs w:val="32"/>
        </w:rPr>
        <w:t>1.小额贷款公司应当在上述解散事由出现起十五日内依法成立清算组，并及时组织清算组按照《公司法》的相关规定进行清算。清算过程应当接受属地监管部门的监督，对未到期贷款责任的承接做出明确安排。</w:t>
      </w:r>
    </w:p>
    <w:p>
      <w:pPr>
        <w:ind w:firstLine="640" w:firstLineChars="200"/>
        <w:rPr>
          <w:rFonts w:ascii="仿宋" w:hAnsi="仿宋" w:eastAsia="仿宋"/>
          <w:sz w:val="32"/>
          <w:szCs w:val="32"/>
        </w:rPr>
      </w:pPr>
      <w:r>
        <w:rPr>
          <w:rFonts w:hint="eastAsia" w:ascii="仿宋" w:hAnsi="仿宋" w:eastAsia="仿宋"/>
          <w:sz w:val="32"/>
          <w:szCs w:val="32"/>
        </w:rPr>
        <w:t>2.小额贷款公司完成清算后，即可向属地监管部门提出退出小额贷款公司试点资格的书面申请。同时，提供营业执照复印件、股东会或董事会的相关决议、小额贷款业务余额清单、公司清算报告等资料。</w:t>
      </w:r>
    </w:p>
    <w:p>
      <w:pPr>
        <w:ind w:firstLine="640" w:firstLineChars="200"/>
        <w:rPr>
          <w:rFonts w:ascii="仿宋" w:hAnsi="仿宋" w:eastAsia="仿宋"/>
          <w:sz w:val="32"/>
          <w:szCs w:val="32"/>
        </w:rPr>
      </w:pPr>
      <w:r>
        <w:rPr>
          <w:rFonts w:hint="eastAsia" w:ascii="仿宋" w:hAnsi="仿宋" w:eastAsia="仿宋"/>
          <w:sz w:val="32"/>
          <w:szCs w:val="32"/>
        </w:rPr>
        <w:t>3.县、市监管部门逐级审核，并在当地报纸和门户网站公示后报省政府金融办。</w:t>
      </w:r>
    </w:p>
    <w:p>
      <w:pPr>
        <w:ind w:firstLine="640" w:firstLineChars="200"/>
        <w:rPr>
          <w:rFonts w:ascii="仿宋" w:hAnsi="仿宋" w:eastAsia="仿宋"/>
          <w:sz w:val="32"/>
          <w:szCs w:val="32"/>
        </w:rPr>
      </w:pPr>
      <w:r>
        <w:rPr>
          <w:rFonts w:hint="eastAsia" w:ascii="仿宋" w:hAnsi="仿宋" w:eastAsia="仿宋"/>
          <w:sz w:val="32"/>
          <w:szCs w:val="32"/>
        </w:rPr>
        <w:t>4.省政府金融办下达取消小额贷款公司试点资格批准文件，在其网站予以公告，并在10个工作日内将相关信息推送至工商行政管理部门。</w:t>
      </w:r>
    </w:p>
    <w:p>
      <w:pPr>
        <w:ind w:firstLine="640" w:firstLineChars="200"/>
        <w:rPr>
          <w:rFonts w:ascii="仿宋" w:hAnsi="仿宋" w:eastAsia="仿宋"/>
          <w:sz w:val="32"/>
          <w:szCs w:val="32"/>
        </w:rPr>
      </w:pPr>
      <w:r>
        <w:rPr>
          <w:rFonts w:hint="eastAsia" w:ascii="仿宋" w:hAnsi="仿宋" w:eastAsia="仿宋"/>
          <w:sz w:val="32"/>
          <w:szCs w:val="32"/>
        </w:rPr>
        <w:t>5.小额贷款公司持省政府金融办取消其小额贷款公司试点资格的批准文件，即可在公司的登记机关办理注销登记手续，或通过变更企业名称和经营范围退出小额贷款行业。</w:t>
      </w:r>
    </w:p>
    <w:p>
      <w:pPr>
        <w:ind w:firstLine="640" w:firstLineChars="200"/>
        <w:rPr>
          <w:rFonts w:ascii="仿宋" w:hAnsi="仿宋" w:eastAsia="仿宋"/>
          <w:sz w:val="32"/>
          <w:szCs w:val="32"/>
        </w:rPr>
      </w:pPr>
      <w:r>
        <w:rPr>
          <w:rFonts w:hint="eastAsia" w:ascii="仿宋" w:hAnsi="仿宋" w:eastAsia="仿宋"/>
          <w:sz w:val="32"/>
          <w:szCs w:val="32"/>
        </w:rPr>
        <w:t>（二）小额贷款公司试点资格被取消。监管部门依据监督检查职权，或者通过投诉、申诉、举报、其他机关移送、上级机关交办等途径发现小额贷款公司违反《公司法》、《河南省小额贷款公司试点管理暂行办法》等有关法律法规和监管政策规定，情节严重的，监管部门应当取消其小额贷款公司试点资格。其工作程序比照本通知“融资担保公司《融资担保业务经营许可证》被吊销”的程序办理。</w:t>
      </w:r>
    </w:p>
    <w:p>
      <w:pPr>
        <w:ind w:firstLine="640" w:firstLineChars="200"/>
        <w:rPr>
          <w:rFonts w:ascii="黑体" w:hAnsi="黑体" w:eastAsia="黑体" w:cs="黑体"/>
          <w:sz w:val="32"/>
          <w:szCs w:val="32"/>
        </w:rPr>
      </w:pPr>
      <w:r>
        <w:rPr>
          <w:rFonts w:hint="eastAsia" w:ascii="黑体" w:hAnsi="黑体" w:eastAsia="黑体" w:cs="黑体"/>
          <w:sz w:val="32"/>
          <w:szCs w:val="32"/>
        </w:rPr>
        <w:t>三、非融资性担保公司的退出</w:t>
      </w:r>
    </w:p>
    <w:p>
      <w:pPr>
        <w:ind w:firstLine="640" w:firstLineChars="200"/>
        <w:rPr>
          <w:rFonts w:ascii="仿宋" w:hAnsi="仿宋" w:eastAsia="仿宋"/>
          <w:sz w:val="32"/>
          <w:szCs w:val="32"/>
        </w:rPr>
      </w:pPr>
      <w:r>
        <w:rPr>
          <w:rFonts w:hint="eastAsia" w:ascii="仿宋" w:hAnsi="仿宋" w:eastAsia="仿宋"/>
          <w:sz w:val="32"/>
          <w:szCs w:val="32"/>
        </w:rPr>
        <w:t>目前，全省仍有一定数量的企业在公司名称中带有“担保”字样。这些公司有的虽然长期处于关门停业和失联状态，但挤占了社会资源，有的仍继续以融资担保公司的名义非法从事融资担保业务，存在一定隐性风险，既影响行业市场秩序，又增加了社会行政成本。各属地监管部门要会同当地工商管理部门，参照《国家工商总局国家税务总局关于清理长期停业未经营企业工作有关问题的通知》（工商企监字〔2016〕97号）精神，开展对辖区内非融资性担保公司的清理和市场退出工作，净化市场环境。</w:t>
      </w:r>
    </w:p>
    <w:p>
      <w:pPr>
        <w:ind w:firstLine="640" w:firstLineChars="200"/>
        <w:rPr>
          <w:rFonts w:ascii="仿宋" w:hAnsi="仿宋" w:eastAsia="仿宋"/>
          <w:sz w:val="32"/>
          <w:szCs w:val="32"/>
        </w:rPr>
      </w:pPr>
      <w:r>
        <w:rPr>
          <w:rFonts w:hint="eastAsia" w:ascii="仿宋" w:hAnsi="仿宋" w:eastAsia="仿宋"/>
          <w:sz w:val="32"/>
          <w:szCs w:val="32"/>
        </w:rPr>
        <w:t>（一）清理及退出原则。非融资性担保公司的清理和市场退出工作，坚持“属地负责，一线把关，分类处置，防控风险”的原则。</w:t>
      </w:r>
    </w:p>
    <w:p>
      <w:pPr>
        <w:ind w:firstLine="640" w:firstLineChars="200"/>
        <w:rPr>
          <w:rFonts w:ascii="仿宋" w:hAnsi="仿宋" w:eastAsia="仿宋"/>
          <w:sz w:val="32"/>
          <w:szCs w:val="32"/>
        </w:rPr>
      </w:pPr>
      <w:r>
        <w:rPr>
          <w:rFonts w:hint="eastAsia" w:ascii="仿宋" w:hAnsi="仿宋" w:eastAsia="仿宋"/>
          <w:sz w:val="32"/>
          <w:szCs w:val="32"/>
        </w:rPr>
        <w:t>（二）清理对象、重点和方式。清理对象是未持有《融资性担保机构经营许可证》或《融资担保业务经营许可证》，但公司名称中带有“担保”字样的非融资性担保公司；清理重点是通过排查清理，做到“三个摸清、一个实施”：摸清企业状况、摸清经营现状、摸清风险底数，实施分类处置。清理方式是主要通过清理工作，督促企业履行法定义务，规范一批，吊销一批，通过变更企业名称、吊销营业执照等依法进行市场退出。</w:t>
      </w:r>
    </w:p>
    <w:p>
      <w:pPr>
        <w:ind w:firstLine="640" w:firstLineChars="200"/>
        <w:rPr>
          <w:rFonts w:ascii="仿宋" w:hAnsi="仿宋" w:eastAsia="仿宋"/>
          <w:sz w:val="32"/>
          <w:szCs w:val="32"/>
        </w:rPr>
      </w:pPr>
      <w:r>
        <w:rPr>
          <w:rFonts w:hint="eastAsia" w:ascii="仿宋" w:hAnsi="仿宋" w:eastAsia="仿宋"/>
          <w:sz w:val="32"/>
          <w:szCs w:val="32"/>
        </w:rPr>
        <w:t>（三）事后监管及退出程序。</w:t>
      </w:r>
    </w:p>
    <w:p>
      <w:pPr>
        <w:ind w:firstLine="640" w:firstLineChars="200"/>
        <w:rPr>
          <w:rFonts w:ascii="仿宋" w:hAnsi="仿宋" w:eastAsia="仿宋"/>
          <w:sz w:val="32"/>
          <w:szCs w:val="32"/>
        </w:rPr>
      </w:pPr>
      <w:r>
        <w:rPr>
          <w:rFonts w:hint="eastAsia" w:ascii="仿宋" w:hAnsi="仿宋" w:eastAsia="仿宋"/>
          <w:sz w:val="32"/>
          <w:szCs w:val="32"/>
        </w:rPr>
        <w:t>1.事后监管措施：（1）由属地监管部门会同当地工商行政管理部门对辖区内清理对象进行排查摸底，做到“三个摸清、一个实施”。（2）由属地监管部门对排查出的清理对象在当地主流报纸和政府或监管部门网站上予以公告，告知其按照有关法律法规变更企业登记事项、吊销营业执照、进行公司注销、解散和清理债权债务等依法进行市场退出的规定与要求，以及对其采取的信用监管与信用约束措施。（3）由属地监管部门将公告抄送同级处非、公安、工商、人行、银监、法院等部门，并连同该公司信用记录等相关信息一并推送至全国社会信用信息共享平台和国家企业信用信息公示系统。</w:t>
      </w:r>
    </w:p>
    <w:p>
      <w:pPr>
        <w:ind w:firstLine="640" w:firstLineChars="200"/>
        <w:rPr>
          <w:rFonts w:ascii="仿宋" w:hAnsi="仿宋" w:eastAsia="仿宋"/>
          <w:sz w:val="32"/>
          <w:szCs w:val="32"/>
        </w:rPr>
      </w:pPr>
      <w:r>
        <w:rPr>
          <w:rFonts w:hint="eastAsia" w:ascii="仿宋" w:hAnsi="仿宋" w:eastAsia="仿宋"/>
          <w:sz w:val="32"/>
          <w:szCs w:val="32"/>
        </w:rPr>
        <w:t>2.非融资性担保公司的退出。（1）非融资性担保公司以变更企业名称和经营范围的退出：非融资性担保公司向当地工商管理部门提出去掉企业名称中的担保字样，进行变更企业登记事项时，属地监管部门应当对该企业变更名称和经营范围情况在当地主流报纸和政府或监管部门网站上予以公示，并将公示情况抄送属地工商管理部门，由工商管理部门进行企业名称变更。（2）非融资性担保公司自愿申请注销营业执照的退出：非融资性担保公司按照《公司法》的相关规定依法完成清算工作，清算过程应当接受属地监督管理部门的监督，对其债权债务和未到期担保责任的承接做出明确安排并予以公告，公告期满后赴工商管理部门办理注销手续。</w:t>
      </w:r>
    </w:p>
    <w:p>
      <w:pPr>
        <w:ind w:firstLine="640" w:firstLineChars="200"/>
        <w:rPr>
          <w:rFonts w:ascii="黑体" w:hAnsi="黑体" w:eastAsia="黑体" w:cs="黑体"/>
          <w:sz w:val="32"/>
          <w:szCs w:val="32"/>
        </w:rPr>
      </w:pPr>
      <w:r>
        <w:rPr>
          <w:rFonts w:hint="eastAsia" w:ascii="黑体" w:hAnsi="黑体" w:eastAsia="黑体" w:cs="黑体"/>
          <w:sz w:val="32"/>
          <w:szCs w:val="32"/>
        </w:rPr>
        <w:t>四、融资担保公司、小额贷款公司、非融资性担保机构被列入经营异常名录条件</w:t>
      </w:r>
    </w:p>
    <w:p>
      <w:pPr>
        <w:ind w:firstLine="640" w:firstLineChars="200"/>
        <w:rPr>
          <w:rFonts w:ascii="仿宋" w:hAnsi="仿宋" w:eastAsia="仿宋"/>
          <w:sz w:val="32"/>
          <w:szCs w:val="32"/>
        </w:rPr>
      </w:pPr>
      <w:r>
        <w:rPr>
          <w:rFonts w:hint="eastAsia" w:ascii="仿宋" w:hAnsi="仿宋" w:eastAsia="仿宋"/>
          <w:sz w:val="32"/>
          <w:szCs w:val="32"/>
        </w:rPr>
        <w:t>融资担保公司、小额贷款公司、非融资性担保机构出现下列情况，属地监管部门可提请县级（含）以上工商行政管理部门将其列入经营异常名录，直至法人主体资格完成注销。</w:t>
      </w:r>
    </w:p>
    <w:p>
      <w:pPr>
        <w:ind w:firstLine="640" w:firstLineChars="200"/>
        <w:rPr>
          <w:rFonts w:ascii="仿宋" w:hAnsi="仿宋" w:eastAsia="仿宋"/>
          <w:sz w:val="32"/>
          <w:szCs w:val="32"/>
        </w:rPr>
      </w:pPr>
      <w:r>
        <w:rPr>
          <w:rFonts w:hint="eastAsia" w:ascii="仿宋" w:hAnsi="仿宋" w:eastAsia="仿宋"/>
          <w:sz w:val="32"/>
          <w:szCs w:val="32"/>
        </w:rPr>
        <w:t>（一）未按照《企业信息公示暂行条例》第八条规定的期限公示年度报告的；</w:t>
      </w:r>
    </w:p>
    <w:p>
      <w:pPr>
        <w:ind w:firstLine="640" w:firstLineChars="200"/>
        <w:rPr>
          <w:rFonts w:ascii="仿宋" w:hAnsi="仿宋" w:eastAsia="仿宋"/>
          <w:sz w:val="32"/>
          <w:szCs w:val="32"/>
        </w:rPr>
      </w:pPr>
      <w:r>
        <w:rPr>
          <w:rFonts w:hint="eastAsia" w:ascii="仿宋" w:hAnsi="仿宋" w:eastAsia="仿宋"/>
          <w:sz w:val="32"/>
          <w:szCs w:val="32"/>
        </w:rPr>
        <w:t>（二）未在工商行政管理部门依照《企业信息公示暂行条例》第十条规定责令的期限内公示有关企业信息的；</w:t>
      </w:r>
    </w:p>
    <w:p>
      <w:pPr>
        <w:ind w:firstLine="640" w:firstLineChars="200"/>
        <w:rPr>
          <w:rFonts w:ascii="仿宋" w:hAnsi="仿宋" w:eastAsia="仿宋"/>
          <w:sz w:val="32"/>
          <w:szCs w:val="32"/>
        </w:rPr>
      </w:pPr>
      <w:r>
        <w:rPr>
          <w:rFonts w:hint="eastAsia" w:ascii="仿宋" w:hAnsi="仿宋" w:eastAsia="仿宋"/>
          <w:sz w:val="32"/>
          <w:szCs w:val="32"/>
        </w:rPr>
        <w:t>（三）公示企业信息隐瞒真实情况、弄虚作假的；</w:t>
      </w:r>
    </w:p>
    <w:p>
      <w:pPr>
        <w:ind w:firstLine="640" w:firstLineChars="200"/>
        <w:rPr>
          <w:rFonts w:ascii="仿宋" w:hAnsi="仿宋" w:eastAsia="仿宋"/>
          <w:sz w:val="32"/>
          <w:szCs w:val="32"/>
        </w:rPr>
      </w:pPr>
      <w:r>
        <w:rPr>
          <w:rFonts w:hint="eastAsia" w:ascii="仿宋" w:hAnsi="仿宋" w:eastAsia="仿宋"/>
          <w:sz w:val="32"/>
          <w:szCs w:val="32"/>
        </w:rPr>
        <w:t>（四）通过登记的住所或者经营场所无法联系的。</w:t>
      </w:r>
    </w:p>
    <w:p>
      <w:pPr>
        <w:rPr>
          <w:rFonts w:hint="eastAsia"/>
          <w:sz w:val="44"/>
          <w:szCs w:val="44"/>
        </w:rPr>
      </w:pPr>
      <w:bookmarkStart w:id="45" w:name="_Toc9254"/>
      <w:r>
        <w:rPr>
          <w:rFonts w:hint="eastAsia"/>
          <w:sz w:val="44"/>
          <w:szCs w:val="44"/>
        </w:rPr>
        <w:br w:type="page"/>
      </w:r>
    </w:p>
    <w:p>
      <w:pPr>
        <w:pStyle w:val="3"/>
        <w:jc w:val="center"/>
        <w:rPr>
          <w:sz w:val="44"/>
          <w:szCs w:val="44"/>
        </w:rPr>
      </w:pPr>
      <w:r>
        <w:rPr>
          <w:rFonts w:hint="eastAsia"/>
          <w:sz w:val="44"/>
          <w:szCs w:val="44"/>
        </w:rPr>
        <w:t>十一、河南省融资性担保公司年审办法</w:t>
      </w:r>
      <w:bookmarkEnd w:id="45"/>
    </w:p>
    <w:p>
      <w:pPr>
        <w:keepNext/>
        <w:keepLines/>
        <w:spacing w:line="560" w:lineRule="exact"/>
        <w:ind w:firstLine="480" w:firstLineChars="200"/>
        <w:jc w:val="center"/>
        <w:rPr>
          <w:rStyle w:val="19"/>
          <w:rFonts w:hint="eastAsia" w:ascii="楷体" w:hAnsi="楷体" w:eastAsia="楷体" w:cs="楷体"/>
          <w:color w:val="000000"/>
          <w:sz w:val="24"/>
          <w:szCs w:val="24"/>
        </w:rPr>
      </w:pPr>
      <w:r>
        <w:rPr>
          <w:rStyle w:val="19"/>
          <w:rFonts w:hint="eastAsia" w:ascii="楷体" w:hAnsi="楷体" w:eastAsia="楷体" w:cs="楷体"/>
          <w:color w:val="000000"/>
          <w:sz w:val="24"/>
          <w:szCs w:val="24"/>
          <w:lang w:eastAsia="zh-CN"/>
        </w:rPr>
        <w:t>河南省人民政府金融服务办公室文件</w:t>
      </w:r>
      <w:r>
        <w:rPr>
          <w:rStyle w:val="19"/>
          <w:rFonts w:hint="eastAsia" w:ascii="楷体" w:hAnsi="楷体" w:eastAsia="楷体" w:cs="楷体"/>
          <w:color w:val="000000"/>
          <w:sz w:val="24"/>
          <w:szCs w:val="24"/>
          <w:lang w:val="en-US" w:eastAsia="zh-CN"/>
        </w:rPr>
        <w:t xml:space="preserve"> </w:t>
      </w:r>
      <w:r>
        <w:rPr>
          <w:rStyle w:val="19"/>
          <w:rFonts w:hint="eastAsia" w:ascii="楷体" w:hAnsi="楷体" w:eastAsia="楷体" w:cs="楷体"/>
          <w:color w:val="000000"/>
          <w:sz w:val="24"/>
          <w:szCs w:val="24"/>
          <w:lang w:eastAsia="zh-CN"/>
        </w:rPr>
        <w:t>豫政金</w:t>
      </w:r>
      <w:r>
        <w:rPr>
          <w:rStyle w:val="19"/>
          <w:rFonts w:hint="eastAsia" w:ascii="楷体" w:hAnsi="楷体" w:eastAsia="楷体" w:cs="楷体"/>
          <w:color w:val="000000"/>
          <w:sz w:val="24"/>
          <w:szCs w:val="24"/>
        </w:rPr>
        <w:t>〔20</w:t>
      </w:r>
      <w:r>
        <w:rPr>
          <w:rStyle w:val="19"/>
          <w:rFonts w:hint="eastAsia" w:ascii="楷体" w:hAnsi="楷体" w:eastAsia="楷体" w:cs="楷体"/>
          <w:color w:val="000000"/>
          <w:sz w:val="24"/>
          <w:szCs w:val="24"/>
          <w:lang w:val="en-US" w:eastAsia="zh-CN"/>
        </w:rPr>
        <w:t>15</w:t>
      </w:r>
      <w:r>
        <w:rPr>
          <w:rStyle w:val="19"/>
          <w:rFonts w:hint="eastAsia" w:ascii="楷体" w:hAnsi="楷体" w:eastAsia="楷体" w:cs="楷体"/>
          <w:color w:val="000000"/>
          <w:sz w:val="24"/>
          <w:szCs w:val="24"/>
        </w:rPr>
        <w:t>〕</w:t>
      </w:r>
      <w:r>
        <w:rPr>
          <w:rStyle w:val="19"/>
          <w:rFonts w:hint="eastAsia" w:ascii="楷体" w:hAnsi="楷体" w:eastAsia="楷体" w:cs="楷体"/>
          <w:color w:val="000000"/>
          <w:sz w:val="24"/>
          <w:szCs w:val="24"/>
          <w:lang w:val="en-US" w:eastAsia="zh-CN"/>
        </w:rPr>
        <w:t>142</w:t>
      </w:r>
      <w:r>
        <w:rPr>
          <w:rStyle w:val="19"/>
          <w:rFonts w:hint="eastAsia" w:ascii="楷体" w:hAnsi="楷体" w:eastAsia="楷体" w:cs="楷体"/>
          <w:color w:val="000000"/>
          <w:sz w:val="24"/>
          <w:szCs w:val="24"/>
        </w:rPr>
        <w:t>号</w:t>
      </w:r>
    </w:p>
    <w:p>
      <w:pPr>
        <w:keepNext/>
        <w:keepLines/>
        <w:spacing w:line="560" w:lineRule="exact"/>
        <w:ind w:firstLine="480" w:firstLineChars="200"/>
        <w:jc w:val="center"/>
        <w:rPr>
          <w:rFonts w:hint="eastAsia" w:ascii="仿宋" w:hAnsi="仿宋" w:eastAsia="仿宋" w:cs="宋体"/>
          <w:kern w:val="0"/>
          <w:sz w:val="32"/>
          <w:szCs w:val="32"/>
        </w:rPr>
      </w:pPr>
      <w:r>
        <w:rPr>
          <w:rStyle w:val="19"/>
          <w:rFonts w:hint="eastAsia" w:ascii="楷体" w:hAnsi="楷体" w:eastAsia="楷体" w:cs="楷体"/>
          <w:color w:val="000000"/>
          <w:sz w:val="24"/>
          <w:szCs w:val="24"/>
        </w:rPr>
        <w:t>20</w:t>
      </w:r>
      <w:r>
        <w:rPr>
          <w:rStyle w:val="19"/>
          <w:rFonts w:hint="eastAsia" w:ascii="楷体" w:hAnsi="楷体" w:eastAsia="楷体" w:cs="楷体"/>
          <w:color w:val="000000"/>
          <w:sz w:val="24"/>
          <w:szCs w:val="24"/>
          <w:lang w:val="en-US" w:eastAsia="zh-CN"/>
        </w:rPr>
        <w:t>15</w:t>
      </w:r>
      <w:r>
        <w:rPr>
          <w:rStyle w:val="19"/>
          <w:rFonts w:hint="eastAsia" w:ascii="楷体" w:hAnsi="楷体" w:eastAsia="楷体" w:cs="楷体"/>
          <w:color w:val="000000"/>
          <w:sz w:val="24"/>
          <w:szCs w:val="24"/>
        </w:rPr>
        <w:t>年</w:t>
      </w:r>
      <w:r>
        <w:rPr>
          <w:rStyle w:val="19"/>
          <w:rFonts w:hint="eastAsia" w:ascii="楷体" w:hAnsi="楷体" w:eastAsia="楷体" w:cs="楷体"/>
          <w:color w:val="000000"/>
          <w:sz w:val="24"/>
          <w:szCs w:val="24"/>
          <w:lang w:val="en-US" w:eastAsia="zh-CN"/>
        </w:rPr>
        <w:t>7</w:t>
      </w:r>
      <w:r>
        <w:rPr>
          <w:rStyle w:val="19"/>
          <w:rFonts w:hint="eastAsia" w:ascii="楷体" w:hAnsi="楷体" w:eastAsia="楷体" w:cs="楷体"/>
          <w:color w:val="000000"/>
          <w:sz w:val="24"/>
          <w:szCs w:val="24"/>
        </w:rPr>
        <w:t>月</w:t>
      </w:r>
      <w:r>
        <w:rPr>
          <w:rStyle w:val="19"/>
          <w:rFonts w:hint="eastAsia" w:ascii="楷体" w:hAnsi="楷体" w:eastAsia="楷体" w:cs="楷体"/>
          <w:color w:val="000000"/>
          <w:sz w:val="24"/>
          <w:szCs w:val="24"/>
          <w:lang w:val="en-US" w:eastAsia="zh-CN"/>
        </w:rPr>
        <w:t>8</w:t>
      </w:r>
      <w:r>
        <w:rPr>
          <w:rStyle w:val="19"/>
          <w:rFonts w:hint="eastAsia" w:ascii="楷体" w:hAnsi="楷体" w:eastAsia="楷体" w:cs="楷体"/>
          <w:color w:val="000000"/>
          <w:sz w:val="24"/>
          <w:szCs w:val="24"/>
        </w:rPr>
        <w:t>日印发</w:t>
      </w:r>
    </w:p>
    <w:p>
      <w:pPr>
        <w:ind w:firstLine="640" w:firstLineChars="200"/>
        <w:jc w:val="center"/>
        <w:rPr>
          <w:rFonts w:ascii="黑体" w:hAnsi="黑体" w:eastAsia="黑体" w:cs="黑体"/>
          <w:sz w:val="32"/>
          <w:szCs w:val="32"/>
        </w:rPr>
      </w:pPr>
      <w:r>
        <w:rPr>
          <w:rFonts w:hint="eastAsia" w:ascii="黑体" w:hAnsi="黑体" w:eastAsia="黑体" w:cs="黑体"/>
          <w:sz w:val="32"/>
          <w:szCs w:val="32"/>
        </w:rPr>
        <w:t>第一章  总则</w:t>
      </w:r>
    </w:p>
    <w:p>
      <w:pPr>
        <w:ind w:firstLine="640" w:firstLineChars="200"/>
        <w:rPr>
          <w:rFonts w:ascii="仿宋" w:hAnsi="仿宋" w:eastAsia="仿宋"/>
          <w:sz w:val="32"/>
          <w:szCs w:val="32"/>
        </w:rPr>
      </w:pPr>
      <w:r>
        <w:rPr>
          <w:rFonts w:hint="eastAsia" w:ascii="仿宋" w:hAnsi="仿宋" w:eastAsia="仿宋"/>
          <w:sz w:val="32"/>
          <w:szCs w:val="32"/>
        </w:rPr>
        <w:t>    第一条  为加强对融资性担保公司的监督管理，促进行业规范发展，根据《融资性担保公司管理暂行办法》和《河南省融资性担保公司管理暂行办法》等有关规定，结合我省实际，制定本办法。</w:t>
      </w:r>
    </w:p>
    <w:p>
      <w:pPr>
        <w:ind w:firstLine="640" w:firstLineChars="200"/>
        <w:rPr>
          <w:rFonts w:ascii="仿宋" w:hAnsi="仿宋" w:eastAsia="仿宋"/>
          <w:sz w:val="32"/>
          <w:szCs w:val="32"/>
        </w:rPr>
      </w:pPr>
      <w:r>
        <w:rPr>
          <w:rFonts w:hint="eastAsia" w:ascii="仿宋" w:hAnsi="仿宋" w:eastAsia="仿宋"/>
          <w:sz w:val="32"/>
          <w:szCs w:val="32"/>
        </w:rPr>
        <w:t>第二条  本办法是指监管部门依据相关法律法规的规定，对融资性担保公司年度经营情况进行检查和审核。</w:t>
      </w:r>
    </w:p>
    <w:p>
      <w:pPr>
        <w:ind w:firstLine="640" w:firstLineChars="200"/>
        <w:rPr>
          <w:rFonts w:ascii="仿宋" w:hAnsi="仿宋" w:eastAsia="仿宋"/>
          <w:sz w:val="32"/>
          <w:szCs w:val="32"/>
        </w:rPr>
      </w:pPr>
      <w:r>
        <w:rPr>
          <w:rFonts w:hint="eastAsia" w:ascii="仿宋" w:hAnsi="仿宋" w:eastAsia="仿宋"/>
          <w:sz w:val="32"/>
          <w:szCs w:val="32"/>
        </w:rPr>
        <w:t>第三条  本办法适用于在河南省境内，经监管部门批准获得《融资性担保公司经营许可证》，并在工商行政管理部门依法登记注册的融资性担保公司。</w:t>
      </w:r>
    </w:p>
    <w:p>
      <w:pPr>
        <w:ind w:firstLine="640" w:firstLineChars="200"/>
        <w:rPr>
          <w:rFonts w:ascii="仿宋" w:hAnsi="仿宋" w:eastAsia="仿宋"/>
          <w:sz w:val="32"/>
          <w:szCs w:val="32"/>
        </w:rPr>
      </w:pPr>
      <w:r>
        <w:rPr>
          <w:rFonts w:hint="eastAsia" w:ascii="仿宋" w:hAnsi="仿宋" w:eastAsia="仿宋"/>
          <w:sz w:val="32"/>
          <w:szCs w:val="32"/>
        </w:rPr>
        <w:t>第四条  县（市、区）监管部门负责本辖区内融资性担保公司年审的初审工作；省辖市、省直管县（市）监管部门负责本辖区内融资性担保公司年审的复核工作。省政府金融办负责省直管融资性担保公司年审工作，并对省辖市和省直管县（市）上报的年审情况进行审核。</w:t>
      </w:r>
    </w:p>
    <w:p>
      <w:pPr>
        <w:ind w:firstLine="640" w:firstLineChars="200"/>
        <w:rPr>
          <w:rFonts w:ascii="仿宋" w:hAnsi="仿宋" w:eastAsia="仿宋"/>
          <w:sz w:val="32"/>
          <w:szCs w:val="32"/>
        </w:rPr>
      </w:pPr>
      <w:r>
        <w:rPr>
          <w:rFonts w:hint="eastAsia" w:ascii="仿宋" w:hAnsi="仿宋" w:eastAsia="仿宋"/>
          <w:sz w:val="32"/>
          <w:szCs w:val="32"/>
        </w:rPr>
        <w:t>第五条  融资性担保公司年审时间为每年2月1日至5月31日，省辖市、省直管县（市）监管部门应在此期间完成年审工作，省政府金融办于每年6月1日至8月31日完成全省融资性担保公司年审工作。</w:t>
      </w:r>
    </w:p>
    <w:p>
      <w:pPr>
        <w:ind w:firstLine="640" w:firstLineChars="200"/>
        <w:jc w:val="center"/>
        <w:rPr>
          <w:rFonts w:ascii="黑体" w:hAnsi="黑体" w:eastAsia="黑体" w:cs="黑体"/>
          <w:sz w:val="32"/>
          <w:szCs w:val="32"/>
        </w:rPr>
      </w:pPr>
      <w:r>
        <w:rPr>
          <w:rFonts w:hint="eastAsia" w:ascii="黑体" w:hAnsi="黑体" w:eastAsia="黑体" w:cs="黑体"/>
          <w:sz w:val="32"/>
          <w:szCs w:val="32"/>
        </w:rPr>
        <w:t>第二章  申报材料</w:t>
      </w:r>
    </w:p>
    <w:p>
      <w:pPr>
        <w:ind w:firstLine="640" w:firstLineChars="200"/>
        <w:rPr>
          <w:rFonts w:ascii="仿宋" w:hAnsi="仿宋" w:eastAsia="仿宋"/>
          <w:sz w:val="32"/>
          <w:szCs w:val="32"/>
        </w:rPr>
      </w:pPr>
      <w:r>
        <w:rPr>
          <w:rFonts w:hint="eastAsia" w:ascii="仿宋" w:hAnsi="仿宋" w:eastAsia="仿宋"/>
          <w:sz w:val="32"/>
          <w:szCs w:val="32"/>
        </w:rPr>
        <w:t>第六条  融资性担保公司的年审材料，包括但不限于以下内容：</w:t>
      </w:r>
    </w:p>
    <w:p>
      <w:pPr>
        <w:ind w:firstLine="640" w:firstLineChars="200"/>
        <w:rPr>
          <w:rFonts w:ascii="仿宋" w:hAnsi="仿宋" w:eastAsia="仿宋"/>
          <w:sz w:val="32"/>
          <w:szCs w:val="32"/>
        </w:rPr>
      </w:pPr>
      <w:r>
        <w:rPr>
          <w:rFonts w:hint="eastAsia" w:ascii="仿宋" w:hAnsi="仿宋" w:eastAsia="仿宋"/>
          <w:sz w:val="32"/>
          <w:szCs w:val="32"/>
        </w:rPr>
        <w:t>（一）河南省融资性担保公司年审报告书（见附件1）。</w:t>
      </w:r>
    </w:p>
    <w:p>
      <w:pPr>
        <w:ind w:firstLine="640" w:firstLineChars="200"/>
        <w:rPr>
          <w:rFonts w:ascii="仿宋" w:hAnsi="仿宋" w:eastAsia="仿宋"/>
          <w:sz w:val="32"/>
          <w:szCs w:val="32"/>
        </w:rPr>
      </w:pPr>
      <w:r>
        <w:rPr>
          <w:rFonts w:hint="eastAsia" w:ascii="仿宋" w:hAnsi="仿宋" w:eastAsia="仿宋"/>
          <w:sz w:val="32"/>
          <w:szCs w:val="32"/>
        </w:rPr>
        <w:t>（二）融资性担保公司经营许可证、营业执照、机构代码证和税务登记证等证照复印件，以及全国企业信用信息公示系统中的相关查询信息(包括登记信息和备案信息)。</w:t>
      </w:r>
    </w:p>
    <w:p>
      <w:pPr>
        <w:ind w:firstLine="640" w:firstLineChars="200"/>
        <w:rPr>
          <w:rFonts w:ascii="仿宋" w:hAnsi="仿宋" w:eastAsia="仿宋"/>
          <w:sz w:val="32"/>
          <w:szCs w:val="32"/>
        </w:rPr>
      </w:pPr>
      <w:r>
        <w:rPr>
          <w:rFonts w:hint="eastAsia" w:ascii="仿宋" w:hAnsi="仿宋" w:eastAsia="仿宋"/>
          <w:sz w:val="32"/>
          <w:szCs w:val="32"/>
        </w:rPr>
        <w:t>（三）融资性担保公司年度经营报告：</w:t>
      </w:r>
    </w:p>
    <w:p>
      <w:pPr>
        <w:ind w:firstLine="640" w:firstLineChars="200"/>
        <w:rPr>
          <w:rFonts w:ascii="仿宋" w:hAnsi="仿宋" w:eastAsia="仿宋"/>
          <w:sz w:val="32"/>
          <w:szCs w:val="32"/>
        </w:rPr>
      </w:pPr>
      <w:r>
        <w:rPr>
          <w:rFonts w:hint="eastAsia" w:ascii="仿宋" w:hAnsi="仿宋" w:eastAsia="仿宋"/>
          <w:sz w:val="32"/>
          <w:szCs w:val="32"/>
        </w:rPr>
        <w:t>1.公司概况。包括公司治理、内部控制、风险管理制度建设、公司股东和董事、监事、高级管理人员基本情况，以及年度变更或重大事项说明。</w:t>
      </w:r>
    </w:p>
    <w:p>
      <w:pPr>
        <w:ind w:firstLine="640" w:firstLineChars="200"/>
        <w:rPr>
          <w:rFonts w:ascii="仿宋" w:hAnsi="仿宋" w:eastAsia="仿宋"/>
          <w:sz w:val="32"/>
          <w:szCs w:val="32"/>
        </w:rPr>
      </w:pPr>
      <w:r>
        <w:rPr>
          <w:rFonts w:hint="eastAsia" w:ascii="仿宋" w:hAnsi="仿宋" w:eastAsia="仿宋"/>
          <w:sz w:val="32"/>
          <w:szCs w:val="32"/>
        </w:rPr>
        <w:t>2.年度经营情况。包括当年新增融资性担保业务情况、在保情况、新增代偿、准备金提取情况，最大10 家客户集中度明细、最大3家关联客户集中度明细，融资性担保业务放大倍数，担保代偿率、代偿回收率、担保损失率、 拨备覆盖率等情况。</w:t>
      </w:r>
    </w:p>
    <w:p>
      <w:pPr>
        <w:ind w:firstLine="640" w:firstLineChars="200"/>
        <w:rPr>
          <w:rFonts w:ascii="仿宋" w:hAnsi="仿宋" w:eastAsia="仿宋"/>
          <w:sz w:val="32"/>
          <w:szCs w:val="32"/>
        </w:rPr>
      </w:pPr>
      <w:r>
        <w:rPr>
          <w:rFonts w:hint="eastAsia" w:ascii="仿宋" w:hAnsi="仿宋" w:eastAsia="仿宋"/>
          <w:sz w:val="32"/>
          <w:szCs w:val="32"/>
        </w:rPr>
        <w:t>3.内部控制情况。结合《河南省融资性担保公司监督管理暂行办法》第十三条“融资性担保公司内部控制”的规定，逐项自查说明有无违反规定的情况。</w:t>
      </w:r>
    </w:p>
    <w:p>
      <w:pPr>
        <w:ind w:firstLine="640" w:firstLineChars="200"/>
        <w:rPr>
          <w:rFonts w:ascii="仿宋" w:hAnsi="仿宋" w:eastAsia="仿宋"/>
          <w:sz w:val="32"/>
          <w:szCs w:val="32"/>
        </w:rPr>
      </w:pPr>
      <w:r>
        <w:rPr>
          <w:rFonts w:hint="eastAsia" w:ascii="仿宋" w:hAnsi="仿宋" w:eastAsia="仿宋"/>
          <w:sz w:val="32"/>
          <w:szCs w:val="32"/>
        </w:rPr>
        <w:t>4.资金使用情况。包括融资性担保公司全部账户（列明托管户、保证金户等）及账号清单、货币资金余额汇总表、第四季度货币资金银行流水对账单（加盖银行公章）和资金运用情况明细等，托管资金、担保赔偿准备金、客户保证金等制度落实情况。</w:t>
      </w:r>
    </w:p>
    <w:p>
      <w:pPr>
        <w:ind w:firstLine="640" w:firstLineChars="200"/>
        <w:rPr>
          <w:rFonts w:ascii="仿宋" w:hAnsi="仿宋" w:eastAsia="仿宋"/>
          <w:sz w:val="32"/>
          <w:szCs w:val="32"/>
        </w:rPr>
      </w:pPr>
      <w:r>
        <w:rPr>
          <w:rFonts w:hint="eastAsia" w:ascii="仿宋" w:hAnsi="仿宋" w:eastAsia="仿宋"/>
          <w:sz w:val="32"/>
          <w:szCs w:val="32"/>
        </w:rPr>
        <w:t>以上四项内容需采用表格或单独说明形式的，可作为年度经营报告的附件附后。</w:t>
      </w:r>
    </w:p>
    <w:p>
      <w:pPr>
        <w:ind w:firstLine="640" w:firstLineChars="200"/>
        <w:rPr>
          <w:rFonts w:ascii="仿宋" w:hAnsi="仿宋" w:eastAsia="仿宋"/>
          <w:sz w:val="32"/>
          <w:szCs w:val="32"/>
        </w:rPr>
      </w:pPr>
      <w:r>
        <w:rPr>
          <w:rFonts w:hint="eastAsia" w:ascii="仿宋" w:hAnsi="仿宋" w:eastAsia="仿宋"/>
          <w:sz w:val="32"/>
          <w:szCs w:val="32"/>
        </w:rPr>
        <w:t>（四）会计师事务所出具的年度专项审计报告。</w:t>
      </w:r>
    </w:p>
    <w:p>
      <w:pPr>
        <w:ind w:firstLine="640" w:firstLineChars="200"/>
        <w:rPr>
          <w:rFonts w:ascii="仿宋" w:hAnsi="仿宋" w:eastAsia="仿宋"/>
          <w:sz w:val="32"/>
          <w:szCs w:val="32"/>
        </w:rPr>
      </w:pPr>
      <w:r>
        <w:rPr>
          <w:rFonts w:hint="eastAsia" w:ascii="仿宋" w:hAnsi="仿宋" w:eastAsia="仿宋"/>
          <w:sz w:val="32"/>
          <w:szCs w:val="32"/>
        </w:rPr>
        <w:t>（五）监管部门认为需要提交的其他材料。</w:t>
      </w:r>
    </w:p>
    <w:p>
      <w:pPr>
        <w:ind w:firstLine="640" w:firstLineChars="200"/>
        <w:rPr>
          <w:rFonts w:ascii="仿宋" w:hAnsi="仿宋" w:eastAsia="仿宋"/>
          <w:sz w:val="32"/>
          <w:szCs w:val="32"/>
        </w:rPr>
      </w:pPr>
      <w:r>
        <w:rPr>
          <w:rFonts w:hint="eastAsia" w:ascii="仿宋" w:hAnsi="仿宋" w:eastAsia="仿宋"/>
          <w:sz w:val="32"/>
          <w:szCs w:val="32"/>
        </w:rPr>
        <w:t>（六）年审申报材料真实、完整的承诺书。</w:t>
      </w:r>
    </w:p>
    <w:p>
      <w:pPr>
        <w:ind w:firstLine="640" w:firstLineChars="200"/>
        <w:rPr>
          <w:rFonts w:ascii="仿宋" w:hAnsi="仿宋" w:eastAsia="仿宋"/>
          <w:sz w:val="32"/>
          <w:szCs w:val="32"/>
        </w:rPr>
      </w:pPr>
      <w:r>
        <w:rPr>
          <w:rFonts w:hint="eastAsia" w:ascii="仿宋" w:hAnsi="仿宋" w:eastAsia="仿宋"/>
          <w:sz w:val="32"/>
          <w:szCs w:val="32"/>
        </w:rPr>
        <w:t>（七）行业年审的各项数据起止日期为：年审年度1月1日—12月31日，年审申报材料应胶装，并加盖骑缝章（融资性担保公司公章）。</w:t>
      </w:r>
    </w:p>
    <w:p>
      <w:pPr>
        <w:ind w:firstLine="640" w:firstLineChars="200"/>
        <w:rPr>
          <w:rFonts w:ascii="仿宋" w:hAnsi="仿宋" w:eastAsia="仿宋"/>
          <w:sz w:val="32"/>
          <w:szCs w:val="32"/>
        </w:rPr>
      </w:pPr>
      <w:r>
        <w:rPr>
          <w:rFonts w:hint="eastAsia" w:ascii="仿宋" w:hAnsi="仿宋" w:eastAsia="仿宋"/>
          <w:sz w:val="32"/>
          <w:szCs w:val="32"/>
        </w:rPr>
        <w:t>第七条  年度专项审计报告包括但不限于以下内容（见附件2）：</w:t>
      </w:r>
    </w:p>
    <w:p>
      <w:pPr>
        <w:ind w:firstLine="640" w:firstLineChars="200"/>
        <w:rPr>
          <w:rFonts w:ascii="仿宋" w:hAnsi="仿宋" w:eastAsia="仿宋"/>
          <w:sz w:val="32"/>
          <w:szCs w:val="32"/>
        </w:rPr>
      </w:pPr>
      <w:r>
        <w:rPr>
          <w:rFonts w:hint="eastAsia" w:ascii="仿宋" w:hAnsi="仿宋" w:eastAsia="仿宋"/>
          <w:sz w:val="32"/>
          <w:szCs w:val="32"/>
        </w:rPr>
        <w:t>（一）货币资金使用情况。注册资本金托管金额、托管账户，并说明是否按规定足额托管；托管资金、担保赔偿准备金、客户保证金是否专户专存；应收账款的构成（包括应收账款单位明细，文字说明与业务有关和与业务无关的情况）；担保赔偿准备金、未到期责任准备金和一般风险准备金的拨备提取情况，并说明是否按规定足额提取；分析短期借款、长期借款构成，列出主要明细，说明是否存在股东借款情况；注册资本金在位情况，说明有无抽逃注册资本金情况。</w:t>
      </w:r>
    </w:p>
    <w:p>
      <w:pPr>
        <w:ind w:firstLine="640" w:firstLineChars="200"/>
        <w:rPr>
          <w:rFonts w:ascii="仿宋" w:hAnsi="仿宋" w:eastAsia="仿宋"/>
          <w:sz w:val="32"/>
          <w:szCs w:val="32"/>
        </w:rPr>
      </w:pPr>
      <w:r>
        <w:rPr>
          <w:rFonts w:hint="eastAsia" w:ascii="仿宋" w:hAnsi="仿宋" w:eastAsia="仿宋"/>
          <w:sz w:val="32"/>
          <w:szCs w:val="32"/>
        </w:rPr>
        <w:t>（二）担保代偿情况。包括发生的代偿款项金额、已收回的代偿款项、期末尚未收回的代偿款项、代偿率，以及代偿金额占流动资产、总资产和注册资本金的比例。</w:t>
      </w:r>
    </w:p>
    <w:p>
      <w:pPr>
        <w:ind w:firstLine="640" w:firstLineChars="200"/>
        <w:rPr>
          <w:rFonts w:ascii="仿宋" w:hAnsi="仿宋" w:eastAsia="仿宋"/>
          <w:sz w:val="32"/>
          <w:szCs w:val="32"/>
        </w:rPr>
      </w:pPr>
      <w:r>
        <w:rPr>
          <w:rFonts w:hint="eastAsia" w:ascii="仿宋" w:hAnsi="仿宋" w:eastAsia="仿宋"/>
          <w:sz w:val="32"/>
          <w:szCs w:val="32"/>
        </w:rPr>
        <w:t>（三）存出担保保证金情况。包括存出担保保证金和存出分担保保证金金额，存出保证金按存出银行分别列出明细。</w:t>
      </w:r>
    </w:p>
    <w:p>
      <w:pPr>
        <w:ind w:firstLine="640" w:firstLineChars="200"/>
        <w:rPr>
          <w:rFonts w:ascii="仿宋" w:hAnsi="仿宋" w:eastAsia="仿宋"/>
          <w:sz w:val="32"/>
          <w:szCs w:val="32"/>
        </w:rPr>
      </w:pPr>
      <w:r>
        <w:rPr>
          <w:rFonts w:hint="eastAsia" w:ascii="仿宋" w:hAnsi="仿宋" w:eastAsia="仿宋"/>
          <w:sz w:val="32"/>
          <w:szCs w:val="32"/>
        </w:rPr>
        <w:t>（四）存入担保保证金情况。包括存入担保保证金和存入分担保保证金金额，并说明是否按规定专户专存，有无挪用或占用情况；存入保证金按金额大小列出前10户企业。</w:t>
      </w:r>
    </w:p>
    <w:p>
      <w:pPr>
        <w:ind w:firstLine="640" w:firstLineChars="200"/>
        <w:rPr>
          <w:rFonts w:ascii="仿宋" w:hAnsi="仿宋" w:eastAsia="仿宋"/>
          <w:sz w:val="32"/>
          <w:szCs w:val="32"/>
        </w:rPr>
      </w:pPr>
      <w:r>
        <w:rPr>
          <w:rFonts w:hint="eastAsia" w:ascii="仿宋" w:hAnsi="仿宋" w:eastAsia="仿宋"/>
          <w:sz w:val="32"/>
          <w:szCs w:val="32"/>
        </w:rPr>
        <w:t>（五）对外投资情况。列明应收账款、其他应收款（按照其性质列明，重点区分投资类）、委托贷款、短期投资、长期投资（股权投资、债权投资）等各类涉及对外投资的金额和期间发生额，按年末金额大小列明前5户，按期间发生额大小列明前5户，并说明是否存在超比例投资，是否存在股权投资。其中，固定资产归属于投资类范畴。</w:t>
      </w:r>
    </w:p>
    <w:p>
      <w:pPr>
        <w:ind w:firstLine="640" w:firstLineChars="200"/>
        <w:rPr>
          <w:rFonts w:ascii="仿宋" w:hAnsi="仿宋" w:eastAsia="仿宋"/>
          <w:sz w:val="32"/>
          <w:szCs w:val="32"/>
        </w:rPr>
      </w:pPr>
      <w:r>
        <w:rPr>
          <w:rFonts w:hint="eastAsia" w:ascii="仿宋" w:hAnsi="仿宋" w:eastAsia="仿宋"/>
          <w:sz w:val="32"/>
          <w:szCs w:val="32"/>
        </w:rPr>
        <w:t>（六）担保业务开展情况。包括对单个被担保人提供的融资性担保责任余额有无超过净资产的10%;对单个被担保人及其关联方提供的融资性担保责任余额有无超过净资产的15%，并列明前五名最大的被担保人；对单个被担保人债券发行提供的担保责任余额有无超过净资产的30%；为其母公司或子公司提供融资性担保的情况；担保保费收取金额及担保费费率；前10户大额担保的明细及融资性担保放大倍数。</w:t>
      </w:r>
    </w:p>
    <w:p>
      <w:pPr>
        <w:ind w:firstLine="640" w:firstLineChars="200"/>
        <w:rPr>
          <w:rFonts w:ascii="仿宋" w:hAnsi="仿宋" w:eastAsia="仿宋"/>
          <w:sz w:val="32"/>
          <w:szCs w:val="32"/>
        </w:rPr>
      </w:pPr>
      <w:r>
        <w:rPr>
          <w:rFonts w:hint="eastAsia" w:ascii="仿宋" w:hAnsi="仿宋" w:eastAsia="仿宋"/>
          <w:sz w:val="32"/>
          <w:szCs w:val="32"/>
        </w:rPr>
        <w:t>（七）利息收入、利息支出应分别按存款利息收入、委贷利息收入等说明。</w:t>
      </w:r>
    </w:p>
    <w:p>
      <w:pPr>
        <w:ind w:firstLine="640" w:firstLineChars="200"/>
        <w:rPr>
          <w:rFonts w:ascii="仿宋" w:hAnsi="仿宋" w:eastAsia="仿宋"/>
          <w:sz w:val="32"/>
          <w:szCs w:val="32"/>
        </w:rPr>
      </w:pPr>
      <w:r>
        <w:rPr>
          <w:rFonts w:hint="eastAsia" w:ascii="仿宋" w:hAnsi="仿宋" w:eastAsia="仿宋"/>
          <w:sz w:val="32"/>
          <w:szCs w:val="32"/>
        </w:rPr>
        <w:t>（八）关联方交易情况。</w:t>
      </w:r>
    </w:p>
    <w:p>
      <w:pPr>
        <w:ind w:firstLine="640" w:firstLineChars="200"/>
        <w:rPr>
          <w:rFonts w:ascii="仿宋" w:hAnsi="仿宋" w:eastAsia="仿宋"/>
          <w:sz w:val="32"/>
          <w:szCs w:val="32"/>
        </w:rPr>
      </w:pPr>
      <w:r>
        <w:rPr>
          <w:rFonts w:hint="eastAsia" w:ascii="仿宋" w:hAnsi="仿宋" w:eastAsia="仿宋"/>
          <w:sz w:val="32"/>
          <w:szCs w:val="32"/>
        </w:rPr>
        <w:t>（九）实收资本列出全部股东名称、出资额、占总股本的比例，股份公司中股东数量较多的可列出主要股东。</w:t>
      </w:r>
    </w:p>
    <w:p>
      <w:pPr>
        <w:ind w:firstLine="640" w:firstLineChars="200"/>
        <w:rPr>
          <w:rFonts w:ascii="仿宋" w:hAnsi="仿宋" w:eastAsia="仿宋"/>
          <w:sz w:val="32"/>
          <w:szCs w:val="32"/>
        </w:rPr>
      </w:pPr>
      <w:r>
        <w:rPr>
          <w:rFonts w:hint="eastAsia" w:ascii="仿宋" w:hAnsi="仿宋" w:eastAsia="仿宋"/>
          <w:sz w:val="32"/>
          <w:szCs w:val="32"/>
        </w:rPr>
        <w:t>（十）其他需说明的事项。</w:t>
      </w:r>
    </w:p>
    <w:p>
      <w:pPr>
        <w:ind w:firstLine="640" w:firstLineChars="200"/>
        <w:rPr>
          <w:rFonts w:ascii="仿宋" w:hAnsi="仿宋" w:eastAsia="仿宋"/>
          <w:sz w:val="32"/>
          <w:szCs w:val="32"/>
        </w:rPr>
      </w:pPr>
      <w:r>
        <w:rPr>
          <w:rFonts w:hint="eastAsia" w:ascii="仿宋" w:hAnsi="仿宋" w:eastAsia="仿宋"/>
          <w:sz w:val="32"/>
          <w:szCs w:val="32"/>
        </w:rPr>
        <w:t>融资性担保公司年度专项审计报告应按照附件模板样式出具，须带验证码或验证标识，并逐页加盖会计师事务所公章。</w:t>
      </w:r>
    </w:p>
    <w:p>
      <w:pPr>
        <w:ind w:firstLine="640" w:firstLineChars="200"/>
        <w:rPr>
          <w:rFonts w:ascii="仿宋" w:hAnsi="仿宋" w:eastAsia="仿宋"/>
          <w:sz w:val="32"/>
          <w:szCs w:val="32"/>
        </w:rPr>
      </w:pPr>
      <w:r>
        <w:rPr>
          <w:rFonts w:hint="eastAsia" w:ascii="仿宋" w:hAnsi="仿宋" w:eastAsia="仿宋"/>
          <w:sz w:val="32"/>
          <w:szCs w:val="32"/>
        </w:rPr>
        <w:t>第八条 出具融资性担保公司年度专项审计报告的会计师事务所，应对审计报告的真实性、合法性、合规性承担相关的法律责任。审计中，如发现担保公司有违法违规行为，应当在出具的报告中提出。</w:t>
      </w:r>
    </w:p>
    <w:p>
      <w:pPr>
        <w:ind w:firstLine="640" w:firstLineChars="200"/>
        <w:rPr>
          <w:rFonts w:ascii="仿宋" w:hAnsi="仿宋" w:eastAsia="仿宋"/>
          <w:sz w:val="32"/>
          <w:szCs w:val="32"/>
        </w:rPr>
      </w:pPr>
      <w:r>
        <w:rPr>
          <w:rFonts w:hint="eastAsia" w:ascii="仿宋" w:hAnsi="仿宋" w:eastAsia="仿宋"/>
          <w:sz w:val="32"/>
          <w:szCs w:val="32"/>
        </w:rPr>
        <w:t>对于年度专项审计报告中意见为“无法发表意见”或“有保留意见”等含糊不确定的报告，属地监管部门组织专项检查。</w:t>
      </w:r>
    </w:p>
    <w:p>
      <w:pPr>
        <w:ind w:firstLine="640" w:firstLineChars="200"/>
        <w:rPr>
          <w:rFonts w:ascii="仿宋" w:hAnsi="仿宋" w:eastAsia="仿宋"/>
          <w:sz w:val="32"/>
          <w:szCs w:val="32"/>
        </w:rPr>
      </w:pPr>
      <w:r>
        <w:rPr>
          <w:rFonts w:hint="eastAsia" w:ascii="仿宋" w:hAnsi="仿宋" w:eastAsia="仿宋"/>
          <w:sz w:val="32"/>
          <w:szCs w:val="32"/>
        </w:rPr>
        <w:t>第九条  监管部门受理材料后，对年审材料不齐全或不符合法定形式的，应一次性告知融资性担保公司需补正的全部材料。融资性担保公司逾期不补正或经补正仍不齐全的，监管部门不予受理。</w:t>
      </w:r>
    </w:p>
    <w:p>
      <w:pPr>
        <w:ind w:firstLine="640" w:firstLineChars="200"/>
        <w:jc w:val="center"/>
        <w:rPr>
          <w:rFonts w:ascii="黑体" w:hAnsi="黑体" w:eastAsia="黑体" w:cs="黑体"/>
          <w:sz w:val="32"/>
          <w:szCs w:val="32"/>
        </w:rPr>
      </w:pPr>
      <w:r>
        <w:rPr>
          <w:rFonts w:hint="eastAsia" w:ascii="黑体" w:hAnsi="黑体" w:eastAsia="黑体" w:cs="黑体"/>
          <w:sz w:val="32"/>
          <w:szCs w:val="32"/>
        </w:rPr>
        <w:t>第三章  年审重点</w:t>
      </w:r>
    </w:p>
    <w:p>
      <w:pPr>
        <w:ind w:firstLine="640" w:firstLineChars="200"/>
        <w:rPr>
          <w:rFonts w:ascii="仿宋" w:hAnsi="仿宋" w:eastAsia="仿宋"/>
          <w:sz w:val="32"/>
          <w:szCs w:val="32"/>
        </w:rPr>
      </w:pPr>
      <w:r>
        <w:rPr>
          <w:rFonts w:hint="eastAsia" w:ascii="仿宋" w:hAnsi="仿宋" w:eastAsia="仿宋"/>
          <w:sz w:val="32"/>
          <w:szCs w:val="32"/>
        </w:rPr>
        <w:t>第十条  审查重点包括但不限于以下内容：</w:t>
      </w:r>
    </w:p>
    <w:p>
      <w:pPr>
        <w:ind w:firstLine="640" w:firstLineChars="200"/>
        <w:rPr>
          <w:rFonts w:ascii="仿宋" w:hAnsi="仿宋" w:eastAsia="仿宋"/>
          <w:sz w:val="32"/>
          <w:szCs w:val="32"/>
        </w:rPr>
      </w:pPr>
      <w:r>
        <w:rPr>
          <w:rFonts w:hint="eastAsia" w:ascii="仿宋" w:hAnsi="仿宋" w:eastAsia="仿宋"/>
          <w:sz w:val="32"/>
          <w:szCs w:val="32"/>
        </w:rPr>
        <w:t>（一）证照情况。营业执照与经营许可证中的内容是否一致，工商登记信息与监管部门批复信息是否一致，是否存在未经监管部门批准擅自变更的情况。</w:t>
      </w:r>
    </w:p>
    <w:p>
      <w:pPr>
        <w:ind w:firstLine="640" w:firstLineChars="200"/>
        <w:rPr>
          <w:rFonts w:ascii="仿宋" w:hAnsi="仿宋" w:eastAsia="仿宋"/>
          <w:sz w:val="32"/>
          <w:szCs w:val="32"/>
        </w:rPr>
      </w:pPr>
      <w:r>
        <w:rPr>
          <w:rFonts w:hint="eastAsia" w:ascii="仿宋" w:hAnsi="仿宋" w:eastAsia="仿宋"/>
          <w:sz w:val="32"/>
          <w:szCs w:val="32"/>
        </w:rPr>
        <w:t>（二）资本状况。是否存在挪用或抽逃注册资本的情况；是否足额托管或违规使用托管资金等情况；是否足额提取各项准备金，担保赔偿准备金是否存入专户。</w:t>
      </w:r>
    </w:p>
    <w:p>
      <w:pPr>
        <w:ind w:firstLine="640" w:firstLineChars="200"/>
        <w:rPr>
          <w:rFonts w:ascii="仿宋" w:hAnsi="仿宋" w:eastAsia="仿宋"/>
          <w:sz w:val="32"/>
          <w:szCs w:val="32"/>
        </w:rPr>
      </w:pPr>
      <w:r>
        <w:rPr>
          <w:rFonts w:hint="eastAsia" w:ascii="仿宋" w:hAnsi="仿宋" w:eastAsia="仿宋"/>
          <w:sz w:val="32"/>
          <w:szCs w:val="32"/>
        </w:rPr>
        <w:t>（三）经营情况。业务开展是否有超出经营许可证规定的业务范围及区域经营情况；担保费率、对外投资和关联担保等是否符合相关规定要求；准备金提取列支、风险集中度、客户集中度是否符合相关规定要求；国家、省、市补助或专项资金是否按规定列支；是否存在吸收存款、高息借贷或非法集资等违法违规经营行为等。</w:t>
      </w:r>
    </w:p>
    <w:p>
      <w:pPr>
        <w:ind w:firstLine="640" w:firstLineChars="200"/>
        <w:rPr>
          <w:rFonts w:ascii="仿宋" w:hAnsi="仿宋" w:eastAsia="仿宋"/>
          <w:sz w:val="32"/>
          <w:szCs w:val="32"/>
        </w:rPr>
      </w:pPr>
      <w:r>
        <w:rPr>
          <w:rFonts w:hint="eastAsia" w:ascii="仿宋" w:hAnsi="仿宋" w:eastAsia="仿宋"/>
          <w:sz w:val="32"/>
          <w:szCs w:val="32"/>
        </w:rPr>
        <w:t>（四）客户保证金管理情况。是否落实客户保证金专户管理要求，开设客户保证金专户，明确保证金收取、退还及代偿的标准、条件和程序；是否存在将客户保证金用于除违约代偿以外的委托贷款、投资等其他用途。</w:t>
      </w:r>
    </w:p>
    <w:p>
      <w:pPr>
        <w:ind w:firstLine="640" w:firstLineChars="200"/>
        <w:rPr>
          <w:rFonts w:ascii="仿宋" w:hAnsi="仿宋" w:eastAsia="仿宋"/>
          <w:sz w:val="32"/>
          <w:szCs w:val="32"/>
        </w:rPr>
      </w:pPr>
      <w:r>
        <w:rPr>
          <w:rFonts w:hint="eastAsia" w:ascii="仿宋" w:hAnsi="仿宋" w:eastAsia="仿宋"/>
          <w:sz w:val="32"/>
          <w:szCs w:val="32"/>
        </w:rPr>
        <w:t>（五）公司治理和内部控制情况。公司股东基本情况及变动情况，公司重大事项变动情况，公司内部控制制度建设和执行情况等。</w:t>
      </w:r>
    </w:p>
    <w:p>
      <w:pPr>
        <w:ind w:firstLine="640" w:firstLineChars="200"/>
        <w:rPr>
          <w:rFonts w:ascii="仿宋" w:hAnsi="仿宋" w:eastAsia="仿宋"/>
          <w:sz w:val="32"/>
          <w:szCs w:val="32"/>
        </w:rPr>
      </w:pPr>
      <w:r>
        <w:rPr>
          <w:rFonts w:hint="eastAsia" w:ascii="仿宋" w:hAnsi="仿宋" w:eastAsia="仿宋"/>
          <w:sz w:val="32"/>
          <w:szCs w:val="32"/>
        </w:rPr>
        <w:t>（六）信息报送情况。是否按照相关规定和要求，按时、真实地向监管部门填报公司业务信息、经营情况报告和财务数据。</w:t>
      </w:r>
    </w:p>
    <w:p>
      <w:pPr>
        <w:ind w:firstLine="640" w:firstLineChars="200"/>
        <w:rPr>
          <w:rFonts w:ascii="仿宋" w:hAnsi="仿宋" w:eastAsia="仿宋"/>
          <w:sz w:val="32"/>
          <w:szCs w:val="32"/>
        </w:rPr>
      </w:pPr>
      <w:r>
        <w:rPr>
          <w:rFonts w:hint="eastAsia" w:ascii="仿宋" w:hAnsi="仿宋" w:eastAsia="仿宋"/>
          <w:sz w:val="32"/>
          <w:szCs w:val="32"/>
        </w:rPr>
        <w:t>（七）重大风险事件报告情况。是否按照银监会《融资性担保公司重大风险事件报告制度》和《河南省融资性担保公司管理暂行办法》的规定，向监管部门报告重大风险事件情况。</w:t>
      </w:r>
    </w:p>
    <w:p>
      <w:pPr>
        <w:ind w:firstLine="640" w:firstLineChars="200"/>
        <w:rPr>
          <w:rFonts w:ascii="仿宋" w:hAnsi="仿宋" w:eastAsia="仿宋"/>
          <w:sz w:val="32"/>
          <w:szCs w:val="32"/>
        </w:rPr>
      </w:pPr>
      <w:r>
        <w:rPr>
          <w:rFonts w:hint="eastAsia" w:ascii="仿宋" w:hAnsi="仿宋" w:eastAsia="仿宋"/>
          <w:sz w:val="32"/>
          <w:szCs w:val="32"/>
        </w:rPr>
        <w:t>（八）董事、监事和高级管理人员履职尽责情况。是否按照《融资性担保公司董事、监事、高级管理人员任职资格管理暂行办法》相关规定履行各自职责，依法依规经营；其中，财务负责人是否严格执行国家财务会计制度的规定，风控负责人是否严格执行公司的风控制度，行业从业人员是否熟悉融资担保行业的相关规定。</w:t>
      </w:r>
    </w:p>
    <w:p>
      <w:pPr>
        <w:ind w:firstLine="640" w:firstLineChars="200"/>
        <w:rPr>
          <w:rFonts w:ascii="仿宋" w:hAnsi="仿宋" w:eastAsia="仿宋"/>
          <w:sz w:val="32"/>
          <w:szCs w:val="32"/>
        </w:rPr>
      </w:pPr>
      <w:r>
        <w:rPr>
          <w:rFonts w:hint="eastAsia" w:ascii="仿宋" w:hAnsi="仿宋" w:eastAsia="仿宋"/>
          <w:sz w:val="32"/>
          <w:szCs w:val="32"/>
        </w:rPr>
        <w:t>（九）监管部门认为需要审核的其他情况。</w:t>
      </w:r>
    </w:p>
    <w:p>
      <w:pPr>
        <w:ind w:firstLine="640" w:firstLineChars="200"/>
        <w:jc w:val="center"/>
        <w:rPr>
          <w:rFonts w:ascii="黑体" w:hAnsi="黑体" w:eastAsia="黑体" w:cs="黑体"/>
          <w:sz w:val="32"/>
          <w:szCs w:val="32"/>
        </w:rPr>
      </w:pPr>
      <w:r>
        <w:rPr>
          <w:rFonts w:hint="eastAsia" w:ascii="黑体" w:hAnsi="黑体" w:eastAsia="黑体" w:cs="黑体"/>
          <w:sz w:val="32"/>
          <w:szCs w:val="32"/>
        </w:rPr>
        <w:t>第四章  年审程序</w:t>
      </w:r>
    </w:p>
    <w:p>
      <w:pPr>
        <w:ind w:firstLine="640" w:firstLineChars="200"/>
        <w:rPr>
          <w:rFonts w:ascii="仿宋" w:hAnsi="仿宋" w:eastAsia="仿宋"/>
          <w:sz w:val="32"/>
          <w:szCs w:val="32"/>
        </w:rPr>
      </w:pPr>
      <w:r>
        <w:rPr>
          <w:rFonts w:hint="eastAsia" w:ascii="仿宋" w:hAnsi="仿宋" w:eastAsia="仿宋"/>
          <w:sz w:val="32"/>
          <w:szCs w:val="32"/>
        </w:rPr>
        <w:t>第十一条  融资担保公司年审程序：</w:t>
      </w:r>
    </w:p>
    <w:p>
      <w:pPr>
        <w:ind w:firstLine="640" w:firstLineChars="200"/>
        <w:rPr>
          <w:rFonts w:ascii="仿宋" w:hAnsi="仿宋" w:eastAsia="仿宋"/>
          <w:sz w:val="32"/>
          <w:szCs w:val="32"/>
        </w:rPr>
      </w:pPr>
      <w:r>
        <w:rPr>
          <w:rFonts w:hint="eastAsia" w:ascii="仿宋" w:hAnsi="仿宋" w:eastAsia="仿宋"/>
          <w:sz w:val="32"/>
          <w:szCs w:val="32"/>
        </w:rPr>
        <w:t>（一）融资性担保公司按照本办法有关要求准备相关材料，开展年审自查，向属地监管部门报送年审材料。</w:t>
      </w:r>
    </w:p>
    <w:p>
      <w:pPr>
        <w:ind w:firstLine="640" w:firstLineChars="200"/>
        <w:rPr>
          <w:rFonts w:ascii="仿宋" w:hAnsi="仿宋" w:eastAsia="仿宋"/>
          <w:sz w:val="32"/>
          <w:szCs w:val="32"/>
        </w:rPr>
      </w:pPr>
      <w:r>
        <w:rPr>
          <w:rFonts w:hint="eastAsia" w:ascii="仿宋" w:hAnsi="仿宋" w:eastAsia="仿宋"/>
          <w:sz w:val="32"/>
          <w:szCs w:val="32"/>
        </w:rPr>
        <w:t>（二）县（市、区）监管部门对年审材料进行初审，初审结果在当地主要新闻媒体和监管部门或县（市、区）人民政府门户网站公示无异议后，上报省辖市监管部门。</w:t>
      </w:r>
    </w:p>
    <w:p>
      <w:pPr>
        <w:ind w:firstLine="640" w:firstLineChars="200"/>
        <w:rPr>
          <w:rFonts w:ascii="仿宋" w:hAnsi="仿宋" w:eastAsia="仿宋"/>
          <w:sz w:val="32"/>
          <w:szCs w:val="32"/>
        </w:rPr>
      </w:pPr>
      <w:r>
        <w:rPr>
          <w:rFonts w:hint="eastAsia" w:ascii="仿宋" w:hAnsi="仿宋" w:eastAsia="仿宋"/>
          <w:sz w:val="32"/>
          <w:szCs w:val="32"/>
        </w:rPr>
        <w:t>（三）省辖市监管部门对市直管融资性担保公司和县（市、区）监管部门上报的年审材料进行复核，审查结果在当地主要新闻媒体和监管部门或省辖市人民政府门户网站公示无异议后，年审结果文件报省政府金融办，并报同级人民政府、本级融资性担保业务监管联席会议成员单位。</w:t>
      </w:r>
    </w:p>
    <w:p>
      <w:pPr>
        <w:ind w:firstLine="640" w:firstLineChars="200"/>
        <w:rPr>
          <w:rFonts w:ascii="仿宋" w:hAnsi="仿宋" w:eastAsia="仿宋"/>
          <w:sz w:val="32"/>
          <w:szCs w:val="32"/>
        </w:rPr>
      </w:pPr>
      <w:r>
        <w:rPr>
          <w:rFonts w:hint="eastAsia" w:ascii="仿宋" w:hAnsi="仿宋" w:eastAsia="仿宋"/>
          <w:sz w:val="32"/>
          <w:szCs w:val="32"/>
        </w:rPr>
        <w:t>（四）省直管县（市）监管部门对本辖区内融资性担保公司的年审材料进行审查。审查结果在当地主要新闻媒体和监管部门或县（市、区）人民政府门户网站公示无异议后，年审结果文件报省政府金融办，并报同级人民政府、本级融资性担保业务监管联席会议成员单位。</w:t>
      </w:r>
    </w:p>
    <w:p>
      <w:pPr>
        <w:ind w:firstLine="640" w:firstLineChars="200"/>
        <w:rPr>
          <w:rFonts w:ascii="仿宋" w:hAnsi="仿宋" w:eastAsia="仿宋"/>
          <w:sz w:val="32"/>
          <w:szCs w:val="32"/>
        </w:rPr>
      </w:pPr>
      <w:r>
        <w:rPr>
          <w:rFonts w:hint="eastAsia" w:ascii="仿宋" w:hAnsi="仿宋" w:eastAsia="仿宋"/>
          <w:sz w:val="32"/>
          <w:szCs w:val="32"/>
        </w:rPr>
        <w:t>（五）省政府金融办对省直管融资性担保公司的年审材料进行审查，对省辖市和省直管县（市）监管部门的年审情况进行审核。审查结果在省级新闻媒体和河南省政府金融网站公告，同时抄送河南省金融工作领导小组成员单位。</w:t>
      </w:r>
    </w:p>
    <w:p>
      <w:pPr>
        <w:ind w:firstLine="640" w:firstLineChars="200"/>
        <w:jc w:val="center"/>
        <w:rPr>
          <w:rFonts w:ascii="黑体" w:hAnsi="黑体" w:eastAsia="黑体" w:cs="黑体"/>
          <w:sz w:val="32"/>
          <w:szCs w:val="32"/>
        </w:rPr>
      </w:pPr>
      <w:r>
        <w:rPr>
          <w:rFonts w:hint="eastAsia" w:ascii="黑体" w:hAnsi="黑体" w:eastAsia="黑体" w:cs="黑体"/>
          <w:sz w:val="32"/>
          <w:szCs w:val="32"/>
        </w:rPr>
        <w:t>第五章  年审结果</w:t>
      </w:r>
    </w:p>
    <w:p>
      <w:pPr>
        <w:ind w:firstLine="640" w:firstLineChars="200"/>
        <w:rPr>
          <w:rFonts w:ascii="仿宋" w:hAnsi="仿宋" w:eastAsia="仿宋"/>
          <w:sz w:val="32"/>
          <w:szCs w:val="32"/>
        </w:rPr>
      </w:pPr>
      <w:r>
        <w:rPr>
          <w:rFonts w:hint="eastAsia" w:ascii="仿宋" w:hAnsi="仿宋" w:eastAsia="仿宋"/>
          <w:sz w:val="32"/>
          <w:szCs w:val="32"/>
        </w:rPr>
        <w:t>第十二条  融资性担保公司的年审结果分别为“通过”、“不通过”。</w:t>
      </w:r>
    </w:p>
    <w:p>
      <w:pPr>
        <w:ind w:firstLine="640" w:firstLineChars="200"/>
        <w:rPr>
          <w:rFonts w:ascii="仿宋" w:hAnsi="仿宋" w:eastAsia="仿宋"/>
          <w:sz w:val="32"/>
          <w:szCs w:val="32"/>
        </w:rPr>
      </w:pPr>
      <w:r>
        <w:rPr>
          <w:rFonts w:hint="eastAsia" w:ascii="仿宋" w:hAnsi="仿宋" w:eastAsia="仿宋"/>
          <w:sz w:val="32"/>
          <w:szCs w:val="32"/>
        </w:rPr>
        <w:t>（一）按时参加年审并且年审事项符合规定，年审结果为“通过”。</w:t>
      </w:r>
    </w:p>
    <w:p>
      <w:pPr>
        <w:ind w:firstLine="640" w:firstLineChars="200"/>
        <w:rPr>
          <w:rFonts w:ascii="仿宋" w:hAnsi="仿宋" w:eastAsia="仿宋"/>
          <w:sz w:val="32"/>
          <w:szCs w:val="32"/>
        </w:rPr>
      </w:pPr>
      <w:r>
        <w:rPr>
          <w:rFonts w:hint="eastAsia" w:ascii="仿宋" w:hAnsi="仿宋" w:eastAsia="仿宋"/>
          <w:sz w:val="32"/>
          <w:szCs w:val="32"/>
        </w:rPr>
        <w:t>（二）存在以下情形之一，年审结果为“不通过”：</w:t>
      </w:r>
    </w:p>
    <w:p>
      <w:pPr>
        <w:ind w:firstLine="640" w:firstLineChars="200"/>
        <w:rPr>
          <w:rFonts w:ascii="仿宋" w:hAnsi="仿宋" w:eastAsia="仿宋"/>
          <w:sz w:val="32"/>
          <w:szCs w:val="32"/>
        </w:rPr>
      </w:pPr>
      <w:r>
        <w:rPr>
          <w:rFonts w:hint="eastAsia" w:ascii="仿宋" w:hAnsi="仿宋" w:eastAsia="仿宋"/>
          <w:sz w:val="32"/>
          <w:szCs w:val="32"/>
        </w:rPr>
        <w:t>1.不参加行业年审的。</w:t>
      </w:r>
    </w:p>
    <w:p>
      <w:pPr>
        <w:ind w:firstLine="640" w:firstLineChars="200"/>
        <w:rPr>
          <w:rFonts w:ascii="仿宋" w:hAnsi="仿宋" w:eastAsia="仿宋"/>
          <w:sz w:val="32"/>
          <w:szCs w:val="32"/>
        </w:rPr>
      </w:pPr>
      <w:r>
        <w:rPr>
          <w:rFonts w:hint="eastAsia" w:ascii="仿宋" w:hAnsi="仿宋" w:eastAsia="仿宋"/>
          <w:sz w:val="32"/>
          <w:szCs w:val="32"/>
        </w:rPr>
        <w:t>2.隐瞒有关情况、提供虚假材料或者拒绝提供反映其活动情况的真实材料的，或者以虚假材料、虚假出资等方式骗取审批的。</w:t>
      </w:r>
    </w:p>
    <w:p>
      <w:pPr>
        <w:ind w:firstLine="640" w:firstLineChars="200"/>
        <w:rPr>
          <w:rFonts w:ascii="仿宋" w:hAnsi="仿宋" w:eastAsia="仿宋"/>
          <w:sz w:val="32"/>
          <w:szCs w:val="32"/>
        </w:rPr>
      </w:pPr>
      <w:r>
        <w:rPr>
          <w:rFonts w:hint="eastAsia" w:ascii="仿宋" w:hAnsi="仿宋" w:eastAsia="仿宋"/>
          <w:sz w:val="32"/>
          <w:szCs w:val="32"/>
        </w:rPr>
        <w:t>3.被各级打击和处置非法集资工作领导小组办公室或司法机关认定从事违法经营活动的。</w:t>
      </w:r>
    </w:p>
    <w:p>
      <w:pPr>
        <w:ind w:firstLine="640" w:firstLineChars="200"/>
        <w:rPr>
          <w:rFonts w:ascii="仿宋" w:hAnsi="仿宋" w:eastAsia="仿宋"/>
          <w:sz w:val="32"/>
          <w:szCs w:val="32"/>
        </w:rPr>
      </w:pPr>
      <w:r>
        <w:rPr>
          <w:rFonts w:hint="eastAsia" w:ascii="仿宋" w:hAnsi="仿宋" w:eastAsia="仿宋"/>
          <w:sz w:val="32"/>
          <w:szCs w:val="32"/>
        </w:rPr>
        <w:t>4.存在非法吸收存款、发放贷款、受托发放贷款、受托投资、抽逃注册资本以及从事非法集资活动的。</w:t>
      </w:r>
    </w:p>
    <w:p>
      <w:pPr>
        <w:ind w:firstLine="640" w:firstLineChars="200"/>
        <w:rPr>
          <w:rFonts w:ascii="仿宋" w:hAnsi="仿宋" w:eastAsia="仿宋"/>
          <w:sz w:val="32"/>
          <w:szCs w:val="32"/>
        </w:rPr>
      </w:pPr>
      <w:r>
        <w:rPr>
          <w:rFonts w:hint="eastAsia" w:ascii="仿宋" w:hAnsi="仿宋" w:eastAsia="仿宋"/>
          <w:sz w:val="32"/>
          <w:szCs w:val="32"/>
        </w:rPr>
        <w:t>5.发生重大风险状况，被列为高风险企业的。</w:t>
      </w:r>
    </w:p>
    <w:p>
      <w:pPr>
        <w:ind w:firstLine="640" w:firstLineChars="200"/>
        <w:rPr>
          <w:rFonts w:ascii="仿宋" w:hAnsi="仿宋" w:eastAsia="仿宋"/>
          <w:sz w:val="32"/>
          <w:szCs w:val="32"/>
        </w:rPr>
      </w:pPr>
      <w:r>
        <w:rPr>
          <w:rFonts w:hint="eastAsia" w:ascii="仿宋" w:hAnsi="仿宋" w:eastAsia="仿宋"/>
          <w:sz w:val="32"/>
          <w:szCs w:val="32"/>
        </w:rPr>
        <w:t>6.拒不配合监管部门日常监管或不按监管要求进行整改的。</w:t>
      </w:r>
    </w:p>
    <w:p>
      <w:pPr>
        <w:ind w:firstLine="640" w:firstLineChars="200"/>
        <w:rPr>
          <w:rFonts w:ascii="仿宋" w:hAnsi="仿宋" w:eastAsia="仿宋"/>
          <w:sz w:val="32"/>
          <w:szCs w:val="32"/>
        </w:rPr>
      </w:pPr>
      <w:r>
        <w:rPr>
          <w:rFonts w:hint="eastAsia" w:ascii="仿宋" w:hAnsi="仿宋" w:eastAsia="仿宋"/>
          <w:sz w:val="32"/>
          <w:szCs w:val="32"/>
        </w:rPr>
        <w:t>7.有涉嫌违法经营的投诉举报，经属地监管部门查证属实而拒不纠正，造成恶劣影响的。</w:t>
      </w:r>
    </w:p>
    <w:p>
      <w:pPr>
        <w:ind w:firstLine="640" w:firstLineChars="200"/>
        <w:rPr>
          <w:rFonts w:ascii="仿宋" w:hAnsi="仿宋" w:eastAsia="仿宋"/>
          <w:sz w:val="32"/>
          <w:szCs w:val="32"/>
        </w:rPr>
      </w:pPr>
      <w:r>
        <w:rPr>
          <w:rFonts w:hint="eastAsia" w:ascii="仿宋" w:hAnsi="仿宋" w:eastAsia="仿宋"/>
          <w:sz w:val="32"/>
          <w:szCs w:val="32"/>
        </w:rPr>
        <w:t>8.发生《融资性担保机构重大风险事件报告制度》、《河南省担保机构风险性突发事件应急预案》等有关规定应报告的重大风险事件情形，未按规定报告或有效处置，造成恶劣影响的。</w:t>
      </w:r>
    </w:p>
    <w:p>
      <w:pPr>
        <w:ind w:firstLine="640" w:firstLineChars="200"/>
        <w:rPr>
          <w:rFonts w:ascii="仿宋" w:hAnsi="仿宋" w:eastAsia="仿宋"/>
          <w:sz w:val="32"/>
          <w:szCs w:val="32"/>
        </w:rPr>
      </w:pPr>
      <w:r>
        <w:rPr>
          <w:rFonts w:hint="eastAsia" w:ascii="仿宋" w:hAnsi="仿宋" w:eastAsia="仿宋"/>
          <w:sz w:val="32"/>
          <w:szCs w:val="32"/>
        </w:rPr>
        <w:t>9.监管部门规定的其他情形。</w:t>
      </w:r>
    </w:p>
    <w:p>
      <w:pPr>
        <w:ind w:firstLine="640" w:firstLineChars="200"/>
        <w:rPr>
          <w:rFonts w:ascii="仿宋" w:hAnsi="仿宋" w:eastAsia="仿宋"/>
          <w:sz w:val="32"/>
          <w:szCs w:val="32"/>
        </w:rPr>
      </w:pPr>
      <w:r>
        <w:rPr>
          <w:rFonts w:hint="eastAsia" w:ascii="仿宋" w:hAnsi="仿宋" w:eastAsia="仿宋"/>
          <w:sz w:val="32"/>
          <w:szCs w:val="32"/>
        </w:rPr>
        <w:t>（三）存在下列情形的，监管部门应指出存在问题、提出整改要求、明确整改期限、监督整改落实。经整改符合规定的，年审结果可为“通过”，但年审公示中须注明为“整改后通过”。</w:t>
      </w:r>
    </w:p>
    <w:p>
      <w:pPr>
        <w:ind w:firstLine="640" w:firstLineChars="200"/>
        <w:rPr>
          <w:rFonts w:ascii="仿宋" w:hAnsi="仿宋" w:eastAsia="仿宋"/>
          <w:sz w:val="32"/>
          <w:szCs w:val="32"/>
        </w:rPr>
      </w:pPr>
      <w:r>
        <w:rPr>
          <w:rFonts w:hint="eastAsia" w:ascii="仿宋" w:hAnsi="仿宋" w:eastAsia="仿宋"/>
          <w:sz w:val="32"/>
          <w:szCs w:val="32"/>
        </w:rPr>
        <w:t>1.未经监管部门批准，变更有关事项情节较轻的。</w:t>
      </w:r>
    </w:p>
    <w:p>
      <w:pPr>
        <w:ind w:firstLine="640" w:firstLineChars="200"/>
        <w:rPr>
          <w:rFonts w:ascii="仿宋" w:hAnsi="仿宋" w:eastAsia="仿宋"/>
          <w:sz w:val="32"/>
          <w:szCs w:val="32"/>
        </w:rPr>
      </w:pPr>
      <w:r>
        <w:rPr>
          <w:rFonts w:hint="eastAsia" w:ascii="仿宋" w:hAnsi="仿宋" w:eastAsia="仿宋"/>
          <w:sz w:val="32"/>
          <w:szCs w:val="32"/>
        </w:rPr>
        <w:t>2.经营许可证载明内容与工商营业执照不一致；公司外部标识、宣传资料等与经营许可证载明内容不一致；未在明显位置对外公布“融资性担保公司规范经营八不准”和举报电话的。</w:t>
      </w:r>
    </w:p>
    <w:p>
      <w:pPr>
        <w:ind w:firstLine="640" w:firstLineChars="200"/>
        <w:rPr>
          <w:rFonts w:ascii="仿宋" w:hAnsi="仿宋" w:eastAsia="仿宋"/>
          <w:sz w:val="32"/>
          <w:szCs w:val="32"/>
        </w:rPr>
      </w:pPr>
      <w:r>
        <w:rPr>
          <w:rFonts w:hint="eastAsia" w:ascii="仿宋" w:hAnsi="仿宋" w:eastAsia="仿宋"/>
          <w:sz w:val="32"/>
          <w:szCs w:val="32"/>
        </w:rPr>
        <w:t>3.未按规定报送有关统计报表或监管信息的，其中月报超过3次，季报超过2次，年报超过1次的。</w:t>
      </w:r>
    </w:p>
    <w:p>
      <w:pPr>
        <w:ind w:firstLine="640" w:firstLineChars="200"/>
        <w:rPr>
          <w:rFonts w:ascii="仿宋" w:hAnsi="仿宋" w:eastAsia="仿宋"/>
          <w:sz w:val="32"/>
          <w:szCs w:val="32"/>
        </w:rPr>
      </w:pPr>
      <w:r>
        <w:rPr>
          <w:rFonts w:hint="eastAsia" w:ascii="仿宋" w:hAnsi="仿宋" w:eastAsia="仿宋"/>
          <w:sz w:val="32"/>
          <w:szCs w:val="32"/>
        </w:rPr>
        <w:t>4.未按规定提取各项准备金的，准备金及客户存入保证金未按规定管理的。</w:t>
      </w:r>
    </w:p>
    <w:p>
      <w:pPr>
        <w:ind w:firstLine="640" w:firstLineChars="200"/>
        <w:rPr>
          <w:rFonts w:ascii="仿宋" w:hAnsi="仿宋" w:eastAsia="仿宋"/>
          <w:sz w:val="32"/>
          <w:szCs w:val="32"/>
        </w:rPr>
      </w:pPr>
      <w:r>
        <w:rPr>
          <w:rFonts w:hint="eastAsia" w:ascii="仿宋" w:hAnsi="仿宋" w:eastAsia="仿宋"/>
          <w:sz w:val="32"/>
          <w:szCs w:val="32"/>
        </w:rPr>
        <w:t>5. 超比例或范围对外投资的，存在其他应收账款与其他对外投资合计超过净资产20%的，为其母公司或子公司提供融资性担保的。</w:t>
      </w:r>
    </w:p>
    <w:p>
      <w:pPr>
        <w:ind w:firstLine="640" w:firstLineChars="200"/>
        <w:rPr>
          <w:rFonts w:ascii="仿宋" w:hAnsi="仿宋" w:eastAsia="仿宋"/>
          <w:sz w:val="32"/>
          <w:szCs w:val="32"/>
        </w:rPr>
      </w:pPr>
      <w:r>
        <w:rPr>
          <w:rFonts w:hint="eastAsia" w:ascii="仿宋" w:hAnsi="仿宋" w:eastAsia="仿宋"/>
          <w:sz w:val="32"/>
          <w:szCs w:val="32"/>
        </w:rPr>
        <w:t>6.融资性担保责任余额超过净资产10倍的，对单个被担保人的融资性担保责任余额超过净资产10%的，对单个被担保人及其关联方的融资性担保责任余额超过净资产15%的，对单个被担保人债券发行提供的担保责任余额超过净资产30%的。</w:t>
      </w:r>
    </w:p>
    <w:p>
      <w:pPr>
        <w:ind w:firstLine="640" w:firstLineChars="200"/>
        <w:rPr>
          <w:rFonts w:ascii="仿宋" w:hAnsi="仿宋" w:eastAsia="仿宋"/>
          <w:sz w:val="32"/>
          <w:szCs w:val="32"/>
        </w:rPr>
      </w:pPr>
      <w:r>
        <w:rPr>
          <w:rFonts w:hint="eastAsia" w:ascii="仿宋" w:hAnsi="仿宋" w:eastAsia="仿宋"/>
          <w:sz w:val="32"/>
          <w:szCs w:val="32"/>
        </w:rPr>
        <w:t>7. 董事、监事、高级管理人员违反《融资性担保公司董事、监事、高级管理人员任职资格管理暂行办法》相关规定的。</w:t>
      </w:r>
    </w:p>
    <w:p>
      <w:pPr>
        <w:ind w:firstLine="640" w:firstLineChars="200"/>
        <w:rPr>
          <w:rFonts w:ascii="仿宋" w:hAnsi="仿宋" w:eastAsia="仿宋"/>
          <w:sz w:val="32"/>
          <w:szCs w:val="32"/>
        </w:rPr>
      </w:pPr>
      <w:r>
        <w:rPr>
          <w:rFonts w:hint="eastAsia" w:ascii="仿宋" w:hAnsi="仿宋" w:eastAsia="仿宋"/>
          <w:sz w:val="32"/>
          <w:szCs w:val="32"/>
        </w:rPr>
        <w:t>8.融资性担保公司发生《融资性担保公司重大风险事件报告制度》、《河南省融资性担保公司管理暂行办法》等规定应报告的重大风险事件情形，未按规定报告或有效处置，但尚未造成恶劣影响的。</w:t>
      </w:r>
    </w:p>
    <w:p>
      <w:pPr>
        <w:ind w:firstLine="640" w:firstLineChars="200"/>
        <w:rPr>
          <w:rFonts w:ascii="仿宋" w:hAnsi="仿宋" w:eastAsia="仿宋"/>
          <w:sz w:val="32"/>
          <w:szCs w:val="32"/>
        </w:rPr>
      </w:pPr>
      <w:r>
        <w:rPr>
          <w:rFonts w:hint="eastAsia" w:ascii="仿宋" w:hAnsi="仿宋" w:eastAsia="仿宋"/>
          <w:sz w:val="32"/>
          <w:szCs w:val="32"/>
        </w:rPr>
        <w:t>9.监管部门规定的其他情形。</w:t>
      </w:r>
    </w:p>
    <w:p>
      <w:pPr>
        <w:ind w:firstLine="640" w:firstLineChars="200"/>
        <w:jc w:val="center"/>
        <w:rPr>
          <w:rFonts w:ascii="黑体" w:hAnsi="黑体" w:eastAsia="黑体" w:cs="黑体"/>
          <w:sz w:val="32"/>
          <w:szCs w:val="32"/>
        </w:rPr>
      </w:pPr>
      <w:r>
        <w:rPr>
          <w:rFonts w:hint="eastAsia" w:ascii="黑体" w:hAnsi="黑体" w:eastAsia="黑体" w:cs="黑体"/>
          <w:sz w:val="32"/>
          <w:szCs w:val="32"/>
        </w:rPr>
        <w:t>第六章  结果运用</w:t>
      </w:r>
    </w:p>
    <w:p>
      <w:pPr>
        <w:ind w:firstLine="640" w:firstLineChars="200"/>
        <w:rPr>
          <w:rFonts w:ascii="仿宋" w:hAnsi="仿宋" w:eastAsia="仿宋"/>
          <w:sz w:val="32"/>
          <w:szCs w:val="32"/>
        </w:rPr>
      </w:pPr>
      <w:r>
        <w:rPr>
          <w:rFonts w:hint="eastAsia" w:ascii="仿宋" w:hAnsi="仿宋" w:eastAsia="仿宋"/>
          <w:sz w:val="32"/>
          <w:szCs w:val="32"/>
        </w:rPr>
        <w:t>第十三条  对年审通过的融资性担保公司，监管部门应重点支持其提升发展，积极争取各级政策予以扶持。</w:t>
      </w:r>
    </w:p>
    <w:p>
      <w:pPr>
        <w:ind w:firstLine="640" w:firstLineChars="200"/>
        <w:rPr>
          <w:rFonts w:ascii="仿宋" w:hAnsi="仿宋" w:eastAsia="仿宋"/>
          <w:sz w:val="32"/>
          <w:szCs w:val="32"/>
        </w:rPr>
      </w:pPr>
      <w:r>
        <w:rPr>
          <w:rFonts w:hint="eastAsia" w:ascii="仿宋" w:hAnsi="仿宋" w:eastAsia="仿宋"/>
          <w:sz w:val="32"/>
          <w:szCs w:val="32"/>
        </w:rPr>
        <w:t>第十四条  对整改后年审通过的融资性担保公司，属地监管部门应区分情况，采取针对性的监管措施，加大现场检查和非现场监管频率，强化企业依法合规意识，引导企业规范经营。对此类融资性担保公司原则上一年内不得提出变更事项，情节较为严重的，可限制其享受财政性政策支持。</w:t>
      </w:r>
    </w:p>
    <w:p>
      <w:pPr>
        <w:ind w:firstLine="640" w:firstLineChars="200"/>
        <w:rPr>
          <w:rFonts w:ascii="仿宋" w:hAnsi="仿宋" w:eastAsia="仿宋"/>
          <w:sz w:val="32"/>
          <w:szCs w:val="32"/>
        </w:rPr>
      </w:pPr>
      <w:r>
        <w:rPr>
          <w:rFonts w:hint="eastAsia" w:ascii="仿宋" w:hAnsi="仿宋" w:eastAsia="仿宋"/>
          <w:sz w:val="32"/>
          <w:szCs w:val="32"/>
        </w:rPr>
        <w:t>第十五条  对年审不通过的融资性担保公司，监管部门可收回其《融资性担保机构经营许可证》，视情况采取以下措施并及时上报省政府金融办。</w:t>
      </w:r>
    </w:p>
    <w:p>
      <w:pPr>
        <w:ind w:firstLine="640" w:firstLineChars="200"/>
        <w:rPr>
          <w:rFonts w:ascii="仿宋" w:hAnsi="仿宋" w:eastAsia="仿宋"/>
          <w:sz w:val="32"/>
          <w:szCs w:val="32"/>
        </w:rPr>
      </w:pPr>
      <w:r>
        <w:rPr>
          <w:rFonts w:hint="eastAsia" w:ascii="仿宋" w:hAnsi="仿宋" w:eastAsia="仿宋"/>
          <w:sz w:val="32"/>
          <w:szCs w:val="32"/>
        </w:rPr>
        <w:t>（一）终止资格。省辖市或省直管县（市）监管部门应将有关情况报送属地人民政府和本级融资性担保业务监管联席会议成员单位，并按照《中华人民共和国公司法》的有关要求，做好其终止工作。</w:t>
      </w:r>
    </w:p>
    <w:p>
      <w:pPr>
        <w:ind w:firstLine="640" w:firstLineChars="200"/>
        <w:rPr>
          <w:rFonts w:ascii="仿宋" w:hAnsi="仿宋" w:eastAsia="仿宋"/>
          <w:sz w:val="32"/>
          <w:szCs w:val="32"/>
        </w:rPr>
      </w:pPr>
      <w:r>
        <w:rPr>
          <w:rFonts w:hint="eastAsia" w:ascii="仿宋" w:hAnsi="仿宋" w:eastAsia="仿宋"/>
          <w:sz w:val="32"/>
          <w:szCs w:val="32"/>
        </w:rPr>
        <w:t>（二）风险防范。属地监管部门应将融资性担保公司存在的风险情况及时报送同级人民政府和本级融资性担保业务监管联席会议成员单位。根据风险情况，启动应急预案，会同有关部门实施重点监控，做好风险处置和化解工作，维护社会稳定。</w:t>
      </w:r>
    </w:p>
    <w:p>
      <w:pPr>
        <w:ind w:firstLine="640" w:firstLineChars="200"/>
        <w:rPr>
          <w:rFonts w:ascii="仿宋" w:hAnsi="仿宋" w:eastAsia="仿宋"/>
          <w:sz w:val="32"/>
          <w:szCs w:val="32"/>
        </w:rPr>
      </w:pPr>
      <w:r>
        <w:rPr>
          <w:rFonts w:hint="eastAsia" w:ascii="仿宋" w:hAnsi="仿宋" w:eastAsia="仿宋"/>
          <w:sz w:val="32"/>
          <w:szCs w:val="32"/>
        </w:rPr>
        <w:t>（三）查处移交。对于融资性担保公司违反法律法规的，属地监管部门应按照职责权限依法查处，构成犯罪的移交司法部门追究刑事责任。</w:t>
      </w:r>
    </w:p>
    <w:p>
      <w:pPr>
        <w:ind w:firstLine="640" w:firstLineChars="200"/>
        <w:rPr>
          <w:rFonts w:ascii="仿宋" w:hAnsi="仿宋" w:eastAsia="仿宋"/>
          <w:sz w:val="32"/>
          <w:szCs w:val="32"/>
        </w:rPr>
      </w:pPr>
      <w:r>
        <w:rPr>
          <w:rFonts w:hint="eastAsia" w:ascii="仿宋" w:hAnsi="仿宋" w:eastAsia="仿宋"/>
          <w:sz w:val="32"/>
          <w:szCs w:val="32"/>
        </w:rPr>
        <w:t>第十六条  对于融资性担保公司故意提供虚假材料、隐瞒真实情况或通过其他不正当手段通过年审的，监管部门应自发现核实之日起，立即收回其《融资性担保机构经营许可证》，逐级上报至省政府金融办。</w:t>
      </w:r>
    </w:p>
    <w:p>
      <w:pPr>
        <w:ind w:firstLine="640" w:firstLineChars="200"/>
        <w:jc w:val="center"/>
        <w:rPr>
          <w:rFonts w:ascii="黑体" w:hAnsi="黑体" w:eastAsia="黑体" w:cs="黑体"/>
          <w:sz w:val="32"/>
          <w:szCs w:val="32"/>
        </w:rPr>
      </w:pPr>
      <w:r>
        <w:rPr>
          <w:rFonts w:hint="eastAsia" w:ascii="黑体" w:hAnsi="黑体" w:eastAsia="黑体" w:cs="黑体"/>
          <w:sz w:val="32"/>
          <w:szCs w:val="32"/>
        </w:rPr>
        <w:t>第七章  附则</w:t>
      </w:r>
    </w:p>
    <w:p>
      <w:pPr>
        <w:ind w:firstLine="640" w:firstLineChars="200"/>
        <w:rPr>
          <w:rFonts w:ascii="仿宋" w:hAnsi="仿宋" w:eastAsia="仿宋"/>
          <w:sz w:val="32"/>
          <w:szCs w:val="32"/>
        </w:rPr>
      </w:pPr>
      <w:r>
        <w:rPr>
          <w:rFonts w:hint="eastAsia" w:ascii="仿宋" w:hAnsi="仿宋" w:eastAsia="仿宋"/>
          <w:sz w:val="32"/>
          <w:szCs w:val="32"/>
        </w:rPr>
        <w:t>第十七条  监管部门在对融资性担保公司年审时，不得妨碍其正常的经营活动。负责年审的工作人员要严格遵守廉政规定，依法依规开展工作，并对年审评价结果负责。</w:t>
      </w:r>
    </w:p>
    <w:p>
      <w:pPr>
        <w:ind w:firstLine="640" w:firstLineChars="200"/>
        <w:rPr>
          <w:rFonts w:ascii="仿宋" w:hAnsi="仿宋" w:eastAsia="仿宋"/>
          <w:sz w:val="32"/>
          <w:szCs w:val="32"/>
        </w:rPr>
      </w:pPr>
      <w:r>
        <w:rPr>
          <w:rFonts w:hint="eastAsia" w:ascii="仿宋" w:hAnsi="仿宋" w:eastAsia="仿宋"/>
          <w:sz w:val="32"/>
          <w:szCs w:val="32"/>
        </w:rPr>
        <w:t>第十九条  公司制以外的融资性担保公司，参照本办法有关要求执行。</w:t>
      </w:r>
    </w:p>
    <w:p>
      <w:pPr>
        <w:ind w:firstLine="640" w:firstLineChars="200"/>
        <w:rPr>
          <w:rFonts w:ascii="仿宋" w:hAnsi="仿宋" w:eastAsia="仿宋"/>
          <w:sz w:val="32"/>
          <w:szCs w:val="32"/>
        </w:rPr>
      </w:pPr>
      <w:r>
        <w:rPr>
          <w:rFonts w:hint="eastAsia" w:ascii="仿宋" w:hAnsi="仿宋" w:eastAsia="仿宋"/>
          <w:sz w:val="32"/>
          <w:szCs w:val="32"/>
        </w:rPr>
        <w:t>第二十条  各省辖市、省直管县（市）监管部门可根据本办法制定本辖区融资性担保公司年审实施细则，并报省政府金融办备案。</w:t>
      </w:r>
    </w:p>
    <w:p>
      <w:pPr>
        <w:ind w:firstLine="640" w:firstLineChars="200"/>
        <w:rPr>
          <w:rFonts w:ascii="仿宋" w:hAnsi="仿宋" w:eastAsia="仿宋"/>
          <w:sz w:val="32"/>
          <w:szCs w:val="32"/>
        </w:rPr>
      </w:pPr>
      <w:r>
        <w:rPr>
          <w:rFonts w:hint="eastAsia" w:ascii="仿宋" w:hAnsi="仿宋" w:eastAsia="仿宋"/>
          <w:sz w:val="32"/>
          <w:szCs w:val="32"/>
        </w:rPr>
        <w:t>第二十一条  本办法由省政府金融办负责解释和修订。</w:t>
      </w:r>
    </w:p>
    <w:p>
      <w:pPr>
        <w:ind w:firstLine="640" w:firstLineChars="200"/>
        <w:rPr>
          <w:rFonts w:ascii="仿宋" w:hAnsi="仿宋" w:eastAsia="仿宋"/>
          <w:sz w:val="32"/>
          <w:szCs w:val="32"/>
        </w:rPr>
      </w:pPr>
      <w:r>
        <w:rPr>
          <w:rFonts w:hint="eastAsia" w:ascii="仿宋" w:hAnsi="仿宋" w:eastAsia="仿宋"/>
          <w:sz w:val="32"/>
          <w:szCs w:val="32"/>
        </w:rPr>
        <w:t>第二十一条  本办法自发布之日起施行。</w:t>
      </w:r>
    </w:p>
    <w:p>
      <w:pPr>
        <w:ind w:firstLine="640" w:firstLineChars="200"/>
        <w:rPr>
          <w:rFonts w:ascii="仿宋" w:hAnsi="仿宋" w:eastAsia="仿宋"/>
          <w:sz w:val="32"/>
          <w:szCs w:val="32"/>
        </w:rPr>
      </w:pPr>
    </w:p>
    <w:p>
      <w:pPr>
        <w:ind w:firstLine="640" w:firstLineChars="200"/>
        <w:rPr>
          <w:rFonts w:ascii="仿宋" w:hAnsi="仿宋" w:eastAsia="仿宋"/>
          <w:sz w:val="32"/>
          <w:szCs w:val="32"/>
        </w:rPr>
      </w:pPr>
    </w:p>
    <w:p>
      <w:pPr>
        <w:ind w:firstLine="640" w:firstLineChars="200"/>
        <w:rPr>
          <w:rFonts w:ascii="仿宋" w:hAnsi="仿宋" w:eastAsia="仿宋"/>
          <w:sz w:val="32"/>
          <w:szCs w:val="32"/>
        </w:rPr>
      </w:pPr>
    </w:p>
    <w:p/>
    <w:p>
      <w:pPr>
        <w:ind w:firstLine="640" w:firstLineChars="200"/>
        <w:rPr>
          <w:rFonts w:ascii="仿宋_GB2312" w:hAnsi="仿宋_GB2312" w:eastAsia="仿宋_GB2312" w:cs="仿宋_GB2312"/>
          <w:sz w:val="32"/>
          <w:szCs w:val="32"/>
        </w:rPr>
      </w:pPr>
    </w:p>
    <w:p>
      <w:pPr>
        <w:ind w:firstLine="640" w:firstLineChars="200"/>
        <w:rPr>
          <w:rFonts w:ascii="仿宋_GB2312" w:hAnsi="仿宋_GB2312" w:eastAsia="仿宋_GB2312" w:cs="仿宋_GB2312"/>
          <w:sz w:val="32"/>
          <w:szCs w:val="32"/>
        </w:rPr>
      </w:pPr>
    </w:p>
    <w:p>
      <w:pPr>
        <w:ind w:firstLine="640" w:firstLineChars="200"/>
        <w:rPr>
          <w:rFonts w:ascii="仿宋_GB2312" w:hAnsi="仿宋_GB2312" w:eastAsia="仿宋_GB2312" w:cs="仿宋_GB2312"/>
          <w:sz w:val="32"/>
          <w:szCs w:val="32"/>
        </w:rPr>
      </w:pPr>
    </w:p>
    <w:p>
      <w:pPr>
        <w:ind w:firstLine="640" w:firstLineChars="200"/>
        <w:rPr>
          <w:rFonts w:ascii="仿宋_GB2312" w:hAnsi="仿宋_GB2312" w:eastAsia="仿宋_GB2312" w:cs="仿宋_GB2312"/>
          <w:sz w:val="32"/>
          <w:szCs w:val="32"/>
        </w:rPr>
      </w:pP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pStyle w:val="3"/>
        <w:jc w:val="center"/>
        <w:rPr>
          <w:sz w:val="44"/>
          <w:szCs w:val="44"/>
        </w:rPr>
      </w:pPr>
      <w:bookmarkStart w:id="46" w:name="_Toc27158"/>
      <w:r>
        <w:rPr>
          <w:rFonts w:hint="eastAsia"/>
          <w:sz w:val="44"/>
          <w:szCs w:val="44"/>
        </w:rPr>
        <w:t>十二、南阳市人民政府办公室关于进一步加强政府性融资担保体系建设支持小微企业和“三农”发展的实施意见</w:t>
      </w:r>
      <w:bookmarkEnd w:id="46"/>
    </w:p>
    <w:p>
      <w:pPr>
        <w:keepNext/>
        <w:keepLines/>
        <w:spacing w:line="560" w:lineRule="exact"/>
        <w:ind w:firstLine="480" w:firstLineChars="200"/>
        <w:jc w:val="center"/>
        <w:rPr>
          <w:rStyle w:val="19"/>
          <w:rFonts w:hint="eastAsia" w:ascii="楷体" w:hAnsi="楷体" w:eastAsia="楷体" w:cs="楷体"/>
          <w:color w:val="000000"/>
          <w:sz w:val="24"/>
          <w:szCs w:val="24"/>
        </w:rPr>
      </w:pPr>
      <w:r>
        <w:rPr>
          <w:rStyle w:val="19"/>
          <w:rFonts w:hint="eastAsia" w:ascii="楷体" w:hAnsi="楷体" w:eastAsia="楷体" w:cs="楷体"/>
          <w:color w:val="000000"/>
          <w:sz w:val="24"/>
          <w:szCs w:val="24"/>
          <w:lang w:eastAsia="zh-CN"/>
        </w:rPr>
        <w:t>南阳市人民政府办公室文件</w:t>
      </w:r>
      <w:r>
        <w:rPr>
          <w:rStyle w:val="19"/>
          <w:rFonts w:hint="eastAsia" w:ascii="楷体" w:hAnsi="楷体" w:eastAsia="楷体" w:cs="楷体"/>
          <w:color w:val="000000"/>
          <w:sz w:val="24"/>
          <w:szCs w:val="24"/>
          <w:lang w:val="en-US" w:eastAsia="zh-CN"/>
        </w:rPr>
        <w:t xml:space="preserve"> </w:t>
      </w:r>
      <w:r>
        <w:rPr>
          <w:rStyle w:val="19"/>
          <w:rFonts w:hint="eastAsia" w:ascii="楷体" w:hAnsi="楷体" w:eastAsia="楷体" w:cs="楷体"/>
          <w:color w:val="000000"/>
          <w:sz w:val="24"/>
          <w:szCs w:val="24"/>
          <w:lang w:eastAsia="zh-CN"/>
        </w:rPr>
        <w:t>宛政办</w:t>
      </w:r>
      <w:r>
        <w:rPr>
          <w:rStyle w:val="19"/>
          <w:rFonts w:hint="eastAsia" w:ascii="楷体" w:hAnsi="楷体" w:eastAsia="楷体" w:cs="楷体"/>
          <w:color w:val="000000"/>
          <w:sz w:val="24"/>
          <w:szCs w:val="24"/>
        </w:rPr>
        <w:t>〔20</w:t>
      </w:r>
      <w:r>
        <w:rPr>
          <w:rStyle w:val="19"/>
          <w:rFonts w:hint="eastAsia" w:ascii="楷体" w:hAnsi="楷体" w:eastAsia="楷体" w:cs="楷体"/>
          <w:color w:val="000000"/>
          <w:sz w:val="24"/>
          <w:szCs w:val="24"/>
          <w:lang w:val="en-US" w:eastAsia="zh-CN"/>
        </w:rPr>
        <w:t>22</w:t>
      </w:r>
      <w:r>
        <w:rPr>
          <w:rStyle w:val="19"/>
          <w:rFonts w:hint="eastAsia" w:ascii="楷体" w:hAnsi="楷体" w:eastAsia="楷体" w:cs="楷体"/>
          <w:color w:val="000000"/>
          <w:sz w:val="24"/>
          <w:szCs w:val="24"/>
        </w:rPr>
        <w:t>〕</w:t>
      </w:r>
      <w:r>
        <w:rPr>
          <w:rStyle w:val="19"/>
          <w:rFonts w:hint="eastAsia" w:ascii="楷体" w:hAnsi="楷体" w:eastAsia="楷体" w:cs="楷体"/>
          <w:color w:val="000000"/>
          <w:sz w:val="24"/>
          <w:szCs w:val="24"/>
          <w:lang w:val="en-US" w:eastAsia="zh-CN"/>
        </w:rPr>
        <w:t>82</w:t>
      </w:r>
      <w:r>
        <w:rPr>
          <w:rStyle w:val="19"/>
          <w:rFonts w:hint="eastAsia" w:ascii="楷体" w:hAnsi="楷体" w:eastAsia="楷体" w:cs="楷体"/>
          <w:color w:val="000000"/>
          <w:sz w:val="24"/>
          <w:szCs w:val="24"/>
        </w:rPr>
        <w:t>号</w:t>
      </w:r>
    </w:p>
    <w:p>
      <w:pPr>
        <w:keepNext/>
        <w:keepLines/>
        <w:spacing w:line="560" w:lineRule="exact"/>
        <w:ind w:firstLine="480" w:firstLineChars="200"/>
        <w:jc w:val="center"/>
        <w:rPr>
          <w:rFonts w:hint="eastAsia" w:ascii="仿宋_GB2312" w:hAnsi="仿宋_GB2312" w:eastAsia="仿宋_GB2312" w:cs="仿宋_GB2312"/>
          <w:sz w:val="32"/>
          <w:szCs w:val="32"/>
        </w:rPr>
      </w:pPr>
      <w:r>
        <w:rPr>
          <w:rStyle w:val="19"/>
          <w:rFonts w:hint="eastAsia" w:ascii="楷体" w:hAnsi="楷体" w:eastAsia="楷体" w:cs="楷体"/>
          <w:color w:val="000000"/>
          <w:sz w:val="24"/>
          <w:szCs w:val="24"/>
        </w:rPr>
        <w:t>20</w:t>
      </w:r>
      <w:r>
        <w:rPr>
          <w:rStyle w:val="19"/>
          <w:rFonts w:hint="eastAsia" w:ascii="楷体" w:hAnsi="楷体" w:eastAsia="楷体" w:cs="楷体"/>
          <w:color w:val="000000"/>
          <w:sz w:val="24"/>
          <w:szCs w:val="24"/>
          <w:lang w:val="en-US" w:eastAsia="zh-CN"/>
        </w:rPr>
        <w:t>22</w:t>
      </w:r>
      <w:r>
        <w:rPr>
          <w:rStyle w:val="19"/>
          <w:rFonts w:hint="eastAsia" w:ascii="楷体" w:hAnsi="楷体" w:eastAsia="楷体" w:cs="楷体"/>
          <w:color w:val="000000"/>
          <w:sz w:val="24"/>
          <w:szCs w:val="24"/>
        </w:rPr>
        <w:t>年</w:t>
      </w:r>
      <w:r>
        <w:rPr>
          <w:rStyle w:val="19"/>
          <w:rFonts w:hint="eastAsia" w:ascii="楷体" w:hAnsi="楷体" w:eastAsia="楷体" w:cs="楷体"/>
          <w:color w:val="000000"/>
          <w:sz w:val="24"/>
          <w:szCs w:val="24"/>
          <w:lang w:val="en-US" w:eastAsia="zh-CN"/>
        </w:rPr>
        <w:t>11</w:t>
      </w:r>
      <w:r>
        <w:rPr>
          <w:rStyle w:val="19"/>
          <w:rFonts w:hint="eastAsia" w:ascii="楷体" w:hAnsi="楷体" w:eastAsia="楷体" w:cs="楷体"/>
          <w:color w:val="000000"/>
          <w:sz w:val="24"/>
          <w:szCs w:val="24"/>
        </w:rPr>
        <w:t>月</w:t>
      </w:r>
      <w:r>
        <w:rPr>
          <w:rStyle w:val="19"/>
          <w:rFonts w:hint="eastAsia" w:ascii="楷体" w:hAnsi="楷体" w:eastAsia="楷体" w:cs="楷体"/>
          <w:color w:val="000000"/>
          <w:sz w:val="24"/>
          <w:szCs w:val="24"/>
          <w:lang w:val="en-US" w:eastAsia="zh-CN"/>
        </w:rPr>
        <w:t>23</w:t>
      </w:r>
      <w:r>
        <w:rPr>
          <w:rStyle w:val="19"/>
          <w:rFonts w:hint="eastAsia" w:ascii="楷体" w:hAnsi="楷体" w:eastAsia="楷体" w:cs="楷体"/>
          <w:color w:val="000000"/>
          <w:sz w:val="24"/>
          <w:szCs w:val="24"/>
        </w:rPr>
        <w:t>日印发</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各县（市、区）人民政府，城乡一体化示范区、高新区、鸭河工区、官庄工区、卧龙综合保税区管委会，市人民政府各有关部门：</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进一步强化金融服务实体经济发展功能，切实发挥政府性融资担保机构作用，缓解小微企业和“三农”等普惠领域融资难融资贵问题，促进全市经济持续、健康、高质量发展，根据《国务院办公厅关于有效发挥政府性融资担保基金作用切实支持小微企业和“三农”发展的指导意见》（国办发〔2019〕6号）和《河南省人民政府办公厅关于进一步加强政府性融资担保体系建设支持小微企业和“三农”发展的实施意见》（豫政办〔2020〕29号）有关精神，现就进一步加强我市政府性融资担保体系建设提出以下实施意见。</w:t>
      </w:r>
    </w:p>
    <w:p>
      <w:pPr>
        <w:ind w:firstLine="640" w:firstLineChars="200"/>
        <w:rPr>
          <w:rFonts w:ascii="黑体" w:hAnsi="黑体" w:eastAsia="黑体" w:cs="黑体"/>
          <w:sz w:val="32"/>
          <w:szCs w:val="32"/>
        </w:rPr>
      </w:pPr>
      <w:r>
        <w:rPr>
          <w:rFonts w:hint="eastAsia" w:ascii="黑体" w:hAnsi="黑体" w:eastAsia="黑体" w:cs="黑体"/>
          <w:sz w:val="32"/>
          <w:szCs w:val="32"/>
        </w:rPr>
        <w:t>一、总体要求</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指导思想。以习近平新时代中国特色社会主义思想为指导，认真贯彻党中央、国务院关于改进小微企业和“三农”金融服务的决策部署，推动融资担保行业以服务实体经济为宗旨，支持普惠金融发展，促进资金融通，明确政府性融资担保机构准公共服务定位，坚持专注主业、保本微利运营，着力缓解我市小微企业和“三农”等领域融资难、融资贵问题。</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基本原则。按照“政府主导、市场运作、统分结合、管理科学、运营规范”的要求，通过建立银担合作机制、风险分担机制、风险补偿机制和绩效考核机制，以“扶小微、广覆盖、低费率、可持续”为基本原则，主要以小微企业和“三农”为服务对象，加快推进政府性融资担保体系建设，进一步提升政府性融资担保机构服务能力，助推我市经济社会高质量发展。</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发展目标。立足我市奋力建设河南省副中心城市和高质量发展需要，形成以市级政府性融资担保机构为核心，各县（市、区）政府性融资担保机构为骨干，专业性政府性融资担保机构为特色，主要为小微企业和“三农”服务的全市政府性融资担保体系。2022年市、县级政府性融资担保机构注册资本力争分别达到5亿元以上和2亿元以上，实现政府性融资担保业务县级全覆盖，全市政府性融资担保机构业务放大倍数超过全省平均水平。</w:t>
      </w:r>
    </w:p>
    <w:p>
      <w:pPr>
        <w:ind w:firstLine="640" w:firstLineChars="200"/>
        <w:rPr>
          <w:rFonts w:ascii="黑体" w:hAnsi="黑体" w:eastAsia="黑体" w:cs="黑体"/>
          <w:sz w:val="32"/>
          <w:szCs w:val="32"/>
        </w:rPr>
      </w:pPr>
      <w:r>
        <w:rPr>
          <w:rFonts w:hint="eastAsia" w:ascii="黑体" w:hAnsi="黑体" w:eastAsia="黑体" w:cs="黑体"/>
          <w:sz w:val="32"/>
          <w:szCs w:val="32"/>
        </w:rPr>
        <w:t>二、完善政府性融资担保体系</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加强市、县级政府性融资担保机构建设。市财政局要会同市金融工作局，积极建立政府性融资担保机构名录管理制度，按照“减量提质”要求，推进政府性融资担保机构资源整合。加强与中原再担保集团合作，组建市级产业发展融资担保有限公司；各县（市、区）原则上只保留1家政府性融资担保机构；对资不抵债、失去功能的政府性融资担保机构，妥善化解风险。（责任单位：市工业和信息化局、财政局、金融工作局、南阳产业投资集团有限公司，各县〔市、区〕政府〔管委会〕）</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做大做强市级政府性融资担保机构。支持市级政府性融资担保机构发挥龙头引领作用，通过争取国家融资担保基金、省级担保机构股权资金、财政注资、吸引县（市、区）级政府入股、整合现有担保机构等方式，逐步做大做强，择优对县（市、区）政府性融资担保股权进行投资，或者建立担保合作关系。（责任单位：市工业和信息化局、财政局、金融工作局，各县〔市、区〕政府〔管委会〕）</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实现政府性融资担保业务县（市、区）全覆盖。各县（市、区）政府（管委会）应通过增资扩股，壮大现有政府性融资担保机构；围绕小微企业集聚的开发园区，引入战略投资者（国家融资担保基金、省、市政府性融资担保机构等）出资新设；入股省、市级政府性融资担保机构业务合作，引入政府性融资担保服务等多种方式，确保实现担保业务全覆盖。（责任单位：各县〔市、区〕政府〔管委会〕）</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加强农业信贷担保机构建设。聚焦小微“三农”主体、富民乡村产业、乡村振兴建设，不断扩大和提高农业信贷担保业务规模和服务质量，力争2022年担保业务规模位居全省前列。支持省农业信贷担保公司南阳市分公司业务拓展，形成以信息化为支撑，市有分公司、县（市、区）有办事处、乡镇有联络站、村有联络人，覆盖全市的农业信贷担保服务网络，推动财政金融协同支农，打通担保支农“最后一公里”。（责任单位：市农业农村局、财政局、金融工作局，各县〔市、区〕政府〔管委会〕）</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完善法人治理结构。落实国有金融资本财政出资人管理职责，实现由“管企业”向“管资本”转变，不干预具体担保业务。各级政府性融资担保机构实行政企分开，探索完善政府授权的董事会管理下的职业经理人制度，坚持市场化管理，加强内控建设，提升经营管理能力。（责任单位：市工业和信息化局，各县〔市、区〕政府〔管委会〕）</w:t>
      </w:r>
    </w:p>
    <w:p>
      <w:pPr>
        <w:ind w:firstLine="640" w:firstLineChars="200"/>
        <w:rPr>
          <w:rFonts w:ascii="黑体" w:hAnsi="黑体" w:eastAsia="黑体" w:cs="黑体"/>
          <w:sz w:val="32"/>
          <w:szCs w:val="32"/>
        </w:rPr>
      </w:pPr>
      <w:r>
        <w:rPr>
          <w:rFonts w:hint="eastAsia" w:ascii="黑体" w:hAnsi="黑体" w:eastAsia="黑体" w:cs="黑体"/>
          <w:sz w:val="32"/>
          <w:szCs w:val="32"/>
        </w:rPr>
        <w:t>三、坚持做好主责主业</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聚焦支小支农。各级政府性融资担保机构要坚守支小支农融资担保主责主业，主动剥离政府债券发行和政府融资平台融资担保业务，严格控制闲置资金运作规模和风险，不得向非融资担保机构进行股权投资，逐步压缩大中型企业担保业务规模，重点支持单户担保金额500万元以下的小微企业和“三农”主体，支持符合我市条件的战略性新兴产业项目，确保支小支农担保业务占比达到80%以上。（责任单位：市工业和信息化局、财政局、农业农村局、金融工作局，各县〔市、区〕政府〔管委会〕）</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降低担保费率。政府性融资担保机构要坚持保本微利原则，在可持续经营的前提下，适时调降担保费率，对小微企业和“三农”主体实行低收费，平均担保费率降至1%以下。其中，对单户担保金额500万元以下的小微企业和“三农”主体收取的担保费率降低至不超过1%，对单户担保金额10万元—300万元“三农”主体收取的担保费率降低至不超过0.8%；对粮食、生猪等重要农产品生产经营主体的担保费率下调至0.5%。（责任单位：市工业和信息化局、财政局、金融工作局、农业农村局，各县〔市、区〕政府〔管委会〕）</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降低综合融资成本。政府性融资担保机构要创新反担保方式，放宽反担保要求，提高信用与保证类担保占比，降低小微企业、“三农”和创业创新主体融资门槛，有效解决融资难问题。有关部门（机构）要依法及时为符合条件的融资抵押、质押办理登记手续。除担保费外，政府性融资担保机构不得以保证金、承诺费、咨询费、顾问费、注册费、资料费等名义收取费用。除银团贷款外，银行业金融机构不得收取承诺费、资金管理费，严格限制收取财务顾问费、咨询费等费用，避免加重企业负担。（责任单位：市工业和信息化局、财政局、农业农村局、金融工作局、市场监督管理局、不动产登记服务中心、南阳银保监分局，各县〔市、区〕政府〔管委会〕）</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加强风险管控。各级政府性融资担保机构要建立完善担前审查和担后管理等风险防控制度，切实加强风险研判和防控，防止银行业金融机构将应由自身承担的贷款风险转由融资担保机构承担。（责任单位：市工业和信息化局、金融工作局、南阳银保监分局，各县〔市、区〕政府〔管委会〕）</w:t>
      </w:r>
    </w:p>
    <w:p>
      <w:pPr>
        <w:ind w:firstLine="640" w:firstLineChars="200"/>
        <w:rPr>
          <w:rFonts w:ascii="黑体" w:hAnsi="黑体" w:eastAsia="黑体" w:cs="黑体"/>
          <w:sz w:val="32"/>
          <w:szCs w:val="32"/>
        </w:rPr>
      </w:pPr>
      <w:r>
        <w:rPr>
          <w:rFonts w:hint="eastAsia" w:ascii="黑体" w:hAnsi="黑体" w:eastAsia="黑体" w:cs="黑体"/>
          <w:sz w:val="32"/>
          <w:szCs w:val="32"/>
        </w:rPr>
        <w:t>四、构建可持续的银担合作机制</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明确风险分担责任。支持我市各级政府性融资担保机构积极参与由省再担保机构牵头推动的“总对总”合作业务，建立省再担保机构、政府性融资担保机构、银行业金融机构三方2：6：2的风险分担机制。银行业金融机构要落实贷前审查和贷中贷后管理责任，承担不低于贷款余额20％的风险责任；政府性融资担保机构要按照“先代偿、后分险”原则，落实代偿和分险责任，承担60％的风险责任；省再担保机构对开展再担保合作的融资担保机构提供20％的代偿补偿，每季度集中补偿一次。省农业信贷担保公司对政府性融资担保机构开展的涉农融资再担保业务，按照合同约定承担代偿补偿责任。（责任单位：市金融工作局、财政局、工业和信息化局、南阳银保监分局，各县〔市、区〕政府〔管委会〕）</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深化新型政银担合作机制建设。各级政府要利用政府信用和财政资金为政府性融资担保机构提供有力支撑，提升担保机构与银行合作的实力和地位。合作银行要提供优惠合作条件，降低合作门槛和担保贷款利率，支持政府性融资担保机构提高担保放大倍数，不得违规收取保证金。对于符合评级要求的各级政府性融资担保机构在信贷额度上予以优先保障。要创新业务合作模式，积极探索建立银担并行审批流程，紧紧围绕我市战略性新兴产业集群和产业链，扩大对高成长性、知识密集型、科技型企业的融资担保规模，对暂时遇到资金困难的商贸流通、居民生活服务、外贸、外资企业加大担保支持力度，积极为产业链供应链中的核心企业及上下游企业提供担保服务。（责任单位：市工业和信息化局、财政局、金融工作局、科学技术局、商务局、农业农村局、南阳银保监分局，各县〔市、区〕政府〔管委会〕）</w:t>
      </w:r>
    </w:p>
    <w:p>
      <w:pPr>
        <w:ind w:firstLine="640" w:firstLineChars="200"/>
        <w:rPr>
          <w:rFonts w:ascii="黑体" w:hAnsi="黑体" w:eastAsia="黑体" w:cs="黑体"/>
          <w:sz w:val="32"/>
          <w:szCs w:val="32"/>
        </w:rPr>
      </w:pPr>
      <w:r>
        <w:rPr>
          <w:rFonts w:hint="eastAsia" w:ascii="黑体" w:hAnsi="黑体" w:eastAsia="黑体" w:cs="黑体"/>
          <w:sz w:val="32"/>
          <w:szCs w:val="32"/>
        </w:rPr>
        <w:t>五、强化政策激励</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建立资本金补充机制。市、县两级财政要建立与本级政府性融资担保机构支小支农业务拓展、担保代偿和绩效考核情况挂钩的资本金动态补充机制，统筹整合现有财政资金或盘活财政存量资金，每年在财政预算中安排一定数额的专项资金。（责任单位：市财政局、工业和信息化局、金融工作局，各县〔市、区〕政府〔管委会〕）</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建立完善代偿补偿机制。市、县两级财政根据本级政府性融资担保业务规模、代偿情况，建立担保机构业务代偿补偿机制，对支小支农担保业务占比较高、在保余额及户数增长较快、代偿率控制在合理区间的本级政府性融资担保机构，单户担保余额500万元以内（含）的小微企业及“三农”担保业务发生代偿时，经有关部门审核后，给予担保业务代偿金额10%—20％的风险补偿。担保机构和金融机构按照合同约定及相关法律法规对企业进行追偿，追偿所得扣除追偿费用后按照代偿分担比例返还各方。（责任单位：市财政局、工业和信息化局、金融工作局，各县〔市、区〕政府〔管委会〕）</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完善业务奖补机制。建立完善联审服务机制，继续做好中央财政、省级财政对政府性融资担保机构奖补政策的落实工作。积极争取对扩大实体经济领域小微企业融资担保业务规模、降低小微企业融资担保费率的奖补资金。重点对年化担保费率降至1.5％以下的新增单户500万元及以下的小微企业和“三农”主体的融资担保业务给予担保费补贴，补足至2％。（责任单位：市工业和信息化局、财政局，各县〔市、区〕政府〔管委会〕）</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落实扶持政策。参照《财政部关于印发的通知》（财金〔2017〕90号）有关规定，对政府性融资担保机构的代偿损失予以核销。发挥地方资产管理公司作用，探索通过中原金融资产交易中心公共平台开展融资担保机构不良资产登记、推介和挂牌处置，加快处置担保机构不良资产。税务部门要落实国家有关融资担保业务增值税优惠政策，继续对符合条件的政府性融资担保机构实行准备金税前扣除政策，并按照“最多跑一次”改革要求简化申报、证明材料。（责任单位：市财政局、税务局）</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优化发展环境。加强社会信用体系建设，强化守信激励和失信惩戒，严厉打击逃废债行为，营造良好发展环境。依法认定融资担保机构作为抵押权人的主体资格，保障担保人承担借款合同的担保责任而取得的追偿权。自然资源和规划、住房保障、公安、交通、市场监管、科技、农业农村等部门要参照金融机构的相关政策，支持政府性融资担保机构作为抵（质）押权人，依法办理不动产、动产、股权、专利权、商标权、应收账款等反担保物权的抵质押登记，落实相关费用减免政策。司法机关要加强融资担保相关债权保护，对涉及融资担保机构代偿、追偿的案件，做到快立、快审、快执，对符合条件的支小支农案件，适用简易程序，提高诉讼效率，加大执行力度。（责任单位：市中级人民法院、金融工作局、公安局、司法局、自然资源和规划局、住房和城乡建设局、交通运输局、市场监督管理局、农业农村局、林业局、不动产登记服务中心，各县〔市、区〕政府〔管委会〕）</w:t>
      </w:r>
    </w:p>
    <w:p>
      <w:pPr>
        <w:ind w:firstLine="640" w:firstLineChars="200"/>
        <w:rPr>
          <w:rFonts w:ascii="黑体" w:hAnsi="黑体" w:eastAsia="黑体" w:cs="黑体"/>
          <w:sz w:val="32"/>
          <w:szCs w:val="32"/>
        </w:rPr>
      </w:pPr>
      <w:r>
        <w:rPr>
          <w:rFonts w:hint="eastAsia" w:ascii="黑体" w:hAnsi="黑体" w:eastAsia="黑体" w:cs="黑体"/>
          <w:sz w:val="32"/>
          <w:szCs w:val="32"/>
        </w:rPr>
        <w:t>六、加强监管考核</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落实属地责任。各县（市、区）政府（管委会）按照属地管理原则，履行本级政府性融资担保机构监管和出资人责任，坚持规范和发展并重，促进政府性融资担保机构依法合规经营，提高服务实体经济能力，有效防范和化解风险。同时，将政府性融资担保机构工作开展及功能发挥情况纳入对各县（市、区）的年度工作责任目标考核范围。（责任单位：市工业和信息化局，各县〔市、区〕政府〔管委会〕）</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建立完善绩效考核评价体系。市财政局会同有关方面研究制定政府性融资担保机构绩效考核办法，合理使用外部信用评级，逐步降低或取消盈利考核指标，建立以扶持小微企业和“三农”的数量和质量、融资担保业务放大倍数、担保费率、风险控制等为主要指标的绩效考核评价体系；落实考核结果与资本金补充、风险补偿、薪酬待遇等直接挂钩的激励约束机制。市金融工作局牵头研究制定政府性融资担保机构尽职免责制度，对符合监管规定和程序要求的担保代偿业务原则上免予追责，激发其开展支小支农担保业务的内生动力。市财政局等有关部门和各县（市、区）政府（管委会）在财政资金存放时，要将银行业金融机构与政府性融资担保机构合作和风险分担机制落实情况，作为评价银行业金融机构支持经济发展的重要指标，建立跟踪评估和定期检查机制。（责任单位：市财政局、工业和信息化局、金融工作局、南阳银保监分局，各县〔市、区〕政府〔管委会〕）</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各级各相关部门要完善配套措施，抓好组织实施，推动政府性融资担保机构发挥应有作用，为促进小微企业、“三农”高质量发展贡献力量。市金融工作局、财政局要会同有关部门，加强统筹协调，对本实施意见落实情况进行跟踪分析，重大事项及时向市政府报告。</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pStyle w:val="3"/>
        <w:jc w:val="center"/>
        <w:rPr>
          <w:rFonts w:hint="eastAsia" w:asciiTheme="majorHAnsi" w:hAnsiTheme="majorHAnsi" w:eastAsiaTheme="majorEastAsia" w:cstheme="majorBidi"/>
          <w:b/>
          <w:bCs/>
          <w:spacing w:val="-20"/>
          <w:kern w:val="2"/>
          <w:sz w:val="44"/>
          <w:szCs w:val="44"/>
          <w:lang w:val="en-US" w:eastAsia="zh-CN" w:bidi="ar-SA"/>
        </w:rPr>
      </w:pPr>
      <w:bookmarkStart w:id="47" w:name="_Toc19232"/>
      <w:r>
        <w:rPr>
          <w:spacing w:val="-20"/>
          <w:sz w:val="44"/>
          <w:szCs w:val="44"/>
        </w:rPr>
        <w:t>十三、河南省小额贷款公司变更审批工作指引</w:t>
      </w:r>
      <w:bookmarkEnd w:id="47"/>
      <w:r>
        <w:rPr>
          <w:rFonts w:hint="eastAsia" w:asciiTheme="majorHAnsi" w:hAnsiTheme="majorHAnsi" w:eastAsiaTheme="majorEastAsia" w:cstheme="majorBidi"/>
          <w:b/>
          <w:bCs/>
          <w:spacing w:val="-20"/>
          <w:kern w:val="2"/>
          <w:sz w:val="44"/>
          <w:szCs w:val="44"/>
          <w:lang w:val="en-US" w:eastAsia="zh-CN" w:bidi="ar-SA"/>
        </w:rPr>
        <w:t>（2019年修订版）</w:t>
      </w:r>
    </w:p>
    <w:p>
      <w:pPr>
        <w:keepNext/>
        <w:keepLines/>
        <w:spacing w:line="560" w:lineRule="exact"/>
        <w:ind w:firstLine="480" w:firstLineChars="200"/>
        <w:jc w:val="center"/>
        <w:rPr>
          <w:rStyle w:val="19"/>
          <w:rFonts w:hint="eastAsia" w:ascii="楷体" w:hAnsi="楷体" w:eastAsia="楷体" w:cs="楷体"/>
          <w:color w:val="000000"/>
          <w:sz w:val="24"/>
          <w:szCs w:val="24"/>
        </w:rPr>
      </w:pPr>
      <w:r>
        <w:rPr>
          <w:rStyle w:val="19"/>
          <w:rFonts w:hint="eastAsia" w:ascii="楷体" w:hAnsi="楷体" w:eastAsia="楷体" w:cs="楷体"/>
          <w:color w:val="000000"/>
          <w:sz w:val="24"/>
          <w:szCs w:val="24"/>
          <w:lang w:eastAsia="zh-CN"/>
        </w:rPr>
        <w:t>河南省地方金融监督管理局文件</w:t>
      </w:r>
      <w:r>
        <w:rPr>
          <w:rStyle w:val="19"/>
          <w:rFonts w:hint="eastAsia" w:ascii="楷体" w:hAnsi="楷体" w:eastAsia="楷体" w:cs="楷体"/>
          <w:color w:val="000000"/>
          <w:sz w:val="24"/>
          <w:szCs w:val="24"/>
          <w:lang w:val="en-US" w:eastAsia="zh-CN"/>
        </w:rPr>
        <w:t xml:space="preserve"> </w:t>
      </w:r>
      <w:r>
        <w:rPr>
          <w:rStyle w:val="19"/>
          <w:rFonts w:hint="eastAsia" w:ascii="楷体" w:hAnsi="楷体" w:eastAsia="楷体" w:cs="楷体"/>
          <w:color w:val="000000"/>
          <w:sz w:val="24"/>
          <w:szCs w:val="24"/>
          <w:lang w:eastAsia="zh-CN"/>
        </w:rPr>
        <w:t>豫金发</w:t>
      </w:r>
      <w:r>
        <w:rPr>
          <w:rStyle w:val="19"/>
          <w:rFonts w:hint="eastAsia" w:ascii="楷体" w:hAnsi="楷体" w:eastAsia="楷体" w:cs="楷体"/>
          <w:color w:val="000000"/>
          <w:sz w:val="24"/>
          <w:szCs w:val="24"/>
        </w:rPr>
        <w:t>〔20</w:t>
      </w:r>
      <w:r>
        <w:rPr>
          <w:rStyle w:val="19"/>
          <w:rFonts w:hint="eastAsia" w:ascii="楷体" w:hAnsi="楷体" w:eastAsia="楷体" w:cs="楷体"/>
          <w:color w:val="000000"/>
          <w:sz w:val="24"/>
          <w:szCs w:val="24"/>
          <w:lang w:val="en-US" w:eastAsia="zh-CN"/>
        </w:rPr>
        <w:t>19</w:t>
      </w:r>
      <w:r>
        <w:rPr>
          <w:rStyle w:val="19"/>
          <w:rFonts w:hint="eastAsia" w:ascii="楷体" w:hAnsi="楷体" w:eastAsia="楷体" w:cs="楷体"/>
          <w:color w:val="000000"/>
          <w:sz w:val="24"/>
          <w:szCs w:val="24"/>
        </w:rPr>
        <w:t>〕</w:t>
      </w:r>
      <w:r>
        <w:rPr>
          <w:rStyle w:val="19"/>
          <w:rFonts w:hint="eastAsia" w:ascii="楷体" w:hAnsi="楷体" w:eastAsia="楷体" w:cs="楷体"/>
          <w:color w:val="000000"/>
          <w:sz w:val="24"/>
          <w:szCs w:val="24"/>
          <w:lang w:val="en-US" w:eastAsia="zh-CN"/>
        </w:rPr>
        <w:t>203</w:t>
      </w:r>
      <w:r>
        <w:rPr>
          <w:rStyle w:val="19"/>
          <w:rFonts w:hint="eastAsia" w:ascii="楷体" w:hAnsi="楷体" w:eastAsia="楷体" w:cs="楷体"/>
          <w:color w:val="000000"/>
          <w:sz w:val="24"/>
          <w:szCs w:val="24"/>
        </w:rPr>
        <w:t>号</w:t>
      </w:r>
    </w:p>
    <w:p>
      <w:pPr>
        <w:keepNext/>
        <w:keepLines/>
        <w:spacing w:line="560" w:lineRule="exact"/>
        <w:ind w:firstLine="480" w:firstLineChars="200"/>
        <w:jc w:val="center"/>
        <w:rPr>
          <w:rFonts w:hint="eastAsia" w:ascii="楷体" w:hAnsi="楷体" w:eastAsia="楷体" w:cs="楷体"/>
          <w:bCs/>
          <w:sz w:val="32"/>
          <w:szCs w:val="32"/>
        </w:rPr>
      </w:pPr>
      <w:r>
        <w:rPr>
          <w:rStyle w:val="19"/>
          <w:rFonts w:hint="eastAsia" w:ascii="楷体" w:hAnsi="楷体" w:eastAsia="楷体" w:cs="楷体"/>
          <w:color w:val="000000"/>
          <w:sz w:val="24"/>
          <w:szCs w:val="24"/>
        </w:rPr>
        <w:t>20</w:t>
      </w:r>
      <w:r>
        <w:rPr>
          <w:rStyle w:val="19"/>
          <w:rFonts w:hint="eastAsia" w:ascii="楷体" w:hAnsi="楷体" w:eastAsia="楷体" w:cs="楷体"/>
          <w:color w:val="000000"/>
          <w:sz w:val="24"/>
          <w:szCs w:val="24"/>
          <w:lang w:val="en-US" w:eastAsia="zh-CN"/>
        </w:rPr>
        <w:t>19</w:t>
      </w:r>
      <w:r>
        <w:rPr>
          <w:rStyle w:val="19"/>
          <w:rFonts w:hint="eastAsia" w:ascii="楷体" w:hAnsi="楷体" w:eastAsia="楷体" w:cs="楷体"/>
          <w:color w:val="000000"/>
          <w:sz w:val="24"/>
          <w:szCs w:val="24"/>
        </w:rPr>
        <w:t>年</w:t>
      </w:r>
      <w:r>
        <w:rPr>
          <w:rStyle w:val="19"/>
          <w:rFonts w:hint="eastAsia" w:ascii="楷体" w:hAnsi="楷体" w:eastAsia="楷体" w:cs="楷体"/>
          <w:color w:val="000000"/>
          <w:sz w:val="24"/>
          <w:szCs w:val="24"/>
          <w:lang w:val="en-US" w:eastAsia="zh-CN"/>
        </w:rPr>
        <w:t>8</w:t>
      </w:r>
      <w:r>
        <w:rPr>
          <w:rStyle w:val="19"/>
          <w:rFonts w:hint="eastAsia" w:ascii="楷体" w:hAnsi="楷体" w:eastAsia="楷体" w:cs="楷体"/>
          <w:color w:val="000000"/>
          <w:sz w:val="24"/>
          <w:szCs w:val="24"/>
        </w:rPr>
        <w:t>月</w:t>
      </w:r>
      <w:r>
        <w:rPr>
          <w:rStyle w:val="19"/>
          <w:rFonts w:hint="eastAsia" w:ascii="楷体" w:hAnsi="楷体" w:eastAsia="楷体" w:cs="楷体"/>
          <w:color w:val="000000"/>
          <w:sz w:val="24"/>
          <w:szCs w:val="24"/>
          <w:lang w:val="en-US" w:eastAsia="zh-CN"/>
        </w:rPr>
        <w:t>19</w:t>
      </w:r>
      <w:r>
        <w:rPr>
          <w:rStyle w:val="19"/>
          <w:rFonts w:hint="eastAsia" w:ascii="楷体" w:hAnsi="楷体" w:eastAsia="楷体" w:cs="楷体"/>
          <w:color w:val="000000"/>
          <w:sz w:val="24"/>
          <w:szCs w:val="24"/>
        </w:rPr>
        <w:t>日印发</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为贯彻落实“放管服”改革要求、提高审批效率、优化服务环境，规范小额贷款公司变更事项审批，根据《中国银行业监督管理委员会 中国人民银行关于小额贷款公司试点的指导意见》(银监发〔2008〕23号)等有关法律、法规、规章和规范性文件，制定本指引。</w:t>
      </w:r>
    </w:p>
    <w:p>
      <w:pPr>
        <w:snapToGrid w:val="0"/>
        <w:spacing w:line="640" w:lineRule="exact"/>
        <w:ind w:firstLine="640" w:firstLineChars="200"/>
        <w:rPr>
          <w:rFonts w:ascii="黑体" w:hAnsi="黑体" w:eastAsia="黑体" w:cs="黑体"/>
          <w:sz w:val="32"/>
          <w:szCs w:val="32"/>
        </w:rPr>
      </w:pPr>
      <w:r>
        <w:rPr>
          <w:rFonts w:hint="eastAsia" w:ascii="黑体" w:hAnsi="黑体" w:eastAsia="黑体" w:cs="黑体"/>
          <w:sz w:val="32"/>
          <w:szCs w:val="32"/>
        </w:rPr>
        <w:t>一、变更事项审核分工</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小额贷款公司变更事项实行分工负责、分级审批。小额贷款公司持批复文件到注册登记机关办理变更登记。</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（一）以下变更事项由省辖市、省直管县（市）金融局审批，报省地方金融监管局备案。</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1.变更公司名称（公司组织形式变更除外）；</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2.变更公司住所（非同一县（市、区）行政区除外）；</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3.变更股权结构（不涉及第一大股东且变更比例低于第一大股东现有股份）；</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4.变更董事、监事、高级管理人员（公司法定代表人、董事长、执行董事、总经理除外）；</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5.上述变更事项涉及的章程变更。</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（二）以下变更事项经省辖市、省直管县（市）金融局审核后，报省地方金融监管局审批。</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1.变更公司组织形式；</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2.变更注册资本；</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3.变更股权结构（涉及第一大股东或其他一致行动人股东合计持股变更比例高于第一大股东现有股份）；</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4.变更业务经营范围；</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5.跨区变更公司住所；</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6.变更公司法人、董事长、执行董事、总经理；</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7.上述变更事项涉及的章程变更。</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三）省辖市、省直管县（市）金融局负责审批的变更事项，应自批复文件下发之日起5个工作日内报省地方金融监管局备案。属地金融局应督促小额贷款公司30日内完成变更登记并在河南省小额贷款公司业务监管信息平台录入变更情况，并确保信息与实际保持一致。</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各级金融局应按档案管理要求，对小额贷款公司变更材料、审核工作底单、呈报审批手续及批复文件等建档存放。</w:t>
      </w:r>
    </w:p>
    <w:p>
      <w:pPr>
        <w:snapToGrid w:val="0"/>
        <w:spacing w:line="640" w:lineRule="exact"/>
        <w:ind w:firstLine="640" w:firstLineChars="200"/>
        <w:rPr>
          <w:rFonts w:ascii="黑体" w:hAnsi="黑体" w:eastAsia="黑体" w:cs="黑体"/>
          <w:sz w:val="32"/>
          <w:szCs w:val="32"/>
        </w:rPr>
      </w:pPr>
      <w:r>
        <w:rPr>
          <w:rFonts w:hint="eastAsia" w:ascii="黑体" w:hAnsi="黑体" w:eastAsia="黑体" w:cs="黑体"/>
          <w:sz w:val="32"/>
          <w:szCs w:val="32"/>
        </w:rPr>
        <w:t>二、申报材料清单与审核重点</w:t>
      </w:r>
    </w:p>
    <w:p>
      <w:pPr>
        <w:snapToGrid w:val="0"/>
        <w:spacing w:line="640" w:lineRule="exact"/>
        <w:ind w:firstLine="640" w:firstLineChars="200"/>
        <w:rPr>
          <w:rFonts w:ascii="楷体" w:hAnsi="楷体" w:eastAsia="楷体" w:cs="楷体"/>
          <w:sz w:val="32"/>
          <w:szCs w:val="32"/>
        </w:rPr>
      </w:pPr>
      <w:r>
        <w:rPr>
          <w:rFonts w:hint="eastAsia" w:ascii="楷体" w:hAnsi="楷体" w:eastAsia="楷体" w:cs="楷体"/>
          <w:sz w:val="32"/>
          <w:szCs w:val="32"/>
        </w:rPr>
        <w:t>（一）变更公司组织形式</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1.河南省小额贷款公司变更事项申请表（原件1份）；</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2.省辖市、省直管县(市)金融局关于小额贷款公司变更组织形式的请示（原件1份）；</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3.全体股东签署的小额贷款公司变更组织形式后的新章程（原件1份）；</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4.小额贷款公司在当地主流报纸变更组织形式、承担变更前债权债务的公告（原件1份）；</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5.组织形式变更后的验资报告（原件1份）。</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审核重点：符合《中华人民共和国公司法》规定，属地金融局应当对组织形式变更的条件、理由以及变更程序的合法性进行审核，审核变更方案、股东会决议、资产负债表和财产目录等内容。</w:t>
      </w:r>
    </w:p>
    <w:p>
      <w:pPr>
        <w:snapToGrid w:val="0"/>
        <w:spacing w:line="640" w:lineRule="exact"/>
        <w:ind w:firstLine="640" w:firstLineChars="200"/>
        <w:rPr>
          <w:rFonts w:ascii="楷体" w:hAnsi="楷体" w:eastAsia="楷体" w:cs="楷体"/>
          <w:sz w:val="32"/>
          <w:szCs w:val="32"/>
        </w:rPr>
      </w:pPr>
      <w:r>
        <w:rPr>
          <w:rFonts w:hint="eastAsia" w:ascii="楷体" w:hAnsi="楷体" w:eastAsia="楷体" w:cs="楷体"/>
          <w:sz w:val="32"/>
          <w:szCs w:val="32"/>
        </w:rPr>
        <w:t>（二）变更注册资本</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1.增加注册资本。</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（1）河南省小额贷款公司变更事项申请表（原件1份）；</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（2）省辖市、省直管县(市)金融局关于小额贷款公司变更注册资本的请示（原件1份）；</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（3）小额贷款公司变更注册资本的新章程（原件1份）；</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（4）增资的法人股东资信材料：①法人股东近三年(不足三年,按实际提供)的审计报告（复印件1份），②人民银行出具的企业基本信用信息报告（原件1份）；</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（5）增资的自然人股东资信材料：①身份证（复印件1份），②自然人股东资金来源说明(原件1份，签字和按指印)，③三个月内人民银行出具的个人信用记录（原件1份）；</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（6）有法定资格的验资机构出具的增资验资报告（原件1份）。</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2.减少注册资本。小额贷款公司减少注册资本后，其注册资本不得低于设立标准。</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（1）河南省小额贷款公司变更事项申请表（原件1份）；</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（2）省辖市、省直管县(市)金融局关于小额贷款公司减少注册资本的请示（原件1份）；</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（3）小额贷款公司减少注册资本的新章程（原件1份）；</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（4）中介机构出具《资产负债表》及资产清单（原件1份）；</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（5）自作出减少注册资本决议之日起30日内在当地主流报纸上的公告和公司债务清偿情况的说明（原件1份）；</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（6）涉及政府出资的，应提交经同级财政等部门审批的国有资产产权变动及国有资产转让的相关材料（原件1份）。</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审核重点：公司增加注册资本，属地金融局须对拟增资的小额贷款公司进行监管约谈，了解拟出资股东的经济实力。出资金额未发生变化的股东，因公司增加注册资本导致股权结构变化，持股比例可以低于5%。</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公司减少注册资本，应当自作出减少注册资本决议之日起10日内通知债权人，并于30日内在当地主流报纸上公告。债权人自接到通知书之日起30日内，未接到通知书的自公告之日起45日内，有权要求公司清偿债务或者提供相应的担保。</w:t>
      </w:r>
    </w:p>
    <w:p>
      <w:pPr>
        <w:snapToGrid w:val="0"/>
        <w:spacing w:line="640" w:lineRule="exact"/>
        <w:ind w:firstLine="640" w:firstLineChars="200"/>
        <w:rPr>
          <w:rFonts w:ascii="楷体" w:hAnsi="楷体" w:eastAsia="楷体" w:cs="楷体"/>
          <w:sz w:val="32"/>
          <w:szCs w:val="32"/>
        </w:rPr>
      </w:pPr>
      <w:r>
        <w:rPr>
          <w:rFonts w:hint="eastAsia" w:ascii="楷体" w:hAnsi="楷体" w:eastAsia="楷体" w:cs="楷体"/>
          <w:sz w:val="32"/>
          <w:szCs w:val="32"/>
        </w:rPr>
        <w:t>（三）变更住所</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1.河南省小额贷款公司变更事项申请表（原件1份）；</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2.省辖市金融局关于小额贷款公司跨区变更住所的请示（原件1份）；</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3.迁入地政府出具同意迁入的意见（原件1份）；</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4.小额贷款公司变更住所的新章程（原件1份）。</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审核重点：小额贷款公司跨区变更住所应首先取得迁入地政府的同意。迁入地金融局应履行监管职责，对新住所进行现场勘查，对住所的安全性、产权或租赁合同等证明材料进行审查，出具明确结论。</w:t>
      </w:r>
    </w:p>
    <w:p>
      <w:pPr>
        <w:snapToGrid w:val="0"/>
        <w:spacing w:line="640" w:lineRule="exact"/>
        <w:ind w:firstLine="640" w:firstLineChars="200"/>
        <w:rPr>
          <w:rFonts w:ascii="楷体" w:hAnsi="楷体" w:eastAsia="楷体" w:cs="楷体"/>
          <w:sz w:val="32"/>
          <w:szCs w:val="32"/>
        </w:rPr>
      </w:pPr>
      <w:r>
        <w:rPr>
          <w:rFonts w:hint="eastAsia" w:ascii="楷体" w:hAnsi="楷体" w:eastAsia="楷体" w:cs="楷体"/>
          <w:sz w:val="32"/>
          <w:szCs w:val="32"/>
        </w:rPr>
        <w:t>（四）变更经营范围</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1.河南省小额贷款公司变更事项申请表（原件1份）；</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2.省辖市、省直管县(市)金融局关于小额贷款公司变更业务经营范围的请示（原件1份）；</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3.小额贷款公司变更经营范围的新章程（原件1份）。</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审核重点：属地金融局须对业务范围变更的条件、理由、业务发展规划以及相应配套的制度进行审查。</w:t>
      </w:r>
    </w:p>
    <w:p>
      <w:pPr>
        <w:snapToGrid w:val="0"/>
        <w:spacing w:line="640" w:lineRule="exact"/>
        <w:ind w:firstLine="640" w:firstLineChars="200"/>
        <w:rPr>
          <w:rFonts w:ascii="楷体" w:hAnsi="楷体" w:eastAsia="楷体" w:cs="楷体"/>
          <w:sz w:val="32"/>
          <w:szCs w:val="32"/>
        </w:rPr>
      </w:pPr>
      <w:r>
        <w:rPr>
          <w:rFonts w:hint="eastAsia" w:ascii="楷体" w:hAnsi="楷体" w:eastAsia="楷体" w:cs="楷体"/>
          <w:sz w:val="32"/>
          <w:szCs w:val="32"/>
        </w:rPr>
        <w:t>（五）变更法定代表人、董事、监事和高级管理人员</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1.河南省小额贷款公司变更事项申请表（原件1份）；</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2.省辖市、省直管县(市)金融局关于小额贷款公司变更公司法定代表人、董事、监事和高级管理人员的请示（原件1份）；</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3.小额贷款公司拟任法定代表人、董事长（执行董事）、总经理任职资格审核表（原件1份）。</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审核重点：属地金融局应对拟任职人员的职称、毕业证等证书原件进行审查和进行任职前谈话，了解其是否熟悉经济、金融和小额贷款公司的有关法律法规，是否具有良好的合规意识和审慎经营意识，是否清楚小额贷款公司禁止性条款等，约谈内容要全面详实，依据谈话情况，签署结论性意见。</w:t>
      </w:r>
    </w:p>
    <w:p>
      <w:pPr>
        <w:snapToGrid w:val="0"/>
        <w:spacing w:line="640" w:lineRule="exact"/>
        <w:ind w:firstLine="640" w:firstLineChars="200"/>
        <w:rPr>
          <w:rFonts w:ascii="楷体" w:hAnsi="楷体" w:eastAsia="楷体" w:cs="楷体"/>
          <w:sz w:val="32"/>
          <w:szCs w:val="32"/>
        </w:rPr>
      </w:pPr>
      <w:r>
        <w:rPr>
          <w:rFonts w:hint="eastAsia" w:ascii="楷体" w:hAnsi="楷体" w:eastAsia="楷体" w:cs="楷体"/>
          <w:sz w:val="32"/>
          <w:szCs w:val="32"/>
        </w:rPr>
        <w:t>（六）变更股东或调整股权结构</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1.河南省小额贷款公司变更事项申请表（原件一份）；</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2.省辖市、省直管县(市)金融局关于小额贷款公司变更股权结构的请示（原件1份）；</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3.小额贷款公司变更股权结构的新章程（原件一份）；</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4.新进法人股东资信材料：①法人股东近三年(不足三年,按实际提供)的审计报告（复印件1份），②人民银行出具的企业基本信用信息报告（原件1份）；</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5.新进自然人股东资信材料：①身份证（复印件1份），②自然人股东资金来源说明(原件1份，签字和按指印)，③个人信用记录（原件1份）；</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6.股权转让协议、转款单据（原件1份）。</w:t>
      </w:r>
    </w:p>
    <w:p>
      <w:pPr>
        <w:snapToGrid w:val="0"/>
        <w:spacing w:line="640" w:lineRule="exact"/>
        <w:ind w:firstLine="640" w:firstLineChars="200"/>
        <w:rPr>
          <w:rFonts w:ascii="仿宋" w:hAnsi="仿宋" w:eastAsia="仿宋" w:cs="Times New Roman"/>
          <w:sz w:val="36"/>
          <w:szCs w:val="36"/>
        </w:rPr>
      </w:pPr>
      <w:r>
        <w:rPr>
          <w:rFonts w:hint="eastAsia" w:ascii="仿宋" w:hAnsi="仿宋" w:eastAsia="仿宋" w:cs="Times New Roman"/>
          <w:sz w:val="32"/>
          <w:szCs w:val="32"/>
        </w:rPr>
        <w:t>审核重点：属地金融局应按照设立标准，对新进股东进行信用、资金来源审核，严格落实股东面签和监管谈话制度。涉及政府或财政股权转让的，应按照《企业国有产权转让管理办法》等有关国有资产管理法律法规规定程序办理。</w:t>
      </w:r>
    </w:p>
    <w:p>
      <w:pPr>
        <w:snapToGrid w:val="0"/>
        <w:spacing w:line="640" w:lineRule="exact"/>
        <w:ind w:firstLine="640" w:firstLineChars="200"/>
        <w:rPr>
          <w:rFonts w:ascii="楷体" w:hAnsi="楷体" w:eastAsia="楷体" w:cs="楷体"/>
          <w:sz w:val="32"/>
          <w:szCs w:val="32"/>
        </w:rPr>
      </w:pPr>
      <w:r>
        <w:rPr>
          <w:rFonts w:hint="eastAsia" w:ascii="楷体" w:hAnsi="楷体" w:eastAsia="楷体" w:cs="楷体"/>
          <w:sz w:val="32"/>
          <w:szCs w:val="32"/>
        </w:rPr>
        <w:t>（七）修改公司章程</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1.河南省小额贷款公司变更事项申请表（原件1份）；</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2.省辖市、省直管县(市)金融局关于小额贷款公司变更章程的请示（原件1份）；</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3.小额贷款公司新章程（原件1份）。</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审核重点：属地金融局须对章程变更的理由、内容以及程序的合法性进行审查。因其他变更事项引起的公司章程变更，可一并请示，不另单独行文。</w:t>
      </w:r>
    </w:p>
    <w:p>
      <w:pPr>
        <w:snapToGrid w:val="0"/>
        <w:spacing w:line="640" w:lineRule="exact"/>
        <w:ind w:firstLine="640" w:firstLineChars="200"/>
        <w:rPr>
          <w:rFonts w:ascii="黑体" w:hAnsi="黑体" w:eastAsia="黑体" w:cs="黑体"/>
          <w:sz w:val="32"/>
          <w:szCs w:val="32"/>
        </w:rPr>
      </w:pPr>
      <w:r>
        <w:rPr>
          <w:rFonts w:hint="eastAsia" w:ascii="黑体" w:hAnsi="黑体" w:eastAsia="黑体" w:cs="黑体"/>
          <w:sz w:val="32"/>
          <w:szCs w:val="32"/>
        </w:rPr>
        <w:t>三、审核要求</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（一）属地金融局可采取材料审查和外部调查相结合、股东面签和高管约谈相结合、监管检查和中介机构协助审查相结合等方式，依法依规开展变更事项核查审批工作。</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（二）小额贷款公司申报的申请材料原则上应为原件，材料为复印件的，须说明“本复印件与原件核对无误”，同时加盖单位的公章或个人签字，变更申报材料应加盖骑缝章。</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需要补正材料或情况说明的，属地金融局要一次性告知需要补正的清单，并要求申请人限期完善。对逾期未补正或经补正仍不符合规定的，可不予受理或视同自动放弃变更申请。</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（三）小额贷款公司提供虚假材料、隐瞒真实情况或通过其他方式骗取变更审批的，属地金融局应当依法撤销变更，并将处理结果上报省地方金融监管局，同时将相关信息推送到国家企业信用信息公示系统。</w:t>
      </w:r>
    </w:p>
    <w:p>
      <w:pPr>
        <w:snapToGrid w:val="0"/>
        <w:spacing w:line="640" w:lineRule="exact"/>
        <w:ind w:firstLine="640" w:firstLineChars="200"/>
        <w:rPr>
          <w:rFonts w:ascii="黑体" w:hAnsi="黑体" w:eastAsia="黑体" w:cs="黑体"/>
          <w:sz w:val="32"/>
          <w:szCs w:val="32"/>
        </w:rPr>
      </w:pPr>
      <w:r>
        <w:rPr>
          <w:rFonts w:hint="eastAsia" w:ascii="黑体" w:hAnsi="黑体" w:eastAsia="黑体" w:cs="黑体"/>
          <w:sz w:val="32"/>
          <w:szCs w:val="32"/>
        </w:rPr>
        <w:t>四、审批程序</w:t>
      </w:r>
    </w:p>
    <w:p>
      <w:pPr>
        <w:snapToGrid w:val="0"/>
        <w:spacing w:line="640" w:lineRule="exact"/>
        <w:ind w:firstLine="640" w:firstLineChars="200"/>
        <w:rPr>
          <w:rFonts w:ascii="仿宋" w:hAnsi="仿宋" w:eastAsia="仿宋" w:cs="Times New Roman"/>
          <w:sz w:val="32"/>
          <w:szCs w:val="32"/>
        </w:rPr>
      </w:pPr>
      <w:r>
        <w:rPr>
          <w:rFonts w:hint="eastAsia" w:ascii="楷体" w:hAnsi="楷体" w:eastAsia="楷体" w:cs="楷体"/>
          <w:sz w:val="32"/>
          <w:szCs w:val="32"/>
        </w:rPr>
        <w:t>（一）受理。</w:t>
      </w:r>
      <w:r>
        <w:rPr>
          <w:rFonts w:hint="eastAsia" w:ascii="仿宋" w:hAnsi="仿宋" w:eastAsia="仿宋" w:cs="仿宋"/>
          <w:sz w:val="32"/>
          <w:szCs w:val="32"/>
        </w:rPr>
        <w:t>申请人符合本指引申请条件的，应向属地金融局提交申请材料或直接向省地方金融监管局提交申请材料。各级金融局根据条件和程序，受理申请人的变更申请，对申请材料进行审查，必要时进行现场核实。</w:t>
      </w:r>
    </w:p>
    <w:p>
      <w:pPr>
        <w:snapToGrid w:val="0"/>
        <w:spacing w:line="640" w:lineRule="exact"/>
        <w:ind w:firstLine="640" w:firstLineChars="200"/>
        <w:rPr>
          <w:rFonts w:ascii="仿宋" w:hAnsi="仿宋" w:eastAsia="仿宋" w:cs="Times New Roman"/>
          <w:sz w:val="32"/>
          <w:szCs w:val="32"/>
        </w:rPr>
      </w:pPr>
      <w:r>
        <w:rPr>
          <w:rFonts w:hint="eastAsia" w:ascii="楷体" w:hAnsi="楷体" w:eastAsia="楷体" w:cs="楷体"/>
          <w:sz w:val="32"/>
          <w:szCs w:val="32"/>
        </w:rPr>
        <w:t>(二)复核。</w:t>
      </w:r>
      <w:r>
        <w:rPr>
          <w:rFonts w:hint="eastAsia" w:ascii="仿宋" w:hAnsi="仿宋" w:eastAsia="仿宋" w:cs="Times New Roman"/>
          <w:sz w:val="32"/>
          <w:szCs w:val="32"/>
        </w:rPr>
        <w:t>省辖市金融局对属地金融局上报的申请材料进行复核，同意后上报省地方金融监管局。</w:t>
      </w:r>
    </w:p>
    <w:p>
      <w:pPr>
        <w:snapToGrid w:val="0"/>
        <w:spacing w:line="640" w:lineRule="exact"/>
        <w:ind w:firstLine="640" w:firstLineChars="200"/>
        <w:rPr>
          <w:rFonts w:ascii="仿宋" w:hAnsi="仿宋" w:eastAsia="仿宋" w:cs="Times New Roman"/>
          <w:sz w:val="32"/>
          <w:szCs w:val="32"/>
        </w:rPr>
      </w:pPr>
      <w:r>
        <w:rPr>
          <w:rFonts w:hint="eastAsia" w:ascii="楷体" w:hAnsi="楷体" w:eastAsia="楷体" w:cs="楷体"/>
          <w:sz w:val="32"/>
          <w:szCs w:val="32"/>
        </w:rPr>
        <w:t>（三）核准。</w:t>
      </w:r>
      <w:r>
        <w:rPr>
          <w:rFonts w:hint="eastAsia" w:ascii="仿宋" w:hAnsi="仿宋" w:eastAsia="仿宋" w:cs="Times New Roman"/>
          <w:sz w:val="32"/>
          <w:szCs w:val="32"/>
        </w:rPr>
        <w:t>省地方金融监管局对省辖市或省直管县（市）金融局上报的申请材料做出决定，并抄送相关部门。</w:t>
      </w:r>
    </w:p>
    <w:p>
      <w:pPr>
        <w:snapToGrid w:val="0"/>
        <w:spacing w:line="640" w:lineRule="exact"/>
        <w:ind w:firstLine="640" w:firstLineChars="200"/>
        <w:rPr>
          <w:rFonts w:ascii="仿宋" w:hAnsi="仿宋" w:eastAsia="仿宋" w:cs="Times New Roman"/>
          <w:sz w:val="32"/>
          <w:szCs w:val="32"/>
        </w:rPr>
      </w:pPr>
      <w:r>
        <w:rPr>
          <w:rFonts w:hint="eastAsia" w:ascii="楷体" w:hAnsi="楷体" w:eastAsia="楷体" w:cs="楷体"/>
          <w:sz w:val="32"/>
          <w:szCs w:val="32"/>
        </w:rPr>
        <w:t>（四）存档。</w:t>
      </w:r>
      <w:r>
        <w:rPr>
          <w:rFonts w:hint="eastAsia" w:ascii="仿宋" w:hAnsi="仿宋" w:eastAsia="仿宋" w:cs="Times New Roman"/>
          <w:sz w:val="32"/>
          <w:szCs w:val="32"/>
        </w:rPr>
        <w:t>属地金融局督促申请人在登记注册部门办理完毕变更手续后，及时更新业务监管平台中的相关信息，将变更后的有关资料备案存档。</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附件：1.河南省小额贷款公司事项变更申请表</w:t>
      </w:r>
    </w:p>
    <w:p>
      <w:pPr>
        <w:numPr>
          <w:ilvl w:val="0"/>
          <w:numId w:val="5"/>
        </w:numPr>
        <w:snapToGrid w:val="0"/>
        <w:spacing w:line="640" w:lineRule="exact"/>
        <w:rPr>
          <w:rFonts w:ascii="仿宋" w:hAnsi="仿宋" w:eastAsia="仿宋" w:cs="Times New Roman"/>
          <w:sz w:val="32"/>
          <w:szCs w:val="32"/>
        </w:rPr>
      </w:pPr>
      <w:r>
        <w:rPr>
          <w:rFonts w:hint="eastAsia" w:ascii="仿宋" w:hAnsi="仿宋" w:eastAsia="仿宋" w:cs="Times New Roman"/>
          <w:sz w:val="32"/>
          <w:szCs w:val="32"/>
        </w:rPr>
        <w:t>董事、监事、高级管理人员任职资格审核表</w:t>
      </w:r>
    </w:p>
    <w:p>
      <w:pPr>
        <w:widowControl/>
        <w:spacing w:line="360" w:lineRule="auto"/>
        <w:rPr>
          <w:rFonts w:ascii="黑体" w:hAnsi="黑体" w:eastAsia="黑体" w:cs="黑体"/>
          <w:bCs/>
          <w:kern w:val="0"/>
          <w:sz w:val="28"/>
          <w:szCs w:val="28"/>
        </w:rPr>
      </w:pPr>
    </w:p>
    <w:p>
      <w:pPr>
        <w:widowControl/>
        <w:spacing w:line="360" w:lineRule="auto"/>
        <w:rPr>
          <w:rFonts w:ascii="黑体" w:hAnsi="黑体" w:eastAsia="黑体" w:cs="黑体"/>
          <w:bCs/>
          <w:kern w:val="0"/>
          <w:sz w:val="28"/>
          <w:szCs w:val="28"/>
        </w:rPr>
      </w:pPr>
      <w:r>
        <w:rPr>
          <w:rFonts w:hint="eastAsia" w:ascii="黑体" w:hAnsi="黑体" w:eastAsia="黑体" w:cs="黑体"/>
          <w:bCs/>
          <w:kern w:val="0"/>
          <w:sz w:val="28"/>
          <w:szCs w:val="28"/>
        </w:rPr>
        <w:t>附件1</w:t>
      </w:r>
    </w:p>
    <w:p>
      <w:pPr>
        <w:widowControl/>
        <w:spacing w:line="360" w:lineRule="auto"/>
        <w:jc w:val="center"/>
        <w:rPr>
          <w:rFonts w:ascii="仿宋" w:hAnsi="仿宋" w:eastAsia="仿宋" w:cs="Times New Roman"/>
          <w:b/>
          <w:kern w:val="0"/>
          <w:sz w:val="42"/>
          <w:szCs w:val="42"/>
        </w:rPr>
      </w:pPr>
      <w:r>
        <w:rPr>
          <w:rFonts w:hint="eastAsia" w:ascii="宋体" w:hAnsi="宋体" w:eastAsia="宋体" w:cs="宋体"/>
          <w:b/>
          <w:kern w:val="0"/>
          <w:sz w:val="44"/>
          <w:szCs w:val="44"/>
        </w:rPr>
        <w:t>河南省小额贷款公司事项变更申请表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8"/>
        <w:gridCol w:w="2040"/>
        <w:gridCol w:w="180"/>
        <w:gridCol w:w="1596"/>
        <w:gridCol w:w="744"/>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2208" w:type="dxa"/>
            <w:tcBorders>
              <w:top w:val="single" w:color="auto" w:sz="4" w:space="0"/>
              <w:left w:val="single" w:color="auto" w:sz="4" w:space="0"/>
              <w:bottom w:val="single" w:color="auto" w:sz="4" w:space="0"/>
              <w:right w:val="single" w:color="auto" w:sz="4" w:space="0"/>
            </w:tcBorders>
            <w:noWrap/>
            <w:vAlign w:val="center"/>
          </w:tcPr>
          <w:p>
            <w:pPr>
              <w:widowControl/>
              <w:spacing w:line="270" w:lineRule="atLeast"/>
              <w:jc w:val="center"/>
              <w:rPr>
                <w:rFonts w:ascii="仿宋" w:hAnsi="仿宋" w:eastAsia="仿宋" w:cs="Times New Roman"/>
                <w:kern w:val="0"/>
                <w:sz w:val="24"/>
                <w:szCs w:val="22"/>
              </w:rPr>
            </w:pPr>
            <w:r>
              <w:rPr>
                <w:rFonts w:ascii="仿宋" w:hAnsi="仿宋" w:eastAsia="仿宋" w:cs="Times New Roman"/>
                <w:kern w:val="0"/>
                <w:sz w:val="24"/>
                <w:szCs w:val="22"/>
              </w:rPr>
              <w:t>单位名称</w:t>
            </w:r>
          </w:p>
        </w:tc>
        <w:tc>
          <w:tcPr>
            <w:tcW w:w="6360" w:type="dxa"/>
            <w:gridSpan w:val="5"/>
            <w:tcBorders>
              <w:top w:val="single" w:color="auto" w:sz="4" w:space="0"/>
              <w:left w:val="single" w:color="auto" w:sz="4" w:space="0"/>
              <w:bottom w:val="single" w:color="auto" w:sz="4" w:space="0"/>
              <w:right w:val="single" w:color="auto" w:sz="4" w:space="0"/>
            </w:tcBorders>
            <w:noWrap/>
            <w:vAlign w:val="center"/>
          </w:tcPr>
          <w:p>
            <w:pPr>
              <w:widowControl/>
              <w:spacing w:line="270" w:lineRule="atLeast"/>
              <w:jc w:val="center"/>
              <w:rPr>
                <w:rFonts w:ascii="仿宋" w:hAnsi="仿宋" w:eastAsia="仿宋" w:cs="Times New Roman"/>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2208" w:type="dxa"/>
            <w:tcBorders>
              <w:top w:val="single" w:color="auto" w:sz="4" w:space="0"/>
              <w:left w:val="single" w:color="auto" w:sz="4" w:space="0"/>
              <w:bottom w:val="single" w:color="auto" w:sz="4" w:space="0"/>
              <w:right w:val="single" w:color="auto" w:sz="4" w:space="0"/>
            </w:tcBorders>
            <w:noWrap/>
            <w:vAlign w:val="center"/>
          </w:tcPr>
          <w:p>
            <w:pPr>
              <w:widowControl/>
              <w:spacing w:line="270" w:lineRule="atLeast"/>
              <w:jc w:val="center"/>
              <w:rPr>
                <w:rFonts w:ascii="仿宋" w:hAnsi="仿宋" w:eastAsia="仿宋" w:cs="Times New Roman"/>
                <w:kern w:val="0"/>
                <w:sz w:val="24"/>
                <w:szCs w:val="22"/>
              </w:rPr>
            </w:pPr>
            <w:r>
              <w:rPr>
                <w:rFonts w:ascii="仿宋" w:hAnsi="仿宋" w:eastAsia="仿宋" w:cs="Times New Roman"/>
                <w:kern w:val="0"/>
                <w:sz w:val="24"/>
                <w:szCs w:val="22"/>
              </w:rPr>
              <w:t>注册资本（万元）</w:t>
            </w:r>
          </w:p>
        </w:tc>
        <w:tc>
          <w:tcPr>
            <w:tcW w:w="222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70" w:lineRule="atLeast"/>
              <w:jc w:val="center"/>
              <w:rPr>
                <w:rFonts w:ascii="仿宋" w:hAnsi="仿宋" w:eastAsia="仿宋" w:cs="Times New Roman"/>
                <w:kern w:val="0"/>
                <w:sz w:val="24"/>
                <w:szCs w:val="22"/>
              </w:rPr>
            </w:pPr>
          </w:p>
        </w:tc>
        <w:tc>
          <w:tcPr>
            <w:tcW w:w="1596" w:type="dxa"/>
            <w:tcBorders>
              <w:top w:val="single" w:color="auto" w:sz="4" w:space="0"/>
              <w:left w:val="single" w:color="auto" w:sz="4" w:space="0"/>
              <w:bottom w:val="single" w:color="auto" w:sz="4" w:space="0"/>
              <w:right w:val="single" w:color="auto" w:sz="4" w:space="0"/>
            </w:tcBorders>
            <w:noWrap/>
            <w:vAlign w:val="center"/>
          </w:tcPr>
          <w:p>
            <w:pPr>
              <w:widowControl/>
              <w:spacing w:line="270" w:lineRule="atLeast"/>
              <w:jc w:val="center"/>
              <w:rPr>
                <w:rFonts w:ascii="仿宋" w:hAnsi="仿宋" w:eastAsia="仿宋" w:cs="Times New Roman"/>
                <w:kern w:val="0"/>
                <w:sz w:val="24"/>
                <w:szCs w:val="22"/>
              </w:rPr>
            </w:pPr>
            <w:r>
              <w:rPr>
                <w:rFonts w:ascii="仿宋" w:hAnsi="仿宋" w:eastAsia="仿宋" w:cs="Times New Roman"/>
                <w:kern w:val="0"/>
                <w:sz w:val="24"/>
                <w:szCs w:val="22"/>
              </w:rPr>
              <w:t>法定代表人</w:t>
            </w:r>
          </w:p>
        </w:tc>
        <w:tc>
          <w:tcPr>
            <w:tcW w:w="2544"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70" w:lineRule="atLeast"/>
              <w:jc w:val="center"/>
              <w:rPr>
                <w:rFonts w:ascii="仿宋" w:hAnsi="仿宋" w:eastAsia="仿宋" w:cs="Times New Roman"/>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2208" w:type="dxa"/>
            <w:tcBorders>
              <w:top w:val="single" w:color="auto" w:sz="4" w:space="0"/>
              <w:left w:val="single" w:color="auto" w:sz="4" w:space="0"/>
              <w:bottom w:val="single" w:color="auto" w:sz="4" w:space="0"/>
              <w:right w:val="single" w:color="auto" w:sz="4" w:space="0"/>
            </w:tcBorders>
            <w:noWrap/>
            <w:vAlign w:val="center"/>
          </w:tcPr>
          <w:p>
            <w:pPr>
              <w:widowControl/>
              <w:spacing w:line="270" w:lineRule="atLeast"/>
              <w:jc w:val="center"/>
              <w:rPr>
                <w:rFonts w:ascii="仿宋" w:hAnsi="仿宋" w:eastAsia="仿宋" w:cs="Times New Roman"/>
                <w:kern w:val="0"/>
                <w:sz w:val="24"/>
                <w:szCs w:val="22"/>
              </w:rPr>
            </w:pPr>
            <w:r>
              <w:rPr>
                <w:rFonts w:ascii="仿宋" w:hAnsi="仿宋" w:eastAsia="仿宋" w:cs="Times New Roman"/>
                <w:kern w:val="0"/>
                <w:sz w:val="24"/>
                <w:szCs w:val="22"/>
              </w:rPr>
              <w:t>公司住所</w:t>
            </w:r>
          </w:p>
        </w:tc>
        <w:tc>
          <w:tcPr>
            <w:tcW w:w="6360" w:type="dxa"/>
            <w:gridSpan w:val="5"/>
            <w:tcBorders>
              <w:top w:val="single" w:color="auto" w:sz="4" w:space="0"/>
              <w:left w:val="single" w:color="auto" w:sz="4" w:space="0"/>
              <w:bottom w:val="single" w:color="auto" w:sz="4" w:space="0"/>
              <w:right w:val="single" w:color="auto" w:sz="4" w:space="0"/>
            </w:tcBorders>
            <w:noWrap/>
            <w:vAlign w:val="center"/>
          </w:tcPr>
          <w:p>
            <w:pPr>
              <w:widowControl/>
              <w:spacing w:line="270" w:lineRule="atLeast"/>
              <w:jc w:val="center"/>
              <w:rPr>
                <w:rFonts w:ascii="仿宋" w:hAnsi="仿宋" w:eastAsia="仿宋" w:cs="Times New Roman"/>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8" w:hRule="atLeast"/>
        </w:trPr>
        <w:tc>
          <w:tcPr>
            <w:tcW w:w="2208" w:type="dxa"/>
            <w:tcBorders>
              <w:top w:val="single" w:color="auto" w:sz="4" w:space="0"/>
              <w:left w:val="single" w:color="auto" w:sz="4" w:space="0"/>
              <w:bottom w:val="single" w:color="auto" w:sz="4" w:space="0"/>
              <w:right w:val="single" w:color="auto" w:sz="4" w:space="0"/>
            </w:tcBorders>
            <w:noWrap/>
            <w:vAlign w:val="center"/>
          </w:tcPr>
          <w:p>
            <w:pPr>
              <w:widowControl/>
              <w:spacing w:line="270" w:lineRule="atLeast"/>
              <w:jc w:val="center"/>
              <w:rPr>
                <w:rFonts w:ascii="仿宋" w:hAnsi="仿宋" w:eastAsia="仿宋" w:cs="Times New Roman"/>
                <w:kern w:val="0"/>
                <w:sz w:val="24"/>
                <w:szCs w:val="22"/>
              </w:rPr>
            </w:pPr>
            <w:r>
              <w:rPr>
                <w:rFonts w:ascii="仿宋" w:hAnsi="仿宋" w:eastAsia="仿宋" w:cs="Times New Roman"/>
                <w:kern w:val="0"/>
                <w:sz w:val="24"/>
                <w:szCs w:val="22"/>
              </w:rPr>
              <w:t>业务范围</w:t>
            </w:r>
          </w:p>
        </w:tc>
        <w:tc>
          <w:tcPr>
            <w:tcW w:w="6360" w:type="dxa"/>
            <w:gridSpan w:val="5"/>
            <w:tcBorders>
              <w:top w:val="single" w:color="auto" w:sz="4" w:space="0"/>
              <w:left w:val="single" w:color="auto" w:sz="4" w:space="0"/>
              <w:bottom w:val="single" w:color="auto" w:sz="4" w:space="0"/>
              <w:right w:val="single" w:color="auto" w:sz="4" w:space="0"/>
            </w:tcBorders>
            <w:noWrap/>
            <w:vAlign w:val="center"/>
          </w:tcPr>
          <w:p>
            <w:pPr>
              <w:widowControl/>
              <w:spacing w:line="270" w:lineRule="atLeast"/>
              <w:jc w:val="center"/>
              <w:rPr>
                <w:rFonts w:ascii="仿宋" w:hAnsi="仿宋" w:eastAsia="仿宋" w:cs="Times New Roman"/>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2208" w:type="dxa"/>
            <w:tcBorders>
              <w:top w:val="single" w:color="auto" w:sz="4" w:space="0"/>
              <w:left w:val="single" w:color="auto" w:sz="4" w:space="0"/>
              <w:bottom w:val="single" w:color="auto" w:sz="4" w:space="0"/>
              <w:right w:val="single" w:color="auto" w:sz="4" w:space="0"/>
            </w:tcBorders>
            <w:noWrap/>
            <w:vAlign w:val="center"/>
          </w:tcPr>
          <w:p>
            <w:pPr>
              <w:widowControl/>
              <w:spacing w:line="270" w:lineRule="atLeast"/>
              <w:jc w:val="center"/>
              <w:rPr>
                <w:rFonts w:ascii="仿宋" w:hAnsi="仿宋" w:eastAsia="仿宋" w:cs="Times New Roman"/>
                <w:kern w:val="0"/>
                <w:sz w:val="24"/>
                <w:szCs w:val="22"/>
              </w:rPr>
            </w:pPr>
            <w:r>
              <w:rPr>
                <w:rFonts w:ascii="仿宋" w:hAnsi="仿宋" w:eastAsia="仿宋" w:cs="Times New Roman"/>
                <w:kern w:val="0"/>
                <w:sz w:val="24"/>
                <w:szCs w:val="22"/>
              </w:rPr>
              <w:t>变更事项</w:t>
            </w:r>
          </w:p>
        </w:tc>
        <w:tc>
          <w:tcPr>
            <w:tcW w:w="2040" w:type="dxa"/>
            <w:tcBorders>
              <w:top w:val="single" w:color="auto" w:sz="4" w:space="0"/>
              <w:left w:val="single" w:color="auto" w:sz="4" w:space="0"/>
              <w:bottom w:val="single" w:color="auto" w:sz="4" w:space="0"/>
              <w:right w:val="single" w:color="auto" w:sz="4" w:space="0"/>
            </w:tcBorders>
            <w:noWrap/>
            <w:vAlign w:val="center"/>
          </w:tcPr>
          <w:p>
            <w:pPr>
              <w:widowControl/>
              <w:spacing w:line="270" w:lineRule="atLeast"/>
              <w:jc w:val="center"/>
              <w:rPr>
                <w:rFonts w:ascii="仿宋" w:hAnsi="仿宋" w:eastAsia="仿宋" w:cs="Times New Roman"/>
                <w:kern w:val="0"/>
                <w:sz w:val="24"/>
                <w:szCs w:val="22"/>
              </w:rPr>
            </w:pPr>
            <w:r>
              <w:rPr>
                <w:rFonts w:ascii="仿宋" w:hAnsi="仿宋" w:eastAsia="仿宋" w:cs="Times New Roman"/>
                <w:kern w:val="0"/>
                <w:sz w:val="24"/>
                <w:szCs w:val="22"/>
              </w:rPr>
              <w:t>变更前</w:t>
            </w:r>
          </w:p>
        </w:tc>
        <w:tc>
          <w:tcPr>
            <w:tcW w:w="2520" w:type="dxa"/>
            <w:gridSpan w:val="3"/>
            <w:tcBorders>
              <w:top w:val="single" w:color="auto" w:sz="4" w:space="0"/>
              <w:left w:val="single" w:color="auto" w:sz="4" w:space="0"/>
              <w:bottom w:val="single" w:color="auto" w:sz="4" w:space="0"/>
              <w:right w:val="single" w:color="auto" w:sz="4" w:space="0"/>
            </w:tcBorders>
            <w:noWrap/>
            <w:vAlign w:val="center"/>
          </w:tcPr>
          <w:p>
            <w:pPr>
              <w:widowControl/>
              <w:spacing w:line="270" w:lineRule="atLeast"/>
              <w:jc w:val="center"/>
              <w:rPr>
                <w:rFonts w:ascii="仿宋" w:hAnsi="仿宋" w:eastAsia="仿宋" w:cs="Times New Roman"/>
                <w:kern w:val="0"/>
                <w:sz w:val="24"/>
                <w:szCs w:val="22"/>
              </w:rPr>
            </w:pPr>
            <w:r>
              <w:rPr>
                <w:rFonts w:ascii="仿宋" w:hAnsi="仿宋" w:eastAsia="仿宋" w:cs="Times New Roman"/>
                <w:kern w:val="0"/>
                <w:sz w:val="24"/>
                <w:szCs w:val="22"/>
              </w:rPr>
              <w:t>变更后</w:t>
            </w:r>
          </w:p>
        </w:tc>
        <w:tc>
          <w:tcPr>
            <w:tcW w:w="1800" w:type="dxa"/>
            <w:tcBorders>
              <w:top w:val="single" w:color="auto" w:sz="4" w:space="0"/>
              <w:left w:val="single" w:color="auto" w:sz="4" w:space="0"/>
              <w:bottom w:val="single" w:color="auto" w:sz="4" w:space="0"/>
              <w:right w:val="single" w:color="auto" w:sz="4" w:space="0"/>
            </w:tcBorders>
            <w:noWrap/>
            <w:vAlign w:val="center"/>
          </w:tcPr>
          <w:p>
            <w:pPr>
              <w:widowControl/>
              <w:spacing w:line="270" w:lineRule="atLeast"/>
              <w:jc w:val="center"/>
              <w:rPr>
                <w:rFonts w:ascii="仿宋" w:hAnsi="仿宋" w:eastAsia="仿宋" w:cs="Times New Roman"/>
                <w:kern w:val="0"/>
                <w:sz w:val="24"/>
                <w:szCs w:val="22"/>
              </w:rPr>
            </w:pPr>
            <w:r>
              <w:rPr>
                <w:rFonts w:ascii="仿宋" w:hAnsi="仿宋" w:eastAsia="仿宋" w:cs="Times New Roman"/>
                <w:kern w:val="0"/>
                <w:sz w:val="24"/>
                <w:szCs w:val="22"/>
              </w:rPr>
              <w:t>变更原因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2208" w:type="dxa"/>
            <w:tcBorders>
              <w:top w:val="single" w:color="auto" w:sz="4" w:space="0"/>
              <w:left w:val="single" w:color="auto" w:sz="4" w:space="0"/>
              <w:bottom w:val="single" w:color="auto" w:sz="4" w:space="0"/>
              <w:right w:val="single" w:color="auto" w:sz="4" w:space="0"/>
            </w:tcBorders>
            <w:noWrap/>
            <w:vAlign w:val="center"/>
          </w:tcPr>
          <w:p>
            <w:pPr>
              <w:widowControl/>
              <w:spacing w:line="270" w:lineRule="atLeast"/>
              <w:jc w:val="center"/>
              <w:rPr>
                <w:rFonts w:ascii="仿宋" w:hAnsi="仿宋" w:eastAsia="仿宋" w:cs="Times New Roman"/>
                <w:kern w:val="0"/>
                <w:sz w:val="24"/>
                <w:szCs w:val="22"/>
              </w:rPr>
            </w:pPr>
          </w:p>
        </w:tc>
        <w:tc>
          <w:tcPr>
            <w:tcW w:w="2040" w:type="dxa"/>
            <w:tcBorders>
              <w:top w:val="single" w:color="auto" w:sz="4" w:space="0"/>
              <w:left w:val="single" w:color="auto" w:sz="4" w:space="0"/>
              <w:bottom w:val="single" w:color="auto" w:sz="4" w:space="0"/>
              <w:right w:val="single" w:color="auto" w:sz="4" w:space="0"/>
            </w:tcBorders>
            <w:noWrap/>
            <w:vAlign w:val="center"/>
          </w:tcPr>
          <w:p>
            <w:pPr>
              <w:widowControl/>
              <w:spacing w:line="270" w:lineRule="atLeast"/>
              <w:jc w:val="center"/>
              <w:rPr>
                <w:rFonts w:ascii="仿宋" w:hAnsi="仿宋" w:eastAsia="仿宋" w:cs="Times New Roman"/>
                <w:kern w:val="0"/>
                <w:sz w:val="24"/>
                <w:szCs w:val="22"/>
              </w:rPr>
            </w:pPr>
          </w:p>
        </w:tc>
        <w:tc>
          <w:tcPr>
            <w:tcW w:w="2520" w:type="dxa"/>
            <w:gridSpan w:val="3"/>
            <w:tcBorders>
              <w:top w:val="single" w:color="auto" w:sz="4" w:space="0"/>
              <w:left w:val="single" w:color="auto" w:sz="4" w:space="0"/>
              <w:bottom w:val="single" w:color="auto" w:sz="4" w:space="0"/>
              <w:right w:val="single" w:color="auto" w:sz="4" w:space="0"/>
            </w:tcBorders>
            <w:noWrap/>
            <w:vAlign w:val="center"/>
          </w:tcPr>
          <w:p>
            <w:pPr>
              <w:widowControl/>
              <w:spacing w:line="270" w:lineRule="atLeast"/>
              <w:jc w:val="center"/>
              <w:rPr>
                <w:rFonts w:ascii="仿宋" w:hAnsi="仿宋" w:eastAsia="仿宋" w:cs="Times New Roman"/>
                <w:kern w:val="0"/>
                <w:sz w:val="24"/>
                <w:szCs w:val="22"/>
              </w:rPr>
            </w:pPr>
          </w:p>
        </w:tc>
        <w:tc>
          <w:tcPr>
            <w:tcW w:w="1800" w:type="dxa"/>
            <w:tcBorders>
              <w:top w:val="single" w:color="auto" w:sz="4" w:space="0"/>
              <w:left w:val="single" w:color="auto" w:sz="4" w:space="0"/>
              <w:bottom w:val="single" w:color="auto" w:sz="4" w:space="0"/>
              <w:right w:val="single" w:color="auto" w:sz="4" w:space="0"/>
            </w:tcBorders>
            <w:noWrap/>
            <w:vAlign w:val="center"/>
          </w:tcPr>
          <w:p>
            <w:pPr>
              <w:widowControl/>
              <w:spacing w:line="270" w:lineRule="atLeast"/>
              <w:jc w:val="center"/>
              <w:rPr>
                <w:rFonts w:ascii="仿宋" w:hAnsi="仿宋" w:eastAsia="仿宋" w:cs="Times New Roman"/>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2208" w:type="dxa"/>
            <w:tcBorders>
              <w:top w:val="single" w:color="auto" w:sz="4" w:space="0"/>
              <w:left w:val="single" w:color="auto" w:sz="4" w:space="0"/>
              <w:bottom w:val="single" w:color="auto" w:sz="4" w:space="0"/>
              <w:right w:val="single" w:color="auto" w:sz="4" w:space="0"/>
            </w:tcBorders>
            <w:noWrap/>
            <w:vAlign w:val="center"/>
          </w:tcPr>
          <w:p>
            <w:pPr>
              <w:widowControl/>
              <w:spacing w:line="270" w:lineRule="atLeast"/>
              <w:jc w:val="center"/>
              <w:rPr>
                <w:rFonts w:ascii="仿宋" w:hAnsi="仿宋" w:eastAsia="仿宋" w:cs="Times New Roman"/>
                <w:kern w:val="0"/>
                <w:sz w:val="24"/>
                <w:szCs w:val="22"/>
              </w:rPr>
            </w:pPr>
          </w:p>
        </w:tc>
        <w:tc>
          <w:tcPr>
            <w:tcW w:w="2040" w:type="dxa"/>
            <w:tcBorders>
              <w:top w:val="single" w:color="auto" w:sz="4" w:space="0"/>
              <w:left w:val="single" w:color="auto" w:sz="4" w:space="0"/>
              <w:bottom w:val="single" w:color="auto" w:sz="4" w:space="0"/>
              <w:right w:val="single" w:color="auto" w:sz="4" w:space="0"/>
            </w:tcBorders>
            <w:noWrap/>
            <w:vAlign w:val="center"/>
          </w:tcPr>
          <w:p>
            <w:pPr>
              <w:widowControl/>
              <w:spacing w:line="270" w:lineRule="atLeast"/>
              <w:jc w:val="center"/>
              <w:rPr>
                <w:rFonts w:ascii="仿宋" w:hAnsi="仿宋" w:eastAsia="仿宋" w:cs="Times New Roman"/>
                <w:kern w:val="0"/>
                <w:sz w:val="24"/>
                <w:szCs w:val="22"/>
              </w:rPr>
            </w:pPr>
          </w:p>
        </w:tc>
        <w:tc>
          <w:tcPr>
            <w:tcW w:w="2520" w:type="dxa"/>
            <w:gridSpan w:val="3"/>
            <w:tcBorders>
              <w:top w:val="single" w:color="auto" w:sz="4" w:space="0"/>
              <w:left w:val="single" w:color="auto" w:sz="4" w:space="0"/>
              <w:bottom w:val="single" w:color="auto" w:sz="4" w:space="0"/>
              <w:right w:val="single" w:color="auto" w:sz="4" w:space="0"/>
            </w:tcBorders>
            <w:noWrap/>
            <w:vAlign w:val="center"/>
          </w:tcPr>
          <w:p>
            <w:pPr>
              <w:widowControl/>
              <w:spacing w:line="270" w:lineRule="atLeast"/>
              <w:jc w:val="center"/>
              <w:rPr>
                <w:rFonts w:ascii="仿宋" w:hAnsi="仿宋" w:eastAsia="仿宋" w:cs="Times New Roman"/>
                <w:kern w:val="0"/>
                <w:sz w:val="24"/>
                <w:szCs w:val="22"/>
              </w:rPr>
            </w:pPr>
          </w:p>
        </w:tc>
        <w:tc>
          <w:tcPr>
            <w:tcW w:w="1800" w:type="dxa"/>
            <w:tcBorders>
              <w:top w:val="single" w:color="auto" w:sz="4" w:space="0"/>
              <w:left w:val="single" w:color="auto" w:sz="4" w:space="0"/>
              <w:bottom w:val="single" w:color="auto" w:sz="4" w:space="0"/>
              <w:right w:val="single" w:color="auto" w:sz="4" w:space="0"/>
            </w:tcBorders>
            <w:noWrap/>
            <w:vAlign w:val="center"/>
          </w:tcPr>
          <w:p>
            <w:pPr>
              <w:widowControl/>
              <w:spacing w:line="270" w:lineRule="atLeast"/>
              <w:jc w:val="center"/>
              <w:rPr>
                <w:rFonts w:ascii="仿宋" w:hAnsi="仿宋" w:eastAsia="仿宋" w:cs="Times New Roman"/>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2208" w:type="dxa"/>
            <w:tcBorders>
              <w:top w:val="single" w:color="auto" w:sz="4" w:space="0"/>
              <w:left w:val="single" w:color="auto" w:sz="4" w:space="0"/>
              <w:bottom w:val="single" w:color="auto" w:sz="4" w:space="0"/>
              <w:right w:val="single" w:color="auto" w:sz="4" w:space="0"/>
            </w:tcBorders>
            <w:noWrap/>
            <w:vAlign w:val="center"/>
          </w:tcPr>
          <w:p>
            <w:pPr>
              <w:widowControl/>
              <w:spacing w:line="270" w:lineRule="atLeast"/>
              <w:jc w:val="center"/>
              <w:rPr>
                <w:rFonts w:ascii="仿宋" w:hAnsi="仿宋" w:eastAsia="仿宋" w:cs="Times New Roman"/>
                <w:kern w:val="0"/>
                <w:sz w:val="24"/>
                <w:szCs w:val="22"/>
              </w:rPr>
            </w:pPr>
          </w:p>
        </w:tc>
        <w:tc>
          <w:tcPr>
            <w:tcW w:w="2040" w:type="dxa"/>
            <w:tcBorders>
              <w:top w:val="single" w:color="auto" w:sz="4" w:space="0"/>
              <w:left w:val="single" w:color="auto" w:sz="4" w:space="0"/>
              <w:bottom w:val="single" w:color="auto" w:sz="4" w:space="0"/>
              <w:right w:val="single" w:color="auto" w:sz="4" w:space="0"/>
            </w:tcBorders>
            <w:noWrap/>
            <w:vAlign w:val="center"/>
          </w:tcPr>
          <w:p>
            <w:pPr>
              <w:widowControl/>
              <w:spacing w:line="270" w:lineRule="atLeast"/>
              <w:jc w:val="center"/>
              <w:rPr>
                <w:rFonts w:ascii="仿宋" w:hAnsi="仿宋" w:eastAsia="仿宋" w:cs="Times New Roman"/>
                <w:kern w:val="0"/>
                <w:sz w:val="24"/>
                <w:szCs w:val="22"/>
              </w:rPr>
            </w:pPr>
          </w:p>
        </w:tc>
        <w:tc>
          <w:tcPr>
            <w:tcW w:w="2520" w:type="dxa"/>
            <w:gridSpan w:val="3"/>
            <w:tcBorders>
              <w:top w:val="single" w:color="auto" w:sz="4" w:space="0"/>
              <w:left w:val="single" w:color="auto" w:sz="4" w:space="0"/>
              <w:bottom w:val="single" w:color="auto" w:sz="4" w:space="0"/>
              <w:right w:val="single" w:color="auto" w:sz="4" w:space="0"/>
            </w:tcBorders>
            <w:noWrap/>
            <w:vAlign w:val="center"/>
          </w:tcPr>
          <w:p>
            <w:pPr>
              <w:widowControl/>
              <w:spacing w:line="270" w:lineRule="atLeast"/>
              <w:jc w:val="center"/>
              <w:rPr>
                <w:rFonts w:ascii="仿宋" w:hAnsi="仿宋" w:eastAsia="仿宋" w:cs="Times New Roman"/>
                <w:kern w:val="0"/>
                <w:sz w:val="24"/>
                <w:szCs w:val="22"/>
              </w:rPr>
            </w:pPr>
          </w:p>
        </w:tc>
        <w:tc>
          <w:tcPr>
            <w:tcW w:w="1800" w:type="dxa"/>
            <w:tcBorders>
              <w:top w:val="single" w:color="auto" w:sz="4" w:space="0"/>
              <w:left w:val="single" w:color="auto" w:sz="4" w:space="0"/>
              <w:bottom w:val="single" w:color="auto" w:sz="4" w:space="0"/>
              <w:right w:val="single" w:color="auto" w:sz="4" w:space="0"/>
            </w:tcBorders>
            <w:noWrap/>
            <w:vAlign w:val="center"/>
          </w:tcPr>
          <w:p>
            <w:pPr>
              <w:widowControl/>
              <w:spacing w:line="270" w:lineRule="atLeast"/>
              <w:jc w:val="center"/>
              <w:rPr>
                <w:rFonts w:ascii="仿宋" w:hAnsi="仿宋" w:eastAsia="仿宋" w:cs="Times New Roman"/>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2208" w:type="dxa"/>
            <w:tcBorders>
              <w:top w:val="single" w:color="auto" w:sz="4" w:space="0"/>
              <w:left w:val="single" w:color="auto" w:sz="4" w:space="0"/>
              <w:bottom w:val="single" w:color="auto" w:sz="4" w:space="0"/>
              <w:right w:val="single" w:color="auto" w:sz="4" w:space="0"/>
            </w:tcBorders>
            <w:noWrap/>
            <w:vAlign w:val="center"/>
          </w:tcPr>
          <w:p>
            <w:pPr>
              <w:widowControl/>
              <w:spacing w:line="270" w:lineRule="atLeast"/>
              <w:jc w:val="center"/>
              <w:rPr>
                <w:rFonts w:ascii="仿宋" w:hAnsi="仿宋" w:eastAsia="仿宋" w:cs="Times New Roman"/>
                <w:kern w:val="0"/>
                <w:sz w:val="24"/>
                <w:szCs w:val="22"/>
              </w:rPr>
            </w:pPr>
          </w:p>
        </w:tc>
        <w:tc>
          <w:tcPr>
            <w:tcW w:w="2040" w:type="dxa"/>
            <w:tcBorders>
              <w:top w:val="single" w:color="auto" w:sz="4" w:space="0"/>
              <w:left w:val="single" w:color="auto" w:sz="4" w:space="0"/>
              <w:bottom w:val="single" w:color="auto" w:sz="4" w:space="0"/>
              <w:right w:val="single" w:color="auto" w:sz="4" w:space="0"/>
            </w:tcBorders>
            <w:noWrap/>
            <w:vAlign w:val="center"/>
          </w:tcPr>
          <w:p>
            <w:pPr>
              <w:widowControl/>
              <w:spacing w:line="270" w:lineRule="atLeast"/>
              <w:jc w:val="center"/>
              <w:rPr>
                <w:rFonts w:ascii="仿宋" w:hAnsi="仿宋" w:eastAsia="仿宋" w:cs="Times New Roman"/>
                <w:kern w:val="0"/>
                <w:sz w:val="24"/>
                <w:szCs w:val="22"/>
              </w:rPr>
            </w:pPr>
          </w:p>
        </w:tc>
        <w:tc>
          <w:tcPr>
            <w:tcW w:w="2520" w:type="dxa"/>
            <w:gridSpan w:val="3"/>
            <w:tcBorders>
              <w:top w:val="single" w:color="auto" w:sz="4" w:space="0"/>
              <w:left w:val="single" w:color="auto" w:sz="4" w:space="0"/>
              <w:bottom w:val="single" w:color="auto" w:sz="4" w:space="0"/>
              <w:right w:val="single" w:color="auto" w:sz="4" w:space="0"/>
            </w:tcBorders>
            <w:noWrap/>
            <w:vAlign w:val="center"/>
          </w:tcPr>
          <w:p>
            <w:pPr>
              <w:widowControl/>
              <w:spacing w:line="270" w:lineRule="atLeast"/>
              <w:jc w:val="center"/>
              <w:rPr>
                <w:rFonts w:ascii="仿宋" w:hAnsi="仿宋" w:eastAsia="仿宋" w:cs="Times New Roman"/>
                <w:kern w:val="0"/>
                <w:sz w:val="24"/>
                <w:szCs w:val="22"/>
              </w:rPr>
            </w:pPr>
          </w:p>
        </w:tc>
        <w:tc>
          <w:tcPr>
            <w:tcW w:w="1800" w:type="dxa"/>
            <w:tcBorders>
              <w:top w:val="single" w:color="auto" w:sz="4" w:space="0"/>
              <w:left w:val="single" w:color="auto" w:sz="4" w:space="0"/>
              <w:bottom w:val="single" w:color="auto" w:sz="4" w:space="0"/>
              <w:right w:val="single" w:color="auto" w:sz="4" w:space="0"/>
            </w:tcBorders>
            <w:noWrap/>
            <w:vAlign w:val="center"/>
          </w:tcPr>
          <w:p>
            <w:pPr>
              <w:widowControl/>
              <w:spacing w:line="270" w:lineRule="atLeast"/>
              <w:jc w:val="center"/>
              <w:rPr>
                <w:rFonts w:ascii="仿宋" w:hAnsi="仿宋" w:eastAsia="仿宋" w:cs="Times New Roman"/>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2208" w:type="dxa"/>
            <w:tcBorders>
              <w:top w:val="single" w:color="auto" w:sz="4" w:space="0"/>
              <w:left w:val="single" w:color="auto" w:sz="4" w:space="0"/>
              <w:bottom w:val="single" w:color="auto" w:sz="4" w:space="0"/>
              <w:right w:val="single" w:color="auto" w:sz="4" w:space="0"/>
            </w:tcBorders>
            <w:noWrap/>
            <w:vAlign w:val="center"/>
          </w:tcPr>
          <w:p>
            <w:pPr>
              <w:widowControl/>
              <w:spacing w:line="270" w:lineRule="atLeast"/>
              <w:jc w:val="center"/>
              <w:rPr>
                <w:rFonts w:ascii="仿宋" w:hAnsi="仿宋" w:eastAsia="仿宋" w:cs="Times New Roman"/>
                <w:kern w:val="0"/>
                <w:sz w:val="24"/>
                <w:szCs w:val="22"/>
              </w:rPr>
            </w:pPr>
          </w:p>
        </w:tc>
        <w:tc>
          <w:tcPr>
            <w:tcW w:w="2040" w:type="dxa"/>
            <w:tcBorders>
              <w:top w:val="single" w:color="auto" w:sz="4" w:space="0"/>
              <w:left w:val="single" w:color="auto" w:sz="4" w:space="0"/>
              <w:bottom w:val="single" w:color="auto" w:sz="4" w:space="0"/>
              <w:right w:val="single" w:color="auto" w:sz="4" w:space="0"/>
            </w:tcBorders>
            <w:noWrap/>
            <w:vAlign w:val="center"/>
          </w:tcPr>
          <w:p>
            <w:pPr>
              <w:widowControl/>
              <w:spacing w:line="270" w:lineRule="atLeast"/>
              <w:jc w:val="center"/>
              <w:rPr>
                <w:rFonts w:ascii="仿宋" w:hAnsi="仿宋" w:eastAsia="仿宋" w:cs="Times New Roman"/>
                <w:kern w:val="0"/>
                <w:sz w:val="24"/>
                <w:szCs w:val="22"/>
              </w:rPr>
            </w:pPr>
          </w:p>
        </w:tc>
        <w:tc>
          <w:tcPr>
            <w:tcW w:w="2520" w:type="dxa"/>
            <w:gridSpan w:val="3"/>
            <w:tcBorders>
              <w:top w:val="single" w:color="auto" w:sz="4" w:space="0"/>
              <w:left w:val="single" w:color="auto" w:sz="4" w:space="0"/>
              <w:bottom w:val="single" w:color="auto" w:sz="4" w:space="0"/>
              <w:right w:val="single" w:color="auto" w:sz="4" w:space="0"/>
            </w:tcBorders>
            <w:noWrap/>
            <w:vAlign w:val="center"/>
          </w:tcPr>
          <w:p>
            <w:pPr>
              <w:widowControl/>
              <w:spacing w:line="270" w:lineRule="atLeast"/>
              <w:jc w:val="center"/>
              <w:rPr>
                <w:rFonts w:ascii="仿宋" w:hAnsi="仿宋" w:eastAsia="仿宋" w:cs="Times New Roman"/>
                <w:kern w:val="0"/>
                <w:sz w:val="24"/>
                <w:szCs w:val="22"/>
              </w:rPr>
            </w:pPr>
          </w:p>
        </w:tc>
        <w:tc>
          <w:tcPr>
            <w:tcW w:w="1800" w:type="dxa"/>
            <w:tcBorders>
              <w:top w:val="single" w:color="auto" w:sz="4" w:space="0"/>
              <w:left w:val="single" w:color="auto" w:sz="4" w:space="0"/>
              <w:bottom w:val="single" w:color="auto" w:sz="4" w:space="0"/>
              <w:right w:val="single" w:color="auto" w:sz="4" w:space="0"/>
            </w:tcBorders>
            <w:noWrap/>
            <w:vAlign w:val="center"/>
          </w:tcPr>
          <w:p>
            <w:pPr>
              <w:widowControl/>
              <w:spacing w:line="270" w:lineRule="atLeast"/>
              <w:jc w:val="center"/>
              <w:rPr>
                <w:rFonts w:ascii="仿宋" w:hAnsi="仿宋" w:eastAsia="仿宋" w:cs="Times New Roman"/>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0" w:hRule="atLeast"/>
        </w:trPr>
        <w:tc>
          <w:tcPr>
            <w:tcW w:w="2208" w:type="dxa"/>
            <w:tcBorders>
              <w:top w:val="single" w:color="auto" w:sz="4" w:space="0"/>
              <w:left w:val="single" w:color="auto" w:sz="4" w:space="0"/>
              <w:bottom w:val="single" w:color="auto" w:sz="4" w:space="0"/>
              <w:right w:val="single" w:color="auto" w:sz="4" w:space="0"/>
            </w:tcBorders>
            <w:noWrap/>
            <w:vAlign w:val="center"/>
          </w:tcPr>
          <w:p>
            <w:pPr>
              <w:widowControl/>
              <w:spacing w:line="270" w:lineRule="atLeast"/>
              <w:jc w:val="center"/>
              <w:rPr>
                <w:rFonts w:ascii="仿宋" w:hAnsi="仿宋" w:eastAsia="仿宋" w:cs="Times New Roman"/>
                <w:kern w:val="0"/>
                <w:sz w:val="24"/>
                <w:szCs w:val="22"/>
              </w:rPr>
            </w:pPr>
            <w:r>
              <w:rPr>
                <w:rFonts w:hint="eastAsia" w:ascii="仿宋" w:hAnsi="仿宋" w:eastAsia="仿宋" w:cs="Times New Roman"/>
                <w:kern w:val="0"/>
                <w:sz w:val="24"/>
                <w:szCs w:val="22"/>
              </w:rPr>
              <w:t>公司意见</w:t>
            </w:r>
          </w:p>
        </w:tc>
        <w:tc>
          <w:tcPr>
            <w:tcW w:w="6360" w:type="dxa"/>
            <w:gridSpan w:val="5"/>
            <w:tcBorders>
              <w:top w:val="single" w:color="auto" w:sz="4" w:space="0"/>
              <w:left w:val="single" w:color="auto" w:sz="4" w:space="0"/>
              <w:bottom w:val="single" w:color="auto" w:sz="4" w:space="0"/>
              <w:right w:val="single" w:color="auto" w:sz="4" w:space="0"/>
            </w:tcBorders>
            <w:noWrap/>
            <w:vAlign w:val="center"/>
          </w:tcPr>
          <w:p>
            <w:pPr>
              <w:widowControl/>
              <w:spacing w:line="270" w:lineRule="atLeast"/>
              <w:jc w:val="left"/>
              <w:rPr>
                <w:rFonts w:ascii="仿宋" w:hAnsi="仿宋" w:eastAsia="仿宋" w:cs="Times New Roman"/>
                <w:kern w:val="0"/>
                <w:sz w:val="24"/>
                <w:szCs w:val="22"/>
              </w:rPr>
            </w:pPr>
          </w:p>
          <w:p>
            <w:pPr>
              <w:widowControl/>
              <w:spacing w:line="270" w:lineRule="atLeast"/>
              <w:jc w:val="left"/>
              <w:rPr>
                <w:rFonts w:ascii="仿宋" w:hAnsi="仿宋" w:eastAsia="仿宋" w:cs="Times New Roman"/>
                <w:kern w:val="0"/>
                <w:sz w:val="24"/>
                <w:szCs w:val="22"/>
              </w:rPr>
            </w:pPr>
          </w:p>
          <w:p>
            <w:pPr>
              <w:widowControl/>
              <w:spacing w:line="270" w:lineRule="atLeast"/>
              <w:jc w:val="left"/>
              <w:rPr>
                <w:rFonts w:ascii="仿宋" w:hAnsi="仿宋" w:eastAsia="仿宋" w:cs="Times New Roman"/>
                <w:kern w:val="0"/>
                <w:sz w:val="24"/>
                <w:szCs w:val="22"/>
              </w:rPr>
            </w:pPr>
          </w:p>
          <w:p>
            <w:pPr>
              <w:widowControl/>
              <w:spacing w:line="270" w:lineRule="atLeast"/>
              <w:jc w:val="left"/>
              <w:rPr>
                <w:rFonts w:ascii="仿宋" w:hAnsi="仿宋" w:eastAsia="仿宋" w:cs="Times New Roman"/>
                <w:kern w:val="0"/>
                <w:sz w:val="24"/>
                <w:szCs w:val="22"/>
              </w:rPr>
            </w:pPr>
            <w:r>
              <w:rPr>
                <w:rFonts w:hint="eastAsia" w:ascii="仿宋" w:hAnsi="仿宋" w:eastAsia="仿宋" w:cs="Times New Roman"/>
                <w:kern w:val="0"/>
                <w:sz w:val="24"/>
                <w:szCs w:val="22"/>
              </w:rPr>
              <w:t>法定代表人</w:t>
            </w:r>
            <w:r>
              <w:rPr>
                <w:rFonts w:ascii="仿宋" w:hAnsi="仿宋" w:eastAsia="仿宋" w:cs="Times New Roman"/>
                <w:kern w:val="0"/>
                <w:sz w:val="24"/>
                <w:szCs w:val="22"/>
              </w:rPr>
              <w:t>签字：</w:t>
            </w:r>
          </w:p>
          <w:p>
            <w:pPr>
              <w:widowControl/>
              <w:spacing w:line="270" w:lineRule="atLeast"/>
              <w:ind w:firstLine="3960" w:firstLineChars="1650"/>
              <w:jc w:val="left"/>
              <w:rPr>
                <w:rFonts w:ascii="仿宋" w:hAnsi="仿宋" w:eastAsia="仿宋" w:cs="Times New Roman"/>
                <w:kern w:val="0"/>
                <w:sz w:val="24"/>
                <w:szCs w:val="22"/>
              </w:rPr>
            </w:pPr>
            <w:r>
              <w:rPr>
                <w:rFonts w:ascii="仿宋" w:hAnsi="仿宋" w:eastAsia="仿宋" w:cs="Times New Roman"/>
                <w:kern w:val="0"/>
                <w:sz w:val="24"/>
                <w:szCs w:val="22"/>
              </w:rPr>
              <w:t>（单位盖章）</w:t>
            </w:r>
          </w:p>
          <w:p>
            <w:pPr>
              <w:widowControl/>
              <w:spacing w:line="270" w:lineRule="atLeast"/>
              <w:jc w:val="center"/>
              <w:rPr>
                <w:rFonts w:ascii="仿宋" w:hAnsi="仿宋" w:eastAsia="仿宋" w:cs="Times New Roman"/>
                <w:kern w:val="0"/>
                <w:sz w:val="24"/>
                <w:szCs w:val="22"/>
              </w:rPr>
            </w:pPr>
            <w:r>
              <w:rPr>
                <w:rFonts w:ascii="仿宋" w:hAnsi="仿宋" w:eastAsia="仿宋" w:cs="Times New Roman"/>
                <w:kern w:val="0"/>
                <w:sz w:val="24"/>
                <w:szCs w:val="22"/>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5" w:hRule="atLeast"/>
        </w:trPr>
        <w:tc>
          <w:tcPr>
            <w:tcW w:w="2208" w:type="dxa"/>
            <w:tcBorders>
              <w:top w:val="single" w:color="auto" w:sz="4" w:space="0"/>
              <w:left w:val="single" w:color="auto" w:sz="4" w:space="0"/>
              <w:bottom w:val="single" w:color="auto" w:sz="4" w:space="0"/>
              <w:right w:val="single" w:color="auto" w:sz="4" w:space="0"/>
            </w:tcBorders>
            <w:noWrap/>
            <w:vAlign w:val="center"/>
          </w:tcPr>
          <w:p>
            <w:pPr>
              <w:widowControl/>
              <w:spacing w:line="270" w:lineRule="atLeast"/>
              <w:jc w:val="center"/>
              <w:rPr>
                <w:rFonts w:ascii="仿宋" w:hAnsi="仿宋" w:eastAsia="仿宋" w:cs="Times New Roman"/>
                <w:kern w:val="0"/>
                <w:sz w:val="24"/>
                <w:szCs w:val="22"/>
              </w:rPr>
            </w:pPr>
            <w:r>
              <w:rPr>
                <w:rFonts w:ascii="仿宋" w:hAnsi="仿宋" w:eastAsia="仿宋" w:cs="Times New Roman"/>
                <w:kern w:val="0"/>
                <w:sz w:val="24"/>
                <w:szCs w:val="22"/>
              </w:rPr>
              <w:t>县（市、区）</w:t>
            </w:r>
            <w:r>
              <w:rPr>
                <w:rFonts w:hint="eastAsia" w:ascii="仿宋" w:hAnsi="仿宋" w:eastAsia="仿宋" w:cs="Times New Roman"/>
                <w:kern w:val="0"/>
                <w:sz w:val="24"/>
                <w:szCs w:val="22"/>
              </w:rPr>
              <w:t>金融局</w:t>
            </w:r>
            <w:r>
              <w:rPr>
                <w:rFonts w:ascii="仿宋" w:hAnsi="仿宋" w:eastAsia="仿宋" w:cs="Times New Roman"/>
                <w:kern w:val="0"/>
                <w:sz w:val="24"/>
                <w:szCs w:val="22"/>
              </w:rPr>
              <w:t>审核意见</w:t>
            </w:r>
          </w:p>
        </w:tc>
        <w:tc>
          <w:tcPr>
            <w:tcW w:w="6360" w:type="dxa"/>
            <w:gridSpan w:val="5"/>
            <w:tcBorders>
              <w:top w:val="single" w:color="auto" w:sz="4" w:space="0"/>
              <w:left w:val="single" w:color="auto" w:sz="4" w:space="0"/>
              <w:bottom w:val="single" w:color="auto" w:sz="4" w:space="0"/>
              <w:right w:val="single" w:color="auto" w:sz="4" w:space="0"/>
            </w:tcBorders>
            <w:noWrap/>
            <w:vAlign w:val="center"/>
          </w:tcPr>
          <w:p>
            <w:pPr>
              <w:widowControl/>
              <w:spacing w:line="270" w:lineRule="atLeast"/>
              <w:jc w:val="left"/>
              <w:rPr>
                <w:rFonts w:ascii="仿宋" w:hAnsi="仿宋" w:eastAsia="仿宋" w:cs="Times New Roman"/>
                <w:kern w:val="0"/>
                <w:sz w:val="24"/>
                <w:szCs w:val="22"/>
              </w:rPr>
            </w:pPr>
            <w:r>
              <w:rPr>
                <w:rFonts w:ascii="仿宋" w:hAnsi="仿宋" w:eastAsia="仿宋" w:cs="Times New Roman"/>
                <w:kern w:val="0"/>
                <w:sz w:val="24"/>
                <w:szCs w:val="22"/>
              </w:rPr>
              <w:t>审核意见：</w:t>
            </w:r>
          </w:p>
          <w:p>
            <w:pPr>
              <w:widowControl/>
              <w:spacing w:line="270" w:lineRule="atLeast"/>
              <w:jc w:val="left"/>
              <w:rPr>
                <w:rFonts w:ascii="仿宋" w:hAnsi="仿宋" w:eastAsia="仿宋" w:cs="Times New Roman"/>
                <w:kern w:val="0"/>
                <w:sz w:val="24"/>
                <w:szCs w:val="22"/>
              </w:rPr>
            </w:pPr>
          </w:p>
          <w:p>
            <w:pPr>
              <w:widowControl/>
              <w:spacing w:line="270" w:lineRule="atLeast"/>
              <w:jc w:val="left"/>
              <w:rPr>
                <w:rFonts w:ascii="仿宋" w:hAnsi="仿宋" w:eastAsia="仿宋" w:cs="Times New Roman"/>
                <w:kern w:val="0"/>
                <w:sz w:val="24"/>
                <w:szCs w:val="22"/>
              </w:rPr>
            </w:pPr>
          </w:p>
          <w:p>
            <w:pPr>
              <w:widowControl/>
              <w:spacing w:line="270" w:lineRule="atLeast"/>
              <w:jc w:val="left"/>
              <w:rPr>
                <w:rFonts w:ascii="仿宋" w:hAnsi="仿宋" w:eastAsia="仿宋" w:cs="Times New Roman"/>
                <w:kern w:val="0"/>
                <w:sz w:val="24"/>
                <w:szCs w:val="22"/>
              </w:rPr>
            </w:pPr>
          </w:p>
          <w:p>
            <w:pPr>
              <w:widowControl/>
              <w:spacing w:line="270" w:lineRule="atLeast"/>
              <w:jc w:val="left"/>
              <w:rPr>
                <w:rFonts w:ascii="仿宋" w:hAnsi="仿宋" w:eastAsia="仿宋" w:cs="Times New Roman"/>
                <w:kern w:val="0"/>
                <w:sz w:val="24"/>
                <w:szCs w:val="22"/>
              </w:rPr>
            </w:pPr>
          </w:p>
          <w:p>
            <w:pPr>
              <w:widowControl/>
              <w:spacing w:line="270" w:lineRule="atLeast"/>
              <w:jc w:val="left"/>
              <w:rPr>
                <w:rFonts w:ascii="仿宋" w:hAnsi="仿宋" w:eastAsia="仿宋" w:cs="Times New Roman"/>
                <w:kern w:val="0"/>
                <w:sz w:val="24"/>
                <w:szCs w:val="22"/>
              </w:rPr>
            </w:pPr>
            <w:r>
              <w:rPr>
                <w:rFonts w:ascii="仿宋" w:hAnsi="仿宋" w:eastAsia="仿宋" w:cs="Times New Roman"/>
                <w:kern w:val="0"/>
                <w:sz w:val="24"/>
                <w:szCs w:val="22"/>
              </w:rPr>
              <w:t>领导签字：</w:t>
            </w:r>
          </w:p>
          <w:p>
            <w:pPr>
              <w:widowControl/>
              <w:spacing w:line="270" w:lineRule="atLeast"/>
              <w:jc w:val="left"/>
              <w:rPr>
                <w:rFonts w:ascii="仿宋" w:hAnsi="仿宋" w:eastAsia="仿宋" w:cs="Times New Roman"/>
                <w:kern w:val="0"/>
                <w:sz w:val="24"/>
                <w:szCs w:val="22"/>
              </w:rPr>
            </w:pPr>
          </w:p>
          <w:p>
            <w:pPr>
              <w:widowControl/>
              <w:spacing w:line="270" w:lineRule="atLeast"/>
              <w:ind w:firstLine="3960" w:firstLineChars="1650"/>
              <w:jc w:val="left"/>
              <w:rPr>
                <w:rFonts w:ascii="仿宋" w:hAnsi="仿宋" w:eastAsia="仿宋" w:cs="Times New Roman"/>
                <w:kern w:val="0"/>
                <w:sz w:val="24"/>
                <w:szCs w:val="22"/>
              </w:rPr>
            </w:pPr>
            <w:r>
              <w:rPr>
                <w:rFonts w:ascii="仿宋" w:hAnsi="仿宋" w:eastAsia="仿宋" w:cs="Times New Roman"/>
                <w:kern w:val="0"/>
                <w:sz w:val="24"/>
                <w:szCs w:val="22"/>
              </w:rPr>
              <w:t>（单位盖章）</w:t>
            </w:r>
          </w:p>
          <w:p>
            <w:pPr>
              <w:widowControl/>
              <w:spacing w:line="270" w:lineRule="atLeast"/>
              <w:jc w:val="center"/>
              <w:rPr>
                <w:rFonts w:ascii="仿宋" w:hAnsi="仿宋" w:eastAsia="仿宋" w:cs="Times New Roman"/>
                <w:kern w:val="0"/>
                <w:sz w:val="24"/>
                <w:szCs w:val="22"/>
              </w:rPr>
            </w:pPr>
            <w:r>
              <w:rPr>
                <w:rFonts w:ascii="仿宋" w:hAnsi="仿宋" w:eastAsia="仿宋" w:cs="Times New Roman"/>
                <w:kern w:val="0"/>
                <w:sz w:val="24"/>
                <w:szCs w:val="22"/>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9" w:hRule="atLeast"/>
        </w:trPr>
        <w:tc>
          <w:tcPr>
            <w:tcW w:w="2208" w:type="dxa"/>
            <w:tcBorders>
              <w:top w:val="single" w:color="auto" w:sz="4" w:space="0"/>
              <w:left w:val="single" w:color="auto" w:sz="4" w:space="0"/>
              <w:bottom w:val="single" w:color="auto" w:sz="4" w:space="0"/>
              <w:right w:val="single" w:color="auto" w:sz="4" w:space="0"/>
            </w:tcBorders>
            <w:noWrap/>
            <w:vAlign w:val="center"/>
          </w:tcPr>
          <w:p>
            <w:pPr>
              <w:widowControl/>
              <w:spacing w:line="270" w:lineRule="atLeast"/>
              <w:jc w:val="center"/>
              <w:rPr>
                <w:rFonts w:ascii="仿宋" w:hAnsi="仿宋" w:eastAsia="仿宋" w:cs="Times New Roman"/>
                <w:kern w:val="0"/>
                <w:sz w:val="24"/>
                <w:szCs w:val="22"/>
              </w:rPr>
            </w:pPr>
            <w:r>
              <w:rPr>
                <w:rFonts w:ascii="仿宋" w:hAnsi="仿宋" w:eastAsia="仿宋" w:cs="Times New Roman"/>
                <w:kern w:val="0"/>
                <w:sz w:val="24"/>
                <w:szCs w:val="22"/>
              </w:rPr>
              <w:t>省辖市、省直管县（市）</w:t>
            </w:r>
            <w:r>
              <w:rPr>
                <w:rFonts w:hint="eastAsia" w:ascii="仿宋" w:hAnsi="仿宋" w:eastAsia="仿宋" w:cs="Times New Roman"/>
                <w:kern w:val="0"/>
                <w:sz w:val="24"/>
                <w:szCs w:val="22"/>
              </w:rPr>
              <w:t>金融局</w:t>
            </w:r>
            <w:r>
              <w:rPr>
                <w:rFonts w:ascii="仿宋" w:hAnsi="仿宋" w:eastAsia="仿宋" w:cs="Times New Roman"/>
                <w:kern w:val="0"/>
                <w:sz w:val="24"/>
                <w:szCs w:val="22"/>
              </w:rPr>
              <w:t>审核意见</w:t>
            </w:r>
          </w:p>
          <w:p>
            <w:pPr>
              <w:widowControl/>
              <w:spacing w:line="270" w:lineRule="atLeast"/>
              <w:jc w:val="center"/>
              <w:rPr>
                <w:rFonts w:ascii="仿宋" w:hAnsi="仿宋" w:eastAsia="仿宋" w:cs="Times New Roman"/>
                <w:kern w:val="0"/>
                <w:sz w:val="24"/>
                <w:szCs w:val="22"/>
              </w:rPr>
            </w:pPr>
          </w:p>
        </w:tc>
        <w:tc>
          <w:tcPr>
            <w:tcW w:w="6360" w:type="dxa"/>
            <w:gridSpan w:val="5"/>
            <w:tcBorders>
              <w:top w:val="single" w:color="auto" w:sz="4" w:space="0"/>
              <w:left w:val="single" w:color="auto" w:sz="4" w:space="0"/>
              <w:bottom w:val="single" w:color="auto" w:sz="4" w:space="0"/>
              <w:right w:val="single" w:color="auto" w:sz="4" w:space="0"/>
            </w:tcBorders>
            <w:noWrap/>
            <w:vAlign w:val="center"/>
          </w:tcPr>
          <w:p>
            <w:pPr>
              <w:widowControl/>
              <w:spacing w:line="270" w:lineRule="atLeast"/>
              <w:jc w:val="left"/>
              <w:rPr>
                <w:rFonts w:ascii="仿宋" w:hAnsi="仿宋" w:eastAsia="仿宋" w:cs="Times New Roman"/>
                <w:kern w:val="0"/>
                <w:sz w:val="24"/>
                <w:szCs w:val="22"/>
              </w:rPr>
            </w:pPr>
            <w:r>
              <w:rPr>
                <w:rFonts w:ascii="仿宋" w:hAnsi="仿宋" w:eastAsia="仿宋" w:cs="Times New Roman"/>
                <w:kern w:val="0"/>
                <w:sz w:val="24"/>
                <w:szCs w:val="22"/>
              </w:rPr>
              <w:t>审核意见：</w:t>
            </w:r>
          </w:p>
          <w:p>
            <w:pPr>
              <w:widowControl/>
              <w:spacing w:line="270" w:lineRule="atLeast"/>
              <w:jc w:val="left"/>
              <w:rPr>
                <w:rFonts w:ascii="宋体" w:hAnsi="宋体" w:eastAsia="宋体" w:cs="宋体"/>
                <w:kern w:val="0"/>
                <w:sz w:val="24"/>
                <w:szCs w:val="22"/>
              </w:rPr>
            </w:pPr>
          </w:p>
          <w:p>
            <w:pPr>
              <w:widowControl/>
              <w:spacing w:line="270" w:lineRule="atLeast"/>
              <w:jc w:val="left"/>
              <w:rPr>
                <w:rFonts w:ascii="宋体" w:hAnsi="宋体" w:eastAsia="宋体" w:cs="宋体"/>
                <w:kern w:val="0"/>
                <w:sz w:val="24"/>
                <w:szCs w:val="22"/>
              </w:rPr>
            </w:pPr>
          </w:p>
          <w:p>
            <w:pPr>
              <w:widowControl/>
              <w:spacing w:line="270" w:lineRule="atLeast"/>
              <w:jc w:val="left"/>
              <w:rPr>
                <w:rFonts w:ascii="宋体" w:hAnsi="宋体" w:eastAsia="宋体" w:cs="宋体"/>
                <w:kern w:val="0"/>
                <w:sz w:val="24"/>
                <w:szCs w:val="22"/>
              </w:rPr>
            </w:pPr>
          </w:p>
          <w:p>
            <w:pPr>
              <w:widowControl/>
              <w:spacing w:line="270" w:lineRule="atLeast"/>
              <w:jc w:val="left"/>
              <w:rPr>
                <w:rFonts w:ascii="宋体" w:hAnsi="宋体" w:eastAsia="宋体" w:cs="宋体"/>
                <w:kern w:val="0"/>
                <w:sz w:val="24"/>
                <w:szCs w:val="22"/>
              </w:rPr>
            </w:pPr>
          </w:p>
          <w:p>
            <w:pPr>
              <w:widowControl/>
              <w:spacing w:line="270" w:lineRule="atLeast"/>
              <w:jc w:val="left"/>
              <w:rPr>
                <w:rFonts w:ascii="仿宋" w:hAnsi="仿宋" w:eastAsia="仿宋" w:cs="Times New Roman"/>
                <w:kern w:val="0"/>
                <w:sz w:val="24"/>
                <w:szCs w:val="22"/>
              </w:rPr>
            </w:pPr>
            <w:r>
              <w:rPr>
                <w:rFonts w:ascii="仿宋" w:hAnsi="仿宋" w:eastAsia="仿宋" w:cs="Times New Roman"/>
                <w:kern w:val="0"/>
                <w:sz w:val="24"/>
                <w:szCs w:val="22"/>
              </w:rPr>
              <w:t>领导签字：</w:t>
            </w:r>
          </w:p>
          <w:p>
            <w:pPr>
              <w:widowControl/>
              <w:spacing w:line="270" w:lineRule="atLeast"/>
              <w:jc w:val="left"/>
              <w:rPr>
                <w:rFonts w:ascii="仿宋" w:hAnsi="仿宋" w:eastAsia="仿宋" w:cs="Times New Roman"/>
                <w:kern w:val="0"/>
                <w:sz w:val="24"/>
                <w:szCs w:val="22"/>
              </w:rPr>
            </w:pPr>
          </w:p>
          <w:p>
            <w:pPr>
              <w:widowControl/>
              <w:spacing w:line="270" w:lineRule="atLeast"/>
              <w:ind w:firstLine="3960" w:firstLineChars="1650"/>
              <w:jc w:val="left"/>
              <w:rPr>
                <w:rFonts w:ascii="仿宋" w:hAnsi="仿宋" w:eastAsia="仿宋" w:cs="Times New Roman"/>
                <w:kern w:val="0"/>
                <w:sz w:val="24"/>
                <w:szCs w:val="22"/>
              </w:rPr>
            </w:pPr>
            <w:r>
              <w:rPr>
                <w:rFonts w:ascii="仿宋" w:hAnsi="仿宋" w:eastAsia="仿宋" w:cs="Times New Roman"/>
                <w:kern w:val="0"/>
                <w:sz w:val="24"/>
                <w:szCs w:val="22"/>
              </w:rPr>
              <w:t>（单位盖章）</w:t>
            </w:r>
          </w:p>
          <w:p>
            <w:pPr>
              <w:widowControl/>
              <w:spacing w:line="270" w:lineRule="atLeast"/>
              <w:jc w:val="center"/>
              <w:rPr>
                <w:rFonts w:ascii="仿宋" w:hAnsi="仿宋" w:eastAsia="仿宋" w:cs="Times New Roman"/>
                <w:kern w:val="0"/>
                <w:sz w:val="24"/>
                <w:szCs w:val="22"/>
              </w:rPr>
            </w:pPr>
            <w:r>
              <w:rPr>
                <w:rFonts w:ascii="仿宋" w:hAnsi="仿宋" w:eastAsia="仿宋" w:cs="Times New Roman"/>
                <w:kern w:val="0"/>
                <w:sz w:val="24"/>
                <w:szCs w:val="22"/>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9" w:hRule="atLeast"/>
        </w:trPr>
        <w:tc>
          <w:tcPr>
            <w:tcW w:w="2208" w:type="dxa"/>
            <w:tcBorders>
              <w:top w:val="single" w:color="auto" w:sz="4" w:space="0"/>
              <w:left w:val="single" w:color="auto" w:sz="4" w:space="0"/>
              <w:bottom w:val="single" w:color="auto" w:sz="4" w:space="0"/>
              <w:right w:val="single" w:color="auto" w:sz="4" w:space="0"/>
            </w:tcBorders>
            <w:noWrap/>
            <w:vAlign w:val="center"/>
          </w:tcPr>
          <w:p>
            <w:pPr>
              <w:widowControl/>
              <w:spacing w:line="270" w:lineRule="atLeast"/>
              <w:jc w:val="center"/>
              <w:rPr>
                <w:rFonts w:ascii="仿宋" w:hAnsi="仿宋" w:eastAsia="仿宋" w:cs="Times New Roman"/>
                <w:kern w:val="0"/>
                <w:sz w:val="24"/>
                <w:szCs w:val="22"/>
              </w:rPr>
            </w:pPr>
            <w:r>
              <w:rPr>
                <w:rFonts w:hint="eastAsia" w:ascii="仿宋" w:hAnsi="仿宋" w:eastAsia="仿宋" w:cs="Times New Roman"/>
                <w:kern w:val="0"/>
                <w:sz w:val="24"/>
                <w:szCs w:val="22"/>
              </w:rPr>
              <w:t>郑重承诺</w:t>
            </w:r>
          </w:p>
        </w:tc>
        <w:tc>
          <w:tcPr>
            <w:tcW w:w="6360" w:type="dxa"/>
            <w:gridSpan w:val="5"/>
            <w:tcBorders>
              <w:top w:val="single" w:color="auto" w:sz="4" w:space="0"/>
              <w:left w:val="single" w:color="auto" w:sz="4" w:space="0"/>
              <w:bottom w:val="single" w:color="auto" w:sz="4" w:space="0"/>
              <w:right w:val="single" w:color="auto" w:sz="4" w:space="0"/>
            </w:tcBorders>
            <w:noWrap/>
            <w:vAlign w:val="center"/>
          </w:tcPr>
          <w:p>
            <w:pPr>
              <w:widowControl/>
              <w:ind w:firstLine="480" w:firstLineChars="200"/>
              <w:jc w:val="left"/>
              <w:rPr>
                <w:rFonts w:ascii="仿宋_GB2312" w:hAnsi="仿宋_GB2312" w:eastAsia="仿宋_GB2312" w:cs="仿宋_GB2312"/>
                <w:kern w:val="0"/>
                <w:sz w:val="24"/>
              </w:rPr>
            </w:pPr>
          </w:p>
          <w:p>
            <w:pPr>
              <w:widowControl/>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一、股东入股资金均为自有资金，出资来源真实合法、权属明晰，不存在以他人委托资金、借贷资金入股，自然人股东以共有财产出资已征得财产共有人同意。</w:t>
            </w:r>
          </w:p>
          <w:p>
            <w:pPr>
              <w:widowControl/>
              <w:ind w:firstLine="480" w:firstLineChars="200"/>
              <w:jc w:val="left"/>
              <w:rPr>
                <w:rFonts w:ascii="仿宋_GB2312" w:hAnsi="仿宋_GB2312" w:eastAsia="仿宋_GB2312" w:cs="仿宋_GB2312"/>
                <w:kern w:val="0"/>
                <w:sz w:val="24"/>
              </w:rPr>
            </w:pPr>
          </w:p>
          <w:p>
            <w:pPr>
              <w:widowControl/>
              <w:ind w:firstLine="48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二、所呈交的全部材料真实、准确、可靠，我公司对其真实性负全部责任。若申报材料中有虚假、伪造或隐瞒等违规情况,愿承担有关法律责任。</w:t>
            </w:r>
          </w:p>
          <w:p>
            <w:pPr>
              <w:widowControl/>
              <w:ind w:firstLine="480"/>
              <w:jc w:val="left"/>
              <w:rPr>
                <w:rFonts w:ascii="仿宋_GB2312" w:hAnsi="仿宋_GB2312" w:eastAsia="仿宋_GB2312" w:cs="仿宋_GB2312"/>
                <w:kern w:val="0"/>
                <w:sz w:val="24"/>
              </w:rPr>
            </w:pPr>
          </w:p>
          <w:p>
            <w:pPr>
              <w:widowControl/>
              <w:ind w:firstLine="48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三、公司主动申请退出试点资格或因违法违规经营被强制取消试点资格的，主动配合金融局完成退出试点、注销实体或变更为一般工商企业，自愿承担失信行为带来的信用约束。</w:t>
            </w:r>
          </w:p>
          <w:p>
            <w:pPr>
              <w:widowControl/>
              <w:ind w:firstLine="480"/>
              <w:jc w:val="left"/>
              <w:rPr>
                <w:rFonts w:ascii="仿宋_GB2312" w:hAnsi="仿宋_GB2312" w:eastAsia="仿宋_GB2312" w:cs="仿宋_GB2312"/>
                <w:kern w:val="0"/>
                <w:sz w:val="24"/>
              </w:rPr>
            </w:pPr>
          </w:p>
          <w:p>
            <w:pPr>
              <w:widowControl/>
              <w:spacing w:line="270" w:lineRule="atLeast"/>
              <w:jc w:val="center"/>
              <w:rPr>
                <w:rFonts w:ascii="仿宋" w:hAnsi="仿宋" w:eastAsia="仿宋" w:cs="Times New Roman"/>
                <w:kern w:val="0"/>
                <w:sz w:val="24"/>
                <w:szCs w:val="22"/>
              </w:rPr>
            </w:pPr>
          </w:p>
        </w:tc>
      </w:tr>
    </w:tbl>
    <w:p>
      <w:pPr>
        <w:rPr>
          <w:rFonts w:ascii="仿宋" w:hAnsi="仿宋" w:eastAsia="仿宋" w:cs="Times New Roman"/>
          <w:sz w:val="24"/>
          <w:szCs w:val="22"/>
        </w:rPr>
      </w:pPr>
    </w:p>
    <w:p>
      <w:pPr>
        <w:widowControl/>
        <w:rPr>
          <w:rFonts w:ascii="仿宋" w:hAnsi="仿宋" w:eastAsia="仿宋" w:cs="Times New Roman"/>
          <w:sz w:val="32"/>
          <w:szCs w:val="32"/>
        </w:rPr>
      </w:pPr>
      <w:r>
        <w:rPr>
          <w:rFonts w:hint="eastAsia" w:ascii="黑体" w:hAnsi="黑体" w:eastAsia="黑体" w:cs="黑体"/>
          <w:sz w:val="28"/>
          <w:szCs w:val="28"/>
        </w:rPr>
        <w:t>附件2</w:t>
      </w:r>
    </w:p>
    <w:p>
      <w:pPr>
        <w:widowControl/>
        <w:jc w:val="center"/>
        <w:rPr>
          <w:rFonts w:ascii="文星标宋" w:hAnsi="文星标宋" w:eastAsia="文星标宋" w:cs="文星标宋"/>
          <w:sz w:val="44"/>
          <w:szCs w:val="44"/>
        </w:rPr>
      </w:pPr>
      <w:r>
        <w:rPr>
          <w:rFonts w:hint="eastAsia" w:ascii="文星标宋" w:hAnsi="文星标宋" w:eastAsia="文星标宋" w:cs="文星标宋"/>
          <w:sz w:val="44"/>
          <w:szCs w:val="44"/>
        </w:rPr>
        <w:t>董事、监事、高级管理人员任职资格审核表</w:t>
      </w:r>
    </w:p>
    <w:tbl>
      <w:tblPr>
        <w:tblStyle w:val="15"/>
        <w:tblW w:w="0" w:type="auto"/>
        <w:tblInd w:w="-159" w:type="dxa"/>
        <w:tblBorders>
          <w:top w:val="single" w:color="auto" w:sz="4" w:space="0"/>
          <w:left w:val="single" w:color="auto" w:sz="4" w:space="0"/>
          <w:bottom w:val="none" w:color="auto" w:sz="0"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09"/>
        <w:gridCol w:w="615"/>
        <w:gridCol w:w="630"/>
        <w:gridCol w:w="342"/>
        <w:gridCol w:w="78"/>
        <w:gridCol w:w="772"/>
        <w:gridCol w:w="553"/>
        <w:gridCol w:w="790"/>
        <w:gridCol w:w="162"/>
        <w:gridCol w:w="887"/>
        <w:gridCol w:w="391"/>
        <w:gridCol w:w="145"/>
        <w:gridCol w:w="139"/>
        <w:gridCol w:w="1044"/>
        <w:gridCol w:w="340"/>
        <w:gridCol w:w="1528"/>
      </w:tblGrid>
      <w:tr>
        <w:tblPrEx>
          <w:tblBorders>
            <w:top w:val="single" w:color="auto" w:sz="4" w:space="0"/>
            <w:left w:val="single" w:color="auto" w:sz="4" w:space="0"/>
            <w:bottom w:val="none" w:color="auto" w:sz="0"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1424" w:type="dxa"/>
            <w:gridSpan w:val="2"/>
            <w:noWrap/>
            <w:vAlign w:val="center"/>
          </w:tcPr>
          <w:p>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szCs w:val="21"/>
              </w:rPr>
              <w:t>姓    名</w:t>
            </w:r>
          </w:p>
        </w:tc>
        <w:tc>
          <w:tcPr>
            <w:tcW w:w="1822" w:type="dxa"/>
            <w:gridSpan w:val="4"/>
            <w:noWrap/>
            <w:vAlign w:val="center"/>
          </w:tcPr>
          <w:p>
            <w:pPr>
              <w:spacing w:line="400" w:lineRule="exact"/>
              <w:jc w:val="center"/>
              <w:rPr>
                <w:rFonts w:ascii="仿宋_GB2312" w:hAnsi="仿宋_GB2312" w:eastAsia="仿宋_GB2312" w:cs="仿宋_GB2312"/>
                <w:szCs w:val="21"/>
              </w:rPr>
            </w:pPr>
          </w:p>
        </w:tc>
        <w:tc>
          <w:tcPr>
            <w:tcW w:w="1505" w:type="dxa"/>
            <w:gridSpan w:val="3"/>
            <w:noWrap/>
            <w:vAlign w:val="center"/>
          </w:tcPr>
          <w:p>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szCs w:val="21"/>
              </w:rPr>
              <w:t>性   别</w:t>
            </w:r>
          </w:p>
        </w:tc>
        <w:tc>
          <w:tcPr>
            <w:tcW w:w="887" w:type="dxa"/>
            <w:noWrap/>
            <w:vAlign w:val="center"/>
          </w:tcPr>
          <w:p>
            <w:pPr>
              <w:spacing w:line="400" w:lineRule="exact"/>
              <w:jc w:val="center"/>
              <w:rPr>
                <w:rFonts w:ascii="仿宋_GB2312" w:hAnsi="仿宋_GB2312" w:eastAsia="仿宋_GB2312" w:cs="仿宋_GB2312"/>
                <w:szCs w:val="21"/>
              </w:rPr>
            </w:pPr>
          </w:p>
        </w:tc>
        <w:tc>
          <w:tcPr>
            <w:tcW w:w="675" w:type="dxa"/>
            <w:gridSpan w:val="3"/>
            <w:noWrap/>
            <w:vAlign w:val="center"/>
          </w:tcPr>
          <w:p>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szCs w:val="21"/>
              </w:rPr>
              <w:t>民族</w:t>
            </w:r>
          </w:p>
        </w:tc>
        <w:tc>
          <w:tcPr>
            <w:tcW w:w="1044" w:type="dxa"/>
            <w:noWrap/>
            <w:vAlign w:val="center"/>
          </w:tcPr>
          <w:p>
            <w:pPr>
              <w:spacing w:line="400" w:lineRule="exact"/>
              <w:jc w:val="center"/>
              <w:rPr>
                <w:rFonts w:ascii="仿宋_GB2312" w:hAnsi="仿宋_GB2312" w:eastAsia="仿宋_GB2312" w:cs="仿宋_GB2312"/>
                <w:szCs w:val="21"/>
              </w:rPr>
            </w:pPr>
          </w:p>
        </w:tc>
        <w:tc>
          <w:tcPr>
            <w:tcW w:w="1868" w:type="dxa"/>
            <w:gridSpan w:val="2"/>
            <w:vMerge w:val="restart"/>
            <w:noWrap/>
          </w:tcPr>
          <w:p>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szCs w:val="21"/>
              </w:rPr>
              <w:t>贴</w:t>
            </w:r>
          </w:p>
          <w:p>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szCs w:val="21"/>
              </w:rPr>
              <w:t>照</w:t>
            </w:r>
          </w:p>
          <w:p>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szCs w:val="21"/>
              </w:rPr>
              <w:t>片</w:t>
            </w:r>
          </w:p>
          <w:p>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szCs w:val="21"/>
              </w:rPr>
              <w:t>处</w:t>
            </w:r>
          </w:p>
        </w:tc>
      </w:tr>
      <w:tr>
        <w:tblPrEx>
          <w:tblBorders>
            <w:top w:val="single" w:color="auto" w:sz="4" w:space="0"/>
            <w:left w:val="single" w:color="auto" w:sz="4" w:space="0"/>
            <w:bottom w:val="none" w:color="auto" w:sz="0"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08" w:hRule="exact"/>
        </w:trPr>
        <w:tc>
          <w:tcPr>
            <w:tcW w:w="1424" w:type="dxa"/>
            <w:gridSpan w:val="2"/>
            <w:noWrap/>
            <w:vAlign w:val="center"/>
          </w:tcPr>
          <w:p>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szCs w:val="21"/>
              </w:rPr>
              <w:t>出生年月</w:t>
            </w:r>
          </w:p>
        </w:tc>
        <w:tc>
          <w:tcPr>
            <w:tcW w:w="1822" w:type="dxa"/>
            <w:gridSpan w:val="4"/>
            <w:noWrap/>
            <w:vAlign w:val="center"/>
          </w:tcPr>
          <w:p>
            <w:pPr>
              <w:spacing w:line="400" w:lineRule="exact"/>
              <w:jc w:val="center"/>
              <w:rPr>
                <w:rFonts w:ascii="仿宋_GB2312" w:hAnsi="仿宋_GB2312" w:eastAsia="仿宋_GB2312" w:cs="仿宋_GB2312"/>
                <w:szCs w:val="21"/>
              </w:rPr>
            </w:pPr>
          </w:p>
        </w:tc>
        <w:tc>
          <w:tcPr>
            <w:tcW w:w="1505" w:type="dxa"/>
            <w:gridSpan w:val="3"/>
            <w:noWrap/>
            <w:vAlign w:val="center"/>
          </w:tcPr>
          <w:p>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szCs w:val="21"/>
              </w:rPr>
              <w:t>政治面貌</w:t>
            </w:r>
          </w:p>
        </w:tc>
        <w:tc>
          <w:tcPr>
            <w:tcW w:w="887" w:type="dxa"/>
            <w:noWrap/>
            <w:vAlign w:val="center"/>
          </w:tcPr>
          <w:p>
            <w:pPr>
              <w:spacing w:line="400" w:lineRule="exact"/>
              <w:jc w:val="center"/>
              <w:rPr>
                <w:rFonts w:ascii="仿宋_GB2312" w:hAnsi="仿宋_GB2312" w:eastAsia="仿宋_GB2312" w:cs="仿宋_GB2312"/>
                <w:szCs w:val="21"/>
              </w:rPr>
            </w:pPr>
          </w:p>
        </w:tc>
        <w:tc>
          <w:tcPr>
            <w:tcW w:w="675" w:type="dxa"/>
            <w:gridSpan w:val="3"/>
            <w:noWrap/>
            <w:vAlign w:val="center"/>
          </w:tcPr>
          <w:p>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szCs w:val="21"/>
              </w:rPr>
              <w:t>国籍</w:t>
            </w:r>
          </w:p>
        </w:tc>
        <w:tc>
          <w:tcPr>
            <w:tcW w:w="1044" w:type="dxa"/>
            <w:noWrap/>
            <w:vAlign w:val="center"/>
          </w:tcPr>
          <w:p>
            <w:pPr>
              <w:spacing w:line="400" w:lineRule="exact"/>
              <w:jc w:val="center"/>
              <w:rPr>
                <w:rFonts w:ascii="仿宋_GB2312" w:hAnsi="仿宋_GB2312" w:eastAsia="仿宋_GB2312" w:cs="仿宋_GB2312"/>
                <w:szCs w:val="21"/>
              </w:rPr>
            </w:pPr>
          </w:p>
        </w:tc>
        <w:tc>
          <w:tcPr>
            <w:tcW w:w="1868" w:type="dxa"/>
            <w:gridSpan w:val="2"/>
            <w:vMerge w:val="continue"/>
            <w:noWrap/>
          </w:tcPr>
          <w:p>
            <w:pPr>
              <w:spacing w:line="400" w:lineRule="exact"/>
              <w:rPr>
                <w:rFonts w:ascii="仿宋_GB2312" w:hAnsi="仿宋_GB2312" w:eastAsia="仿宋_GB2312" w:cs="仿宋_GB2312"/>
                <w:szCs w:val="21"/>
              </w:rPr>
            </w:pPr>
          </w:p>
        </w:tc>
      </w:tr>
      <w:tr>
        <w:tblPrEx>
          <w:tblBorders>
            <w:top w:val="single" w:color="auto" w:sz="4" w:space="0"/>
            <w:left w:val="single" w:color="auto" w:sz="4" w:space="0"/>
            <w:bottom w:val="none" w:color="auto" w:sz="0"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1424" w:type="dxa"/>
            <w:gridSpan w:val="2"/>
            <w:noWrap/>
            <w:vAlign w:val="center"/>
          </w:tcPr>
          <w:p>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szCs w:val="21"/>
              </w:rPr>
              <w:t>护照号码</w:t>
            </w:r>
          </w:p>
        </w:tc>
        <w:tc>
          <w:tcPr>
            <w:tcW w:w="1822" w:type="dxa"/>
            <w:gridSpan w:val="4"/>
            <w:noWrap/>
            <w:vAlign w:val="center"/>
          </w:tcPr>
          <w:p>
            <w:pPr>
              <w:spacing w:line="400" w:lineRule="exact"/>
              <w:jc w:val="center"/>
              <w:rPr>
                <w:rFonts w:ascii="仿宋_GB2312" w:hAnsi="仿宋_GB2312" w:eastAsia="仿宋_GB2312" w:cs="仿宋_GB2312"/>
                <w:szCs w:val="21"/>
              </w:rPr>
            </w:pPr>
          </w:p>
        </w:tc>
        <w:tc>
          <w:tcPr>
            <w:tcW w:w="1505" w:type="dxa"/>
            <w:gridSpan w:val="3"/>
            <w:noWrap/>
            <w:vAlign w:val="center"/>
          </w:tcPr>
          <w:p>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szCs w:val="21"/>
              </w:rPr>
              <w:t>身份证号</w:t>
            </w:r>
          </w:p>
        </w:tc>
        <w:tc>
          <w:tcPr>
            <w:tcW w:w="2606" w:type="dxa"/>
            <w:gridSpan w:val="5"/>
            <w:noWrap/>
            <w:vAlign w:val="center"/>
          </w:tcPr>
          <w:p>
            <w:pPr>
              <w:spacing w:line="400" w:lineRule="exact"/>
              <w:jc w:val="center"/>
              <w:rPr>
                <w:rFonts w:ascii="仿宋_GB2312" w:hAnsi="仿宋_GB2312" w:eastAsia="仿宋_GB2312" w:cs="仿宋_GB2312"/>
                <w:szCs w:val="21"/>
              </w:rPr>
            </w:pPr>
          </w:p>
        </w:tc>
        <w:tc>
          <w:tcPr>
            <w:tcW w:w="1868" w:type="dxa"/>
            <w:gridSpan w:val="2"/>
            <w:vMerge w:val="continue"/>
            <w:noWrap/>
            <w:vAlign w:val="center"/>
          </w:tcPr>
          <w:p>
            <w:pPr>
              <w:spacing w:line="400" w:lineRule="exact"/>
              <w:rPr>
                <w:rFonts w:ascii="仿宋_GB2312" w:hAnsi="仿宋_GB2312" w:eastAsia="仿宋_GB2312" w:cs="仿宋_GB2312"/>
                <w:szCs w:val="21"/>
              </w:rPr>
            </w:pPr>
          </w:p>
        </w:tc>
      </w:tr>
      <w:tr>
        <w:tblPrEx>
          <w:tblBorders>
            <w:top w:val="single" w:color="auto" w:sz="4" w:space="0"/>
            <w:left w:val="single" w:color="auto" w:sz="4" w:space="0"/>
            <w:bottom w:val="none" w:color="auto" w:sz="0"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1" w:hRule="atLeast"/>
        </w:trPr>
        <w:tc>
          <w:tcPr>
            <w:tcW w:w="1424" w:type="dxa"/>
            <w:gridSpan w:val="2"/>
            <w:noWrap/>
            <w:vAlign w:val="center"/>
          </w:tcPr>
          <w:p>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szCs w:val="21"/>
              </w:rPr>
              <w:t>学   历</w:t>
            </w:r>
          </w:p>
        </w:tc>
        <w:tc>
          <w:tcPr>
            <w:tcW w:w="1822" w:type="dxa"/>
            <w:gridSpan w:val="4"/>
            <w:noWrap/>
            <w:vAlign w:val="center"/>
          </w:tcPr>
          <w:p>
            <w:pPr>
              <w:spacing w:line="400" w:lineRule="exact"/>
              <w:jc w:val="center"/>
              <w:rPr>
                <w:rFonts w:ascii="仿宋_GB2312" w:hAnsi="仿宋_GB2312" w:eastAsia="仿宋_GB2312" w:cs="仿宋_GB2312"/>
                <w:szCs w:val="21"/>
              </w:rPr>
            </w:pPr>
          </w:p>
        </w:tc>
        <w:tc>
          <w:tcPr>
            <w:tcW w:w="1505" w:type="dxa"/>
            <w:gridSpan w:val="3"/>
            <w:noWrap/>
            <w:vAlign w:val="center"/>
          </w:tcPr>
          <w:p>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专   业</w:t>
            </w:r>
          </w:p>
        </w:tc>
        <w:tc>
          <w:tcPr>
            <w:tcW w:w="2606" w:type="dxa"/>
            <w:gridSpan w:val="5"/>
            <w:noWrap/>
            <w:vAlign w:val="center"/>
          </w:tcPr>
          <w:p>
            <w:pPr>
              <w:spacing w:line="400" w:lineRule="exact"/>
              <w:jc w:val="center"/>
              <w:rPr>
                <w:rFonts w:ascii="仿宋_GB2312" w:hAnsi="仿宋_GB2312" w:eastAsia="仿宋_GB2312" w:cs="仿宋_GB2312"/>
                <w:szCs w:val="21"/>
              </w:rPr>
            </w:pPr>
          </w:p>
        </w:tc>
        <w:tc>
          <w:tcPr>
            <w:tcW w:w="1868" w:type="dxa"/>
            <w:gridSpan w:val="2"/>
            <w:vMerge w:val="continue"/>
            <w:noWrap/>
            <w:vAlign w:val="center"/>
          </w:tcPr>
          <w:p>
            <w:pPr>
              <w:spacing w:line="400" w:lineRule="exact"/>
              <w:rPr>
                <w:rFonts w:ascii="仿宋_GB2312" w:hAnsi="仿宋_GB2312" w:eastAsia="仿宋_GB2312" w:cs="仿宋_GB2312"/>
                <w:szCs w:val="21"/>
              </w:rPr>
            </w:pPr>
          </w:p>
        </w:tc>
      </w:tr>
      <w:tr>
        <w:tblPrEx>
          <w:tblBorders>
            <w:top w:val="single" w:color="auto" w:sz="4" w:space="0"/>
            <w:left w:val="single" w:color="auto" w:sz="4" w:space="0"/>
            <w:bottom w:val="none" w:color="auto" w:sz="0"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58" w:hRule="atLeast"/>
        </w:trPr>
        <w:tc>
          <w:tcPr>
            <w:tcW w:w="1424" w:type="dxa"/>
            <w:gridSpan w:val="2"/>
            <w:noWrap/>
            <w:vAlign w:val="center"/>
          </w:tcPr>
          <w:p>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szCs w:val="21"/>
              </w:rPr>
              <w:t>学   位</w:t>
            </w:r>
          </w:p>
        </w:tc>
        <w:tc>
          <w:tcPr>
            <w:tcW w:w="1822" w:type="dxa"/>
            <w:gridSpan w:val="4"/>
            <w:noWrap/>
            <w:vAlign w:val="center"/>
          </w:tcPr>
          <w:p>
            <w:pPr>
              <w:spacing w:line="400" w:lineRule="exact"/>
              <w:jc w:val="center"/>
              <w:rPr>
                <w:rFonts w:ascii="仿宋_GB2312" w:hAnsi="仿宋_GB2312" w:eastAsia="仿宋_GB2312" w:cs="仿宋_GB2312"/>
                <w:szCs w:val="21"/>
              </w:rPr>
            </w:pPr>
          </w:p>
        </w:tc>
        <w:tc>
          <w:tcPr>
            <w:tcW w:w="1505" w:type="dxa"/>
            <w:gridSpan w:val="3"/>
            <w:noWrap/>
            <w:vAlign w:val="center"/>
          </w:tcPr>
          <w:p>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szCs w:val="21"/>
              </w:rPr>
              <w:t>毕业院校</w:t>
            </w:r>
          </w:p>
        </w:tc>
        <w:tc>
          <w:tcPr>
            <w:tcW w:w="4474" w:type="dxa"/>
            <w:gridSpan w:val="7"/>
            <w:noWrap/>
            <w:vAlign w:val="center"/>
          </w:tcPr>
          <w:p>
            <w:pPr>
              <w:spacing w:line="400" w:lineRule="exact"/>
              <w:jc w:val="center"/>
              <w:rPr>
                <w:rFonts w:ascii="仿宋_GB2312" w:hAnsi="仿宋_GB2312" w:eastAsia="仿宋_GB2312" w:cs="仿宋_GB2312"/>
                <w:szCs w:val="21"/>
              </w:rPr>
            </w:pPr>
          </w:p>
        </w:tc>
      </w:tr>
      <w:tr>
        <w:tblPrEx>
          <w:tblBorders>
            <w:top w:val="single" w:color="auto" w:sz="4" w:space="0"/>
            <w:left w:val="single" w:color="auto" w:sz="4" w:space="0"/>
            <w:bottom w:val="none" w:color="auto" w:sz="0"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51" w:hRule="atLeast"/>
        </w:trPr>
        <w:tc>
          <w:tcPr>
            <w:tcW w:w="1424" w:type="dxa"/>
            <w:gridSpan w:val="2"/>
            <w:noWrap/>
            <w:vAlign w:val="center"/>
          </w:tcPr>
          <w:p>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szCs w:val="21"/>
              </w:rPr>
              <w:t>毕业时间</w:t>
            </w:r>
          </w:p>
        </w:tc>
        <w:tc>
          <w:tcPr>
            <w:tcW w:w="1822" w:type="dxa"/>
            <w:gridSpan w:val="4"/>
            <w:noWrap/>
            <w:vAlign w:val="center"/>
          </w:tcPr>
          <w:p>
            <w:pPr>
              <w:spacing w:line="400" w:lineRule="exact"/>
              <w:jc w:val="center"/>
              <w:rPr>
                <w:rFonts w:ascii="仿宋_GB2312" w:hAnsi="仿宋_GB2312" w:eastAsia="仿宋_GB2312" w:cs="仿宋_GB2312"/>
                <w:szCs w:val="21"/>
              </w:rPr>
            </w:pPr>
          </w:p>
        </w:tc>
        <w:tc>
          <w:tcPr>
            <w:tcW w:w="1505" w:type="dxa"/>
            <w:gridSpan w:val="3"/>
            <w:noWrap/>
            <w:vAlign w:val="center"/>
          </w:tcPr>
          <w:p>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szCs w:val="21"/>
              </w:rPr>
              <w:t>参加工作时间</w:t>
            </w:r>
          </w:p>
        </w:tc>
        <w:tc>
          <w:tcPr>
            <w:tcW w:w="4474" w:type="dxa"/>
            <w:gridSpan w:val="7"/>
            <w:noWrap/>
            <w:vAlign w:val="center"/>
          </w:tcPr>
          <w:p>
            <w:pPr>
              <w:spacing w:line="400" w:lineRule="exact"/>
              <w:jc w:val="center"/>
              <w:rPr>
                <w:rFonts w:ascii="仿宋_GB2312" w:hAnsi="仿宋_GB2312" w:eastAsia="仿宋_GB2312" w:cs="仿宋_GB2312"/>
                <w:szCs w:val="21"/>
              </w:rPr>
            </w:pPr>
          </w:p>
        </w:tc>
      </w:tr>
      <w:tr>
        <w:tblPrEx>
          <w:tblBorders>
            <w:top w:val="single" w:color="auto" w:sz="4" w:space="0"/>
            <w:left w:val="single" w:color="auto" w:sz="4" w:space="0"/>
            <w:bottom w:val="none" w:color="auto" w:sz="0"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2" w:hRule="atLeast"/>
        </w:trPr>
        <w:tc>
          <w:tcPr>
            <w:tcW w:w="1424" w:type="dxa"/>
            <w:gridSpan w:val="2"/>
            <w:noWrap/>
            <w:vAlign w:val="center"/>
          </w:tcPr>
          <w:p>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szCs w:val="21"/>
              </w:rPr>
              <w:t>技术职称</w:t>
            </w:r>
          </w:p>
        </w:tc>
        <w:tc>
          <w:tcPr>
            <w:tcW w:w="1822" w:type="dxa"/>
            <w:gridSpan w:val="4"/>
            <w:noWrap/>
            <w:vAlign w:val="center"/>
          </w:tcPr>
          <w:p>
            <w:pPr>
              <w:spacing w:line="400" w:lineRule="exact"/>
              <w:jc w:val="center"/>
              <w:rPr>
                <w:rFonts w:ascii="仿宋_GB2312" w:hAnsi="仿宋_GB2312" w:eastAsia="仿宋_GB2312" w:cs="仿宋_GB2312"/>
                <w:szCs w:val="21"/>
              </w:rPr>
            </w:pPr>
          </w:p>
        </w:tc>
        <w:tc>
          <w:tcPr>
            <w:tcW w:w="1505" w:type="dxa"/>
            <w:gridSpan w:val="3"/>
            <w:noWrap/>
            <w:vAlign w:val="center"/>
          </w:tcPr>
          <w:p>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szCs w:val="21"/>
              </w:rPr>
              <w:t>授予部门</w:t>
            </w:r>
          </w:p>
        </w:tc>
        <w:tc>
          <w:tcPr>
            <w:tcW w:w="4474" w:type="dxa"/>
            <w:gridSpan w:val="7"/>
            <w:noWrap/>
            <w:vAlign w:val="center"/>
          </w:tcPr>
          <w:p>
            <w:pPr>
              <w:spacing w:line="400" w:lineRule="exact"/>
              <w:jc w:val="center"/>
              <w:rPr>
                <w:rFonts w:ascii="仿宋_GB2312" w:hAnsi="仿宋_GB2312" w:eastAsia="仿宋_GB2312" w:cs="仿宋_GB2312"/>
                <w:szCs w:val="21"/>
              </w:rPr>
            </w:pPr>
          </w:p>
        </w:tc>
      </w:tr>
      <w:tr>
        <w:tblPrEx>
          <w:tblBorders>
            <w:top w:val="single" w:color="auto" w:sz="4" w:space="0"/>
            <w:left w:val="single" w:color="auto" w:sz="4" w:space="0"/>
            <w:bottom w:val="none" w:color="auto" w:sz="0"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1424" w:type="dxa"/>
            <w:gridSpan w:val="2"/>
            <w:noWrap/>
            <w:vAlign w:val="center"/>
          </w:tcPr>
          <w:p>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szCs w:val="21"/>
              </w:rPr>
              <w:t>家庭地址</w:t>
            </w:r>
          </w:p>
        </w:tc>
        <w:tc>
          <w:tcPr>
            <w:tcW w:w="7801" w:type="dxa"/>
            <w:gridSpan w:val="14"/>
            <w:noWrap/>
            <w:vAlign w:val="center"/>
          </w:tcPr>
          <w:p>
            <w:pPr>
              <w:spacing w:line="400" w:lineRule="exact"/>
              <w:ind w:left="357"/>
              <w:jc w:val="center"/>
              <w:rPr>
                <w:rFonts w:ascii="仿宋_GB2312" w:hAnsi="仿宋_GB2312" w:eastAsia="仿宋_GB2312" w:cs="仿宋_GB2312"/>
                <w:szCs w:val="21"/>
              </w:rPr>
            </w:pPr>
          </w:p>
        </w:tc>
      </w:tr>
      <w:tr>
        <w:tblPrEx>
          <w:tblBorders>
            <w:top w:val="single" w:color="auto" w:sz="4" w:space="0"/>
            <w:left w:val="single" w:color="auto" w:sz="4" w:space="0"/>
            <w:bottom w:val="none" w:color="auto" w:sz="0"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8" w:hRule="atLeast"/>
        </w:trPr>
        <w:tc>
          <w:tcPr>
            <w:tcW w:w="2396" w:type="dxa"/>
            <w:gridSpan w:val="4"/>
            <w:noWrap/>
            <w:vAlign w:val="center"/>
          </w:tcPr>
          <w:p>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szCs w:val="21"/>
              </w:rPr>
              <w:t>小贷/金融工作年限</w:t>
            </w:r>
          </w:p>
        </w:tc>
        <w:tc>
          <w:tcPr>
            <w:tcW w:w="1403" w:type="dxa"/>
            <w:gridSpan w:val="3"/>
            <w:noWrap/>
            <w:vAlign w:val="center"/>
          </w:tcPr>
          <w:p>
            <w:pPr>
              <w:spacing w:line="400" w:lineRule="exact"/>
              <w:jc w:val="center"/>
              <w:rPr>
                <w:rFonts w:ascii="仿宋_GB2312" w:hAnsi="仿宋_GB2312" w:eastAsia="仿宋_GB2312" w:cs="仿宋_GB2312"/>
                <w:szCs w:val="21"/>
              </w:rPr>
            </w:pPr>
          </w:p>
        </w:tc>
        <w:tc>
          <w:tcPr>
            <w:tcW w:w="2375" w:type="dxa"/>
            <w:gridSpan w:val="5"/>
            <w:noWrap/>
            <w:vAlign w:val="center"/>
          </w:tcPr>
          <w:p>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szCs w:val="21"/>
              </w:rPr>
              <w:t>相关经济工作年限</w:t>
            </w:r>
          </w:p>
        </w:tc>
        <w:tc>
          <w:tcPr>
            <w:tcW w:w="3051" w:type="dxa"/>
            <w:gridSpan w:val="4"/>
            <w:noWrap/>
            <w:vAlign w:val="center"/>
          </w:tcPr>
          <w:p>
            <w:pPr>
              <w:spacing w:line="400" w:lineRule="exact"/>
              <w:jc w:val="center"/>
              <w:rPr>
                <w:rFonts w:ascii="仿宋_GB2312" w:hAnsi="仿宋_GB2312" w:eastAsia="仿宋_GB2312" w:cs="仿宋_GB2312"/>
                <w:szCs w:val="21"/>
              </w:rPr>
            </w:pPr>
          </w:p>
        </w:tc>
      </w:tr>
      <w:tr>
        <w:tblPrEx>
          <w:tblBorders>
            <w:top w:val="single" w:color="auto" w:sz="4" w:space="0"/>
            <w:left w:val="single" w:color="auto" w:sz="4" w:space="0"/>
            <w:bottom w:val="none" w:color="auto" w:sz="0"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8" w:hRule="atLeast"/>
        </w:trPr>
        <w:tc>
          <w:tcPr>
            <w:tcW w:w="1424" w:type="dxa"/>
            <w:gridSpan w:val="2"/>
            <w:noWrap/>
            <w:vAlign w:val="center"/>
          </w:tcPr>
          <w:p>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szCs w:val="21"/>
              </w:rPr>
              <w:t>拟任职务</w:t>
            </w:r>
          </w:p>
        </w:tc>
        <w:tc>
          <w:tcPr>
            <w:tcW w:w="2375" w:type="dxa"/>
            <w:gridSpan w:val="5"/>
            <w:noWrap/>
            <w:vAlign w:val="center"/>
          </w:tcPr>
          <w:p>
            <w:pPr>
              <w:spacing w:line="400" w:lineRule="exact"/>
              <w:jc w:val="center"/>
              <w:rPr>
                <w:rFonts w:ascii="仿宋_GB2312" w:hAnsi="仿宋_GB2312" w:eastAsia="仿宋_GB2312" w:cs="仿宋_GB2312"/>
                <w:szCs w:val="21"/>
              </w:rPr>
            </w:pPr>
          </w:p>
        </w:tc>
        <w:tc>
          <w:tcPr>
            <w:tcW w:w="2375" w:type="dxa"/>
            <w:gridSpan w:val="5"/>
            <w:noWrap/>
            <w:vAlign w:val="center"/>
          </w:tcPr>
          <w:p>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szCs w:val="21"/>
              </w:rPr>
              <w:t>原任职务</w:t>
            </w:r>
          </w:p>
        </w:tc>
        <w:tc>
          <w:tcPr>
            <w:tcW w:w="3051" w:type="dxa"/>
            <w:gridSpan w:val="4"/>
            <w:noWrap/>
            <w:vAlign w:val="center"/>
          </w:tcPr>
          <w:p>
            <w:pPr>
              <w:spacing w:line="400" w:lineRule="exact"/>
              <w:jc w:val="center"/>
              <w:rPr>
                <w:rFonts w:ascii="仿宋_GB2312" w:hAnsi="仿宋_GB2312" w:eastAsia="仿宋_GB2312" w:cs="仿宋_GB2312"/>
                <w:szCs w:val="21"/>
              </w:rPr>
            </w:pPr>
          </w:p>
        </w:tc>
      </w:tr>
      <w:tr>
        <w:tblPrEx>
          <w:tblBorders>
            <w:top w:val="single" w:color="auto" w:sz="4" w:space="0"/>
            <w:left w:val="single" w:color="auto" w:sz="4" w:space="0"/>
            <w:bottom w:val="none" w:color="auto" w:sz="0"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6" w:hRule="atLeast"/>
        </w:trPr>
        <w:tc>
          <w:tcPr>
            <w:tcW w:w="809" w:type="dxa"/>
            <w:vMerge w:val="restart"/>
            <w:noWrap/>
            <w:vAlign w:val="center"/>
          </w:tcPr>
          <w:p>
            <w:pPr>
              <w:spacing w:line="360" w:lineRule="auto"/>
              <w:jc w:val="center"/>
              <w:rPr>
                <w:rFonts w:ascii="仿宋_GB2312" w:hAnsi="仿宋_GB2312" w:eastAsia="仿宋_GB2312" w:cs="仿宋_GB2312"/>
                <w:szCs w:val="21"/>
              </w:rPr>
            </w:pPr>
            <w:r>
              <w:rPr>
                <w:rFonts w:hint="eastAsia" w:ascii="仿宋_GB2312" w:hAnsi="仿宋_GB2312" w:eastAsia="仿宋_GB2312" w:cs="仿宋_GB2312"/>
                <w:kern w:val="0"/>
                <w:szCs w:val="21"/>
              </w:rPr>
              <w:t>学习经历</w:t>
            </w:r>
          </w:p>
        </w:tc>
        <w:tc>
          <w:tcPr>
            <w:tcW w:w="1245" w:type="dxa"/>
            <w:gridSpan w:val="2"/>
            <w:noWrap/>
            <w:vAlign w:val="center"/>
          </w:tcPr>
          <w:p>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szCs w:val="21"/>
              </w:rPr>
              <w:t>起止年月</w:t>
            </w:r>
          </w:p>
        </w:tc>
        <w:tc>
          <w:tcPr>
            <w:tcW w:w="2535" w:type="dxa"/>
            <w:gridSpan w:val="5"/>
            <w:noWrap/>
            <w:vAlign w:val="center"/>
          </w:tcPr>
          <w:p>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szCs w:val="21"/>
              </w:rPr>
              <w:t>院     校</w:t>
            </w:r>
          </w:p>
        </w:tc>
        <w:tc>
          <w:tcPr>
            <w:tcW w:w="1440" w:type="dxa"/>
            <w:gridSpan w:val="3"/>
            <w:noWrap/>
            <w:vAlign w:val="center"/>
          </w:tcPr>
          <w:p>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专   业</w:t>
            </w:r>
          </w:p>
        </w:tc>
        <w:tc>
          <w:tcPr>
            <w:tcW w:w="1668" w:type="dxa"/>
            <w:gridSpan w:val="4"/>
            <w:noWrap/>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毕（结、肄）业</w:t>
            </w:r>
          </w:p>
        </w:tc>
        <w:tc>
          <w:tcPr>
            <w:tcW w:w="1528" w:type="dxa"/>
            <w:noWrap/>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脱产/在职</w:t>
            </w:r>
          </w:p>
        </w:tc>
      </w:tr>
      <w:tr>
        <w:tblPrEx>
          <w:tblBorders>
            <w:top w:val="single" w:color="auto" w:sz="4" w:space="0"/>
            <w:left w:val="single" w:color="auto" w:sz="4" w:space="0"/>
            <w:bottom w:val="none" w:color="auto" w:sz="0"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10" w:hRule="atLeast"/>
        </w:trPr>
        <w:tc>
          <w:tcPr>
            <w:tcW w:w="809" w:type="dxa"/>
            <w:vMerge w:val="continue"/>
            <w:noWrap/>
            <w:vAlign w:val="center"/>
          </w:tcPr>
          <w:p>
            <w:pPr>
              <w:spacing w:line="400" w:lineRule="exact"/>
              <w:jc w:val="center"/>
              <w:rPr>
                <w:rFonts w:ascii="仿宋_GB2312" w:hAnsi="仿宋_GB2312" w:eastAsia="仿宋_GB2312" w:cs="仿宋_GB2312"/>
                <w:szCs w:val="21"/>
              </w:rPr>
            </w:pPr>
          </w:p>
        </w:tc>
        <w:tc>
          <w:tcPr>
            <w:tcW w:w="1245" w:type="dxa"/>
            <w:gridSpan w:val="2"/>
            <w:noWrap/>
            <w:vAlign w:val="center"/>
          </w:tcPr>
          <w:p>
            <w:pPr>
              <w:spacing w:line="400" w:lineRule="exact"/>
              <w:jc w:val="center"/>
              <w:rPr>
                <w:rFonts w:ascii="仿宋_GB2312" w:hAnsi="仿宋_GB2312" w:eastAsia="仿宋_GB2312" w:cs="仿宋_GB2312"/>
                <w:szCs w:val="21"/>
              </w:rPr>
            </w:pPr>
          </w:p>
        </w:tc>
        <w:tc>
          <w:tcPr>
            <w:tcW w:w="2535" w:type="dxa"/>
            <w:gridSpan w:val="5"/>
            <w:noWrap/>
            <w:vAlign w:val="center"/>
          </w:tcPr>
          <w:p>
            <w:pPr>
              <w:spacing w:line="400" w:lineRule="exact"/>
              <w:jc w:val="center"/>
              <w:rPr>
                <w:rFonts w:ascii="仿宋_GB2312" w:hAnsi="仿宋_GB2312" w:eastAsia="仿宋_GB2312" w:cs="仿宋_GB2312"/>
                <w:szCs w:val="21"/>
              </w:rPr>
            </w:pPr>
          </w:p>
        </w:tc>
        <w:tc>
          <w:tcPr>
            <w:tcW w:w="1440" w:type="dxa"/>
            <w:gridSpan w:val="3"/>
            <w:noWrap/>
            <w:vAlign w:val="center"/>
          </w:tcPr>
          <w:p>
            <w:pPr>
              <w:spacing w:line="400" w:lineRule="exact"/>
              <w:jc w:val="center"/>
              <w:rPr>
                <w:rFonts w:ascii="仿宋_GB2312" w:hAnsi="仿宋_GB2312" w:eastAsia="仿宋_GB2312" w:cs="仿宋_GB2312"/>
                <w:szCs w:val="21"/>
              </w:rPr>
            </w:pPr>
          </w:p>
        </w:tc>
        <w:tc>
          <w:tcPr>
            <w:tcW w:w="1668" w:type="dxa"/>
            <w:gridSpan w:val="4"/>
            <w:noWrap/>
            <w:vAlign w:val="center"/>
          </w:tcPr>
          <w:p>
            <w:pPr>
              <w:spacing w:line="400" w:lineRule="exact"/>
              <w:jc w:val="center"/>
              <w:rPr>
                <w:rFonts w:ascii="仿宋_GB2312" w:hAnsi="仿宋_GB2312" w:eastAsia="仿宋_GB2312" w:cs="仿宋_GB2312"/>
                <w:szCs w:val="21"/>
              </w:rPr>
            </w:pPr>
          </w:p>
        </w:tc>
        <w:tc>
          <w:tcPr>
            <w:tcW w:w="1528" w:type="dxa"/>
            <w:noWrap/>
            <w:vAlign w:val="center"/>
          </w:tcPr>
          <w:p>
            <w:pPr>
              <w:spacing w:line="400" w:lineRule="exact"/>
              <w:rPr>
                <w:rFonts w:ascii="仿宋_GB2312" w:hAnsi="仿宋_GB2312" w:eastAsia="仿宋_GB2312" w:cs="仿宋_GB2312"/>
                <w:szCs w:val="21"/>
              </w:rPr>
            </w:pPr>
          </w:p>
        </w:tc>
      </w:tr>
      <w:tr>
        <w:tblPrEx>
          <w:tblBorders>
            <w:top w:val="single" w:color="auto" w:sz="4" w:space="0"/>
            <w:left w:val="single" w:color="auto" w:sz="4" w:space="0"/>
            <w:bottom w:val="none" w:color="auto" w:sz="0"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8" w:hRule="atLeast"/>
        </w:trPr>
        <w:tc>
          <w:tcPr>
            <w:tcW w:w="809" w:type="dxa"/>
            <w:vMerge w:val="continue"/>
            <w:noWrap/>
            <w:vAlign w:val="center"/>
          </w:tcPr>
          <w:p>
            <w:pPr>
              <w:spacing w:line="400" w:lineRule="exact"/>
              <w:jc w:val="center"/>
              <w:rPr>
                <w:rFonts w:ascii="仿宋_GB2312" w:hAnsi="仿宋_GB2312" w:eastAsia="仿宋_GB2312" w:cs="仿宋_GB2312"/>
                <w:szCs w:val="21"/>
              </w:rPr>
            </w:pPr>
          </w:p>
        </w:tc>
        <w:tc>
          <w:tcPr>
            <w:tcW w:w="1245" w:type="dxa"/>
            <w:gridSpan w:val="2"/>
            <w:noWrap/>
            <w:vAlign w:val="center"/>
          </w:tcPr>
          <w:p>
            <w:pPr>
              <w:spacing w:line="400" w:lineRule="exact"/>
              <w:jc w:val="center"/>
              <w:rPr>
                <w:rFonts w:ascii="仿宋_GB2312" w:hAnsi="仿宋_GB2312" w:eastAsia="仿宋_GB2312" w:cs="仿宋_GB2312"/>
                <w:szCs w:val="21"/>
              </w:rPr>
            </w:pPr>
          </w:p>
        </w:tc>
        <w:tc>
          <w:tcPr>
            <w:tcW w:w="2535" w:type="dxa"/>
            <w:gridSpan w:val="5"/>
            <w:noWrap/>
            <w:vAlign w:val="center"/>
          </w:tcPr>
          <w:p>
            <w:pPr>
              <w:spacing w:line="400" w:lineRule="exact"/>
              <w:jc w:val="center"/>
              <w:rPr>
                <w:rFonts w:ascii="仿宋_GB2312" w:hAnsi="仿宋_GB2312" w:eastAsia="仿宋_GB2312" w:cs="仿宋_GB2312"/>
                <w:szCs w:val="21"/>
              </w:rPr>
            </w:pPr>
          </w:p>
        </w:tc>
        <w:tc>
          <w:tcPr>
            <w:tcW w:w="1440" w:type="dxa"/>
            <w:gridSpan w:val="3"/>
            <w:noWrap/>
            <w:vAlign w:val="center"/>
          </w:tcPr>
          <w:p>
            <w:pPr>
              <w:spacing w:line="400" w:lineRule="exact"/>
              <w:jc w:val="center"/>
              <w:rPr>
                <w:rFonts w:ascii="仿宋_GB2312" w:hAnsi="仿宋_GB2312" w:eastAsia="仿宋_GB2312" w:cs="仿宋_GB2312"/>
                <w:szCs w:val="21"/>
              </w:rPr>
            </w:pPr>
          </w:p>
        </w:tc>
        <w:tc>
          <w:tcPr>
            <w:tcW w:w="1668" w:type="dxa"/>
            <w:gridSpan w:val="4"/>
            <w:noWrap/>
            <w:vAlign w:val="center"/>
          </w:tcPr>
          <w:p>
            <w:pPr>
              <w:spacing w:line="400" w:lineRule="exact"/>
              <w:jc w:val="center"/>
              <w:rPr>
                <w:rFonts w:ascii="仿宋_GB2312" w:hAnsi="仿宋_GB2312" w:eastAsia="仿宋_GB2312" w:cs="仿宋_GB2312"/>
                <w:szCs w:val="21"/>
              </w:rPr>
            </w:pPr>
          </w:p>
        </w:tc>
        <w:tc>
          <w:tcPr>
            <w:tcW w:w="1528" w:type="dxa"/>
            <w:noWrap/>
            <w:vAlign w:val="center"/>
          </w:tcPr>
          <w:p>
            <w:pPr>
              <w:spacing w:line="400" w:lineRule="exact"/>
              <w:rPr>
                <w:rFonts w:ascii="仿宋_GB2312" w:hAnsi="仿宋_GB2312" w:eastAsia="仿宋_GB2312" w:cs="仿宋_GB2312"/>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exact"/>
        </w:trPr>
        <w:tc>
          <w:tcPr>
            <w:tcW w:w="809" w:type="dxa"/>
            <w:vMerge w:val="restart"/>
            <w:noWrap/>
          </w:tcPr>
          <w:p>
            <w:pPr>
              <w:spacing w:line="360" w:lineRule="auto"/>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培训经历</w:t>
            </w:r>
          </w:p>
        </w:tc>
        <w:tc>
          <w:tcPr>
            <w:tcW w:w="1245" w:type="dxa"/>
            <w:gridSpan w:val="2"/>
            <w:noWrap/>
            <w:vAlign w:val="center"/>
          </w:tcPr>
          <w:p>
            <w:pPr>
              <w:spacing w:line="400" w:lineRule="exact"/>
              <w:ind w:firstLine="105" w:firstLineChars="50"/>
              <w:rPr>
                <w:rFonts w:ascii="仿宋_GB2312" w:hAnsi="仿宋_GB2312" w:eastAsia="仿宋_GB2312" w:cs="仿宋_GB2312"/>
                <w:kern w:val="0"/>
                <w:szCs w:val="21"/>
              </w:rPr>
            </w:pPr>
            <w:r>
              <w:rPr>
                <w:rFonts w:hint="eastAsia" w:ascii="仿宋_GB2312" w:hAnsi="仿宋_GB2312" w:eastAsia="仿宋_GB2312" w:cs="仿宋_GB2312"/>
                <w:kern w:val="0"/>
                <w:szCs w:val="21"/>
              </w:rPr>
              <w:t>起止年月</w:t>
            </w:r>
          </w:p>
        </w:tc>
        <w:tc>
          <w:tcPr>
            <w:tcW w:w="2535" w:type="dxa"/>
            <w:gridSpan w:val="5"/>
            <w:noWrap/>
            <w:vAlign w:val="center"/>
          </w:tcPr>
          <w:p>
            <w:pPr>
              <w:spacing w:line="400" w:lineRule="exact"/>
              <w:ind w:firstLine="630" w:firstLineChars="300"/>
              <w:rPr>
                <w:rFonts w:ascii="仿宋_GB2312" w:hAnsi="仿宋_GB2312" w:eastAsia="仿宋_GB2312" w:cs="仿宋_GB2312"/>
                <w:kern w:val="0"/>
                <w:szCs w:val="21"/>
              </w:rPr>
            </w:pPr>
            <w:r>
              <w:rPr>
                <w:rFonts w:hint="eastAsia" w:ascii="仿宋_GB2312" w:hAnsi="仿宋_GB2312" w:eastAsia="仿宋_GB2312" w:cs="仿宋_GB2312"/>
                <w:kern w:val="0"/>
                <w:szCs w:val="21"/>
              </w:rPr>
              <w:t>举办单位</w:t>
            </w:r>
          </w:p>
        </w:tc>
        <w:tc>
          <w:tcPr>
            <w:tcW w:w="1440" w:type="dxa"/>
            <w:gridSpan w:val="3"/>
            <w:noWrap/>
            <w:vAlign w:val="center"/>
          </w:tcPr>
          <w:p>
            <w:pPr>
              <w:spacing w:line="400" w:lineRule="exact"/>
              <w:ind w:firstLine="105" w:firstLineChars="50"/>
              <w:rPr>
                <w:rFonts w:ascii="仿宋_GB2312" w:hAnsi="仿宋_GB2312" w:eastAsia="仿宋_GB2312" w:cs="仿宋_GB2312"/>
                <w:kern w:val="0"/>
                <w:szCs w:val="21"/>
              </w:rPr>
            </w:pPr>
            <w:r>
              <w:rPr>
                <w:rFonts w:hint="eastAsia" w:ascii="仿宋_GB2312" w:hAnsi="仿宋_GB2312" w:eastAsia="仿宋_GB2312" w:cs="仿宋_GB2312"/>
                <w:kern w:val="0"/>
                <w:szCs w:val="21"/>
              </w:rPr>
              <w:t>培训内容</w:t>
            </w:r>
          </w:p>
        </w:tc>
        <w:tc>
          <w:tcPr>
            <w:tcW w:w="3196" w:type="dxa"/>
            <w:gridSpan w:val="5"/>
            <w:noWrap/>
            <w:vAlign w:val="center"/>
          </w:tcPr>
          <w:p>
            <w:pPr>
              <w:spacing w:line="400" w:lineRule="exact"/>
              <w:ind w:firstLine="525" w:firstLineChars="250"/>
              <w:rPr>
                <w:rFonts w:ascii="仿宋_GB2312" w:hAnsi="仿宋_GB2312" w:eastAsia="仿宋_GB2312" w:cs="仿宋_GB2312"/>
                <w:kern w:val="0"/>
                <w:szCs w:val="21"/>
              </w:rPr>
            </w:pPr>
            <w:r>
              <w:rPr>
                <w:rFonts w:hint="eastAsia" w:ascii="仿宋_GB2312" w:hAnsi="仿宋_GB2312" w:eastAsia="仿宋_GB2312" w:cs="仿宋_GB2312"/>
                <w:kern w:val="0"/>
                <w:szCs w:val="21"/>
              </w:rPr>
              <w:t>证书名称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2" w:hRule="exact"/>
        </w:trPr>
        <w:tc>
          <w:tcPr>
            <w:tcW w:w="809" w:type="dxa"/>
            <w:vMerge w:val="continue"/>
            <w:noWrap/>
          </w:tcPr>
          <w:p>
            <w:pPr>
              <w:spacing w:line="300" w:lineRule="exact"/>
              <w:jc w:val="center"/>
              <w:rPr>
                <w:rFonts w:ascii="仿宋_GB2312" w:hAnsi="仿宋_GB2312" w:eastAsia="仿宋_GB2312" w:cs="仿宋_GB2312"/>
                <w:kern w:val="0"/>
                <w:szCs w:val="21"/>
              </w:rPr>
            </w:pPr>
          </w:p>
        </w:tc>
        <w:tc>
          <w:tcPr>
            <w:tcW w:w="1245" w:type="dxa"/>
            <w:gridSpan w:val="2"/>
            <w:noWrap/>
            <w:vAlign w:val="center"/>
          </w:tcPr>
          <w:p>
            <w:pPr>
              <w:spacing w:line="400" w:lineRule="exact"/>
              <w:jc w:val="center"/>
              <w:rPr>
                <w:rFonts w:ascii="仿宋_GB2312" w:hAnsi="仿宋_GB2312" w:eastAsia="仿宋_GB2312" w:cs="仿宋_GB2312"/>
                <w:kern w:val="0"/>
                <w:szCs w:val="21"/>
              </w:rPr>
            </w:pPr>
          </w:p>
        </w:tc>
        <w:tc>
          <w:tcPr>
            <w:tcW w:w="2535" w:type="dxa"/>
            <w:gridSpan w:val="5"/>
            <w:noWrap/>
            <w:vAlign w:val="center"/>
          </w:tcPr>
          <w:p>
            <w:pPr>
              <w:spacing w:line="400" w:lineRule="exact"/>
              <w:jc w:val="center"/>
              <w:rPr>
                <w:rFonts w:ascii="仿宋_GB2312" w:hAnsi="仿宋_GB2312" w:eastAsia="仿宋_GB2312" w:cs="仿宋_GB2312"/>
                <w:kern w:val="0"/>
                <w:szCs w:val="21"/>
              </w:rPr>
            </w:pPr>
          </w:p>
        </w:tc>
        <w:tc>
          <w:tcPr>
            <w:tcW w:w="1440" w:type="dxa"/>
            <w:gridSpan w:val="3"/>
            <w:noWrap/>
            <w:vAlign w:val="center"/>
          </w:tcPr>
          <w:p>
            <w:pPr>
              <w:spacing w:line="400" w:lineRule="exact"/>
              <w:jc w:val="center"/>
              <w:rPr>
                <w:rFonts w:ascii="仿宋_GB2312" w:hAnsi="仿宋_GB2312" w:eastAsia="仿宋_GB2312" w:cs="仿宋_GB2312"/>
                <w:kern w:val="0"/>
                <w:szCs w:val="21"/>
              </w:rPr>
            </w:pPr>
          </w:p>
        </w:tc>
        <w:tc>
          <w:tcPr>
            <w:tcW w:w="3196" w:type="dxa"/>
            <w:gridSpan w:val="5"/>
            <w:noWrap/>
            <w:vAlign w:val="center"/>
          </w:tcPr>
          <w:p>
            <w:pPr>
              <w:spacing w:line="400" w:lineRule="exact"/>
              <w:jc w:val="center"/>
              <w:rPr>
                <w:rFonts w:ascii="仿宋_GB2312" w:hAnsi="仿宋_GB2312" w:eastAsia="仿宋_GB2312" w:cs="仿宋_GB2312"/>
                <w:kern w:val="0"/>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2" w:hRule="exact"/>
        </w:trPr>
        <w:tc>
          <w:tcPr>
            <w:tcW w:w="809" w:type="dxa"/>
            <w:vMerge w:val="continue"/>
            <w:noWrap/>
          </w:tcPr>
          <w:p>
            <w:pPr>
              <w:spacing w:line="300" w:lineRule="exact"/>
              <w:jc w:val="center"/>
              <w:rPr>
                <w:rFonts w:ascii="仿宋_GB2312" w:hAnsi="仿宋_GB2312" w:eastAsia="仿宋_GB2312" w:cs="仿宋_GB2312"/>
                <w:kern w:val="0"/>
                <w:szCs w:val="21"/>
              </w:rPr>
            </w:pPr>
          </w:p>
        </w:tc>
        <w:tc>
          <w:tcPr>
            <w:tcW w:w="1245" w:type="dxa"/>
            <w:gridSpan w:val="2"/>
            <w:noWrap/>
            <w:vAlign w:val="center"/>
          </w:tcPr>
          <w:p>
            <w:pPr>
              <w:spacing w:line="400" w:lineRule="exact"/>
              <w:jc w:val="center"/>
              <w:rPr>
                <w:rFonts w:ascii="仿宋_GB2312" w:hAnsi="仿宋_GB2312" w:eastAsia="仿宋_GB2312" w:cs="仿宋_GB2312"/>
                <w:kern w:val="0"/>
                <w:szCs w:val="21"/>
              </w:rPr>
            </w:pPr>
          </w:p>
        </w:tc>
        <w:tc>
          <w:tcPr>
            <w:tcW w:w="2535" w:type="dxa"/>
            <w:gridSpan w:val="5"/>
            <w:noWrap/>
            <w:vAlign w:val="center"/>
          </w:tcPr>
          <w:p>
            <w:pPr>
              <w:spacing w:line="400" w:lineRule="exact"/>
              <w:jc w:val="center"/>
              <w:rPr>
                <w:rFonts w:ascii="仿宋_GB2312" w:hAnsi="仿宋_GB2312" w:eastAsia="仿宋_GB2312" w:cs="仿宋_GB2312"/>
                <w:kern w:val="0"/>
                <w:szCs w:val="21"/>
              </w:rPr>
            </w:pPr>
          </w:p>
        </w:tc>
        <w:tc>
          <w:tcPr>
            <w:tcW w:w="1440" w:type="dxa"/>
            <w:gridSpan w:val="3"/>
            <w:noWrap/>
            <w:vAlign w:val="center"/>
          </w:tcPr>
          <w:p>
            <w:pPr>
              <w:spacing w:line="400" w:lineRule="exact"/>
              <w:jc w:val="center"/>
              <w:rPr>
                <w:rFonts w:ascii="仿宋_GB2312" w:hAnsi="仿宋_GB2312" w:eastAsia="仿宋_GB2312" w:cs="仿宋_GB2312"/>
                <w:kern w:val="0"/>
                <w:szCs w:val="21"/>
              </w:rPr>
            </w:pPr>
          </w:p>
        </w:tc>
        <w:tc>
          <w:tcPr>
            <w:tcW w:w="3196" w:type="dxa"/>
            <w:gridSpan w:val="5"/>
            <w:noWrap/>
            <w:vAlign w:val="center"/>
          </w:tcPr>
          <w:p>
            <w:pPr>
              <w:spacing w:line="400" w:lineRule="exact"/>
              <w:jc w:val="center"/>
              <w:rPr>
                <w:rFonts w:ascii="仿宋_GB2312" w:hAnsi="仿宋_GB2312" w:eastAsia="仿宋_GB2312" w:cs="仿宋_GB2312"/>
                <w:kern w:val="0"/>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7" w:hRule="exact"/>
        </w:trPr>
        <w:tc>
          <w:tcPr>
            <w:tcW w:w="809" w:type="dxa"/>
            <w:vMerge w:val="restart"/>
            <w:noWrap/>
          </w:tcPr>
          <w:p>
            <w:pPr>
              <w:spacing w:line="360" w:lineRule="auto"/>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工作经历</w:t>
            </w:r>
          </w:p>
        </w:tc>
        <w:tc>
          <w:tcPr>
            <w:tcW w:w="1245" w:type="dxa"/>
            <w:gridSpan w:val="2"/>
            <w:noWrap/>
            <w:vAlign w:val="center"/>
          </w:tcPr>
          <w:p>
            <w:pPr>
              <w:spacing w:line="40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起止年月</w:t>
            </w:r>
          </w:p>
        </w:tc>
        <w:tc>
          <w:tcPr>
            <w:tcW w:w="3975" w:type="dxa"/>
            <w:gridSpan w:val="8"/>
            <w:noWrap/>
            <w:vAlign w:val="center"/>
          </w:tcPr>
          <w:p>
            <w:pPr>
              <w:spacing w:line="40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工作单位、部门</w:t>
            </w:r>
          </w:p>
        </w:tc>
        <w:tc>
          <w:tcPr>
            <w:tcW w:w="3196" w:type="dxa"/>
            <w:gridSpan w:val="5"/>
            <w:noWrap/>
            <w:vAlign w:val="center"/>
          </w:tcPr>
          <w:p>
            <w:pPr>
              <w:spacing w:line="40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职   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exact"/>
        </w:trPr>
        <w:tc>
          <w:tcPr>
            <w:tcW w:w="809" w:type="dxa"/>
            <w:vMerge w:val="continue"/>
            <w:noWrap/>
          </w:tcPr>
          <w:p>
            <w:pPr>
              <w:spacing w:line="400" w:lineRule="exact"/>
              <w:jc w:val="center"/>
              <w:rPr>
                <w:rFonts w:ascii="仿宋_GB2312" w:hAnsi="仿宋_GB2312" w:eastAsia="仿宋_GB2312" w:cs="仿宋_GB2312"/>
                <w:kern w:val="0"/>
                <w:szCs w:val="21"/>
              </w:rPr>
            </w:pPr>
          </w:p>
        </w:tc>
        <w:tc>
          <w:tcPr>
            <w:tcW w:w="1245" w:type="dxa"/>
            <w:gridSpan w:val="2"/>
            <w:noWrap/>
            <w:vAlign w:val="center"/>
          </w:tcPr>
          <w:p>
            <w:pPr>
              <w:spacing w:line="400" w:lineRule="exact"/>
              <w:jc w:val="center"/>
              <w:rPr>
                <w:rFonts w:ascii="仿宋_GB2312" w:hAnsi="仿宋_GB2312" w:eastAsia="仿宋_GB2312" w:cs="仿宋_GB2312"/>
                <w:kern w:val="0"/>
                <w:szCs w:val="21"/>
              </w:rPr>
            </w:pPr>
          </w:p>
        </w:tc>
        <w:tc>
          <w:tcPr>
            <w:tcW w:w="3975" w:type="dxa"/>
            <w:gridSpan w:val="8"/>
            <w:noWrap/>
            <w:vAlign w:val="center"/>
          </w:tcPr>
          <w:p>
            <w:pPr>
              <w:spacing w:line="400" w:lineRule="exact"/>
              <w:jc w:val="center"/>
              <w:rPr>
                <w:rFonts w:ascii="仿宋_GB2312" w:hAnsi="仿宋_GB2312" w:eastAsia="仿宋_GB2312" w:cs="仿宋_GB2312"/>
                <w:b/>
                <w:kern w:val="0"/>
                <w:szCs w:val="21"/>
              </w:rPr>
            </w:pPr>
          </w:p>
        </w:tc>
        <w:tc>
          <w:tcPr>
            <w:tcW w:w="3196" w:type="dxa"/>
            <w:gridSpan w:val="5"/>
            <w:noWrap/>
            <w:vAlign w:val="center"/>
          </w:tcPr>
          <w:p>
            <w:pPr>
              <w:spacing w:line="400" w:lineRule="exact"/>
              <w:jc w:val="center"/>
              <w:rPr>
                <w:rFonts w:ascii="仿宋_GB2312" w:hAnsi="仿宋_GB2312" w:eastAsia="仿宋_GB2312" w:cs="仿宋_GB2312"/>
                <w:kern w:val="0"/>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exact"/>
        </w:trPr>
        <w:tc>
          <w:tcPr>
            <w:tcW w:w="809" w:type="dxa"/>
            <w:vMerge w:val="continue"/>
            <w:noWrap/>
          </w:tcPr>
          <w:p>
            <w:pPr>
              <w:spacing w:line="400" w:lineRule="exact"/>
              <w:jc w:val="center"/>
              <w:rPr>
                <w:rFonts w:ascii="仿宋_GB2312" w:hAnsi="仿宋_GB2312" w:eastAsia="仿宋_GB2312" w:cs="仿宋_GB2312"/>
                <w:kern w:val="0"/>
                <w:szCs w:val="21"/>
              </w:rPr>
            </w:pPr>
          </w:p>
        </w:tc>
        <w:tc>
          <w:tcPr>
            <w:tcW w:w="1245" w:type="dxa"/>
            <w:gridSpan w:val="2"/>
            <w:noWrap/>
            <w:vAlign w:val="center"/>
          </w:tcPr>
          <w:p>
            <w:pPr>
              <w:spacing w:line="400" w:lineRule="exact"/>
              <w:jc w:val="center"/>
              <w:rPr>
                <w:rFonts w:ascii="仿宋_GB2312" w:hAnsi="仿宋_GB2312" w:eastAsia="仿宋_GB2312" w:cs="仿宋_GB2312"/>
                <w:kern w:val="0"/>
                <w:szCs w:val="21"/>
              </w:rPr>
            </w:pPr>
          </w:p>
        </w:tc>
        <w:tc>
          <w:tcPr>
            <w:tcW w:w="3975" w:type="dxa"/>
            <w:gridSpan w:val="8"/>
            <w:noWrap/>
            <w:vAlign w:val="center"/>
          </w:tcPr>
          <w:p>
            <w:pPr>
              <w:spacing w:line="400" w:lineRule="exact"/>
              <w:jc w:val="center"/>
              <w:rPr>
                <w:rFonts w:ascii="仿宋_GB2312" w:hAnsi="仿宋_GB2312" w:eastAsia="仿宋_GB2312" w:cs="仿宋_GB2312"/>
                <w:b/>
                <w:kern w:val="0"/>
                <w:szCs w:val="21"/>
              </w:rPr>
            </w:pPr>
          </w:p>
        </w:tc>
        <w:tc>
          <w:tcPr>
            <w:tcW w:w="3196" w:type="dxa"/>
            <w:gridSpan w:val="5"/>
            <w:noWrap/>
            <w:vAlign w:val="center"/>
          </w:tcPr>
          <w:p>
            <w:pPr>
              <w:spacing w:line="400" w:lineRule="exact"/>
              <w:jc w:val="center"/>
              <w:rPr>
                <w:rFonts w:ascii="仿宋_GB2312" w:hAnsi="仿宋_GB2312" w:eastAsia="仿宋_GB2312" w:cs="仿宋_GB2312"/>
                <w:kern w:val="0"/>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exact"/>
        </w:trPr>
        <w:tc>
          <w:tcPr>
            <w:tcW w:w="2054" w:type="dxa"/>
            <w:gridSpan w:val="3"/>
            <w:noWrap/>
            <w:vAlign w:val="center"/>
          </w:tcPr>
          <w:p>
            <w:pPr>
              <w:spacing w:line="40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兼职情况</w:t>
            </w:r>
          </w:p>
        </w:tc>
        <w:tc>
          <w:tcPr>
            <w:tcW w:w="7171" w:type="dxa"/>
            <w:gridSpan w:val="13"/>
            <w:noWrap/>
            <w:vAlign w:val="center"/>
          </w:tcPr>
          <w:p>
            <w:pPr>
              <w:spacing w:line="400" w:lineRule="exact"/>
              <w:jc w:val="center"/>
              <w:rPr>
                <w:rFonts w:ascii="仿宋_GB2312" w:hAnsi="仿宋_GB2312" w:eastAsia="仿宋_GB2312" w:cs="仿宋_GB2312"/>
                <w:b/>
                <w:kern w:val="0"/>
                <w:szCs w:val="21"/>
              </w:rPr>
            </w:pP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3" w:hRule="atLeast"/>
        </w:trPr>
        <w:tc>
          <w:tcPr>
            <w:tcW w:w="9225" w:type="dxa"/>
            <w:gridSpan w:val="16"/>
            <w:noWrap/>
            <w:vAlign w:val="center"/>
          </w:tcPr>
          <w:p>
            <w:pPr>
              <w:spacing w:line="40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本公司保证：本次任职资格核准申请提交的所有材料及本表格提供的所有信息为真实信息，不存在违反有关法律法规的情形，并对以上材料及信息的真实性承担相应的法律责任。</w:t>
            </w:r>
          </w:p>
          <w:p>
            <w:pPr>
              <w:spacing w:line="400" w:lineRule="exact"/>
              <w:ind w:firstLine="420" w:firstLineChars="200"/>
              <w:rPr>
                <w:rFonts w:ascii="仿宋_GB2312" w:hAnsi="仿宋_GB2312" w:eastAsia="仿宋_GB2312" w:cs="仿宋_GB2312"/>
                <w:szCs w:val="21"/>
              </w:rPr>
            </w:pPr>
          </w:p>
          <w:p>
            <w:pPr>
              <w:spacing w:line="400" w:lineRule="exact"/>
              <w:ind w:firstLine="420" w:firstLineChars="200"/>
              <w:rPr>
                <w:rFonts w:ascii="仿宋_GB2312" w:hAnsi="仿宋_GB2312" w:eastAsia="仿宋_GB2312" w:cs="仿宋_GB2312"/>
                <w:szCs w:val="21"/>
              </w:rPr>
            </w:pPr>
          </w:p>
          <w:p>
            <w:pPr>
              <w:spacing w:line="400" w:lineRule="exact"/>
              <w:rPr>
                <w:rFonts w:ascii="仿宋" w:hAnsi="仿宋" w:eastAsia="仿宋" w:cs="Times New Roman"/>
              </w:rPr>
            </w:pPr>
            <w:r>
              <w:rPr>
                <w:rFonts w:hint="eastAsia" w:ascii="仿宋_GB2312" w:hAnsi="仿宋_GB2312" w:eastAsia="仿宋_GB2312" w:cs="仿宋_GB2312"/>
                <w:szCs w:val="21"/>
              </w:rPr>
              <w:t>申请人签名：          法定代表人签名：              公司盖章   年　月　日</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2474" w:type="dxa"/>
            <w:gridSpan w:val="5"/>
            <w:noWrap/>
            <w:vAlign w:val="center"/>
          </w:tcPr>
          <w:p>
            <w:pPr>
              <w:spacing w:line="40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档案所在部门</w:t>
            </w:r>
          </w:p>
          <w:p>
            <w:pPr>
              <w:spacing w:line="40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审核意见</w:t>
            </w:r>
          </w:p>
        </w:tc>
        <w:tc>
          <w:tcPr>
            <w:tcW w:w="6751" w:type="dxa"/>
            <w:gridSpan w:val="11"/>
            <w:noWrap/>
            <w:vAlign w:val="center"/>
          </w:tcPr>
          <w:p>
            <w:pPr>
              <w:spacing w:line="400" w:lineRule="exact"/>
              <w:ind w:firstLine="420" w:firstLineChars="200"/>
              <w:rPr>
                <w:rFonts w:ascii="仿宋_GB2312" w:hAnsi="仿宋_GB2312" w:eastAsia="仿宋_GB2312" w:cs="仿宋_GB2312"/>
                <w:szCs w:val="21"/>
              </w:rPr>
            </w:pPr>
          </w:p>
          <w:p>
            <w:pPr>
              <w:spacing w:line="400" w:lineRule="exact"/>
              <w:ind w:firstLine="420" w:firstLineChars="200"/>
              <w:rPr>
                <w:rFonts w:ascii="仿宋_GB2312" w:hAnsi="仿宋_GB2312" w:eastAsia="仿宋_GB2312" w:cs="仿宋_GB2312"/>
                <w:szCs w:val="21"/>
              </w:rPr>
            </w:pPr>
          </w:p>
        </w:tc>
      </w:tr>
    </w:tbl>
    <w:p>
      <w:pPr>
        <w:rPr>
          <w:rFonts w:ascii="仿宋" w:hAnsi="仿宋" w:eastAsia="仿宋" w:cs="Times New Roman"/>
          <w:sz w:val="36"/>
          <w:szCs w:val="36"/>
        </w:rPr>
      </w:pPr>
      <w:r>
        <w:rPr>
          <w:rFonts w:hint="eastAsia" w:ascii="仿宋_GB2312" w:hAnsi="仿宋_GB2312" w:eastAsia="仿宋_GB2312" w:cs="仿宋_GB2312"/>
          <w:sz w:val="18"/>
          <w:szCs w:val="18"/>
        </w:rPr>
        <w:t>注：在银行等金融机构、担保机构、典当行、小额贷款公司工作过的人员应有原单位的意见和离职证明。</w:t>
      </w:r>
    </w:p>
    <w:p>
      <w:pPr>
        <w:ind w:firstLine="640" w:firstLineChars="200"/>
        <w:rPr>
          <w:rFonts w:ascii="仿宋_GB2312" w:hAnsi="仿宋_GB2312" w:eastAsia="仿宋_GB2312" w:cs="仿宋_GB2312"/>
          <w:sz w:val="32"/>
          <w:szCs w:val="32"/>
        </w:rPr>
      </w:pPr>
    </w:p>
    <w:p>
      <w:pPr>
        <w:rPr>
          <w:rFonts w:ascii="仿宋_GB2312" w:hAnsi="仿宋_GB2312" w:eastAsia="仿宋_GB2312" w:cs="仿宋_GB2312"/>
          <w:sz w:val="32"/>
          <w:szCs w:val="32"/>
        </w:rPr>
      </w:pPr>
      <w:r>
        <w:rPr>
          <w:rFonts w:ascii="仿宋_GB2312" w:hAnsi="仿宋_GB2312" w:eastAsia="仿宋_GB2312" w:cs="仿宋_GB2312"/>
          <w:sz w:val="32"/>
          <w:szCs w:val="32"/>
        </w:rPr>
        <w:br w:type="page"/>
      </w:r>
    </w:p>
    <w:p>
      <w:pPr>
        <w:pStyle w:val="3"/>
        <w:jc w:val="center"/>
        <w:rPr>
          <w:spacing w:val="-20"/>
          <w:sz w:val="44"/>
          <w:szCs w:val="44"/>
        </w:rPr>
      </w:pPr>
      <w:bookmarkStart w:id="48" w:name="_Toc483"/>
      <w:r>
        <w:rPr>
          <w:spacing w:val="-20"/>
          <w:sz w:val="44"/>
          <w:szCs w:val="44"/>
        </w:rPr>
        <w:t>十四、河南省小额贷款公司监管评级工作指引</w:t>
      </w:r>
      <w:bookmarkEnd w:id="48"/>
    </w:p>
    <w:p>
      <w:pPr>
        <w:keepNext/>
        <w:keepLines/>
        <w:spacing w:line="560" w:lineRule="exact"/>
        <w:ind w:firstLine="480" w:firstLineChars="200"/>
        <w:jc w:val="center"/>
        <w:rPr>
          <w:rStyle w:val="19"/>
          <w:rFonts w:hint="eastAsia" w:ascii="楷体" w:hAnsi="楷体" w:eastAsia="楷体" w:cs="楷体"/>
          <w:color w:val="000000"/>
          <w:sz w:val="24"/>
          <w:szCs w:val="24"/>
        </w:rPr>
      </w:pPr>
      <w:r>
        <w:rPr>
          <w:rStyle w:val="19"/>
          <w:rFonts w:hint="eastAsia" w:ascii="楷体" w:hAnsi="楷体" w:eastAsia="楷体" w:cs="楷体"/>
          <w:color w:val="000000"/>
          <w:sz w:val="24"/>
          <w:szCs w:val="24"/>
          <w:lang w:eastAsia="zh-CN"/>
        </w:rPr>
        <w:t>河南省地方金融监督管理局文件</w:t>
      </w:r>
      <w:r>
        <w:rPr>
          <w:rStyle w:val="19"/>
          <w:rFonts w:hint="eastAsia" w:ascii="楷体" w:hAnsi="楷体" w:eastAsia="楷体" w:cs="楷体"/>
          <w:color w:val="000000"/>
          <w:sz w:val="24"/>
          <w:szCs w:val="24"/>
          <w:lang w:val="en-US" w:eastAsia="zh-CN"/>
        </w:rPr>
        <w:t xml:space="preserve"> </w:t>
      </w:r>
      <w:r>
        <w:rPr>
          <w:rStyle w:val="19"/>
          <w:rFonts w:hint="eastAsia" w:ascii="楷体" w:hAnsi="楷体" w:eastAsia="楷体" w:cs="楷体"/>
          <w:color w:val="000000"/>
          <w:sz w:val="24"/>
          <w:szCs w:val="24"/>
          <w:lang w:eastAsia="zh-CN"/>
        </w:rPr>
        <w:t>豫金发</w:t>
      </w:r>
      <w:r>
        <w:rPr>
          <w:rStyle w:val="19"/>
          <w:rFonts w:hint="eastAsia" w:ascii="楷体" w:hAnsi="楷体" w:eastAsia="楷体" w:cs="楷体"/>
          <w:color w:val="000000"/>
          <w:sz w:val="24"/>
          <w:szCs w:val="24"/>
        </w:rPr>
        <w:t>〔20</w:t>
      </w:r>
      <w:r>
        <w:rPr>
          <w:rStyle w:val="19"/>
          <w:rFonts w:hint="eastAsia" w:ascii="楷体" w:hAnsi="楷体" w:eastAsia="楷体" w:cs="楷体"/>
          <w:color w:val="000000"/>
          <w:sz w:val="24"/>
          <w:szCs w:val="24"/>
          <w:lang w:val="en-US" w:eastAsia="zh-CN"/>
        </w:rPr>
        <w:t>20</w:t>
      </w:r>
      <w:r>
        <w:rPr>
          <w:rStyle w:val="19"/>
          <w:rFonts w:hint="eastAsia" w:ascii="楷体" w:hAnsi="楷体" w:eastAsia="楷体" w:cs="楷体"/>
          <w:color w:val="000000"/>
          <w:sz w:val="24"/>
          <w:szCs w:val="24"/>
        </w:rPr>
        <w:t>〕</w:t>
      </w:r>
      <w:r>
        <w:rPr>
          <w:rStyle w:val="19"/>
          <w:rFonts w:hint="eastAsia" w:ascii="楷体" w:hAnsi="楷体" w:eastAsia="楷体" w:cs="楷体"/>
          <w:color w:val="000000"/>
          <w:sz w:val="24"/>
          <w:szCs w:val="24"/>
          <w:lang w:val="en-US" w:eastAsia="zh-CN"/>
        </w:rPr>
        <w:t>88</w:t>
      </w:r>
      <w:r>
        <w:rPr>
          <w:rStyle w:val="19"/>
          <w:rFonts w:hint="eastAsia" w:ascii="楷体" w:hAnsi="楷体" w:eastAsia="楷体" w:cs="楷体"/>
          <w:color w:val="000000"/>
          <w:sz w:val="24"/>
          <w:szCs w:val="24"/>
        </w:rPr>
        <w:t>号</w:t>
      </w:r>
    </w:p>
    <w:p>
      <w:pPr>
        <w:keepNext/>
        <w:keepLines/>
        <w:spacing w:line="560" w:lineRule="exact"/>
        <w:ind w:firstLine="480" w:firstLineChars="200"/>
        <w:jc w:val="center"/>
        <w:rPr>
          <w:rFonts w:hint="eastAsia" w:ascii="楷体" w:hAnsi="楷体" w:eastAsia="楷体" w:cs="楷体"/>
          <w:bCs/>
          <w:sz w:val="32"/>
          <w:szCs w:val="32"/>
        </w:rPr>
      </w:pPr>
      <w:r>
        <w:rPr>
          <w:rStyle w:val="19"/>
          <w:rFonts w:hint="eastAsia" w:ascii="楷体" w:hAnsi="楷体" w:eastAsia="楷体" w:cs="楷体"/>
          <w:color w:val="000000"/>
          <w:sz w:val="24"/>
          <w:szCs w:val="24"/>
        </w:rPr>
        <w:t>20</w:t>
      </w:r>
      <w:r>
        <w:rPr>
          <w:rStyle w:val="19"/>
          <w:rFonts w:hint="eastAsia" w:ascii="楷体" w:hAnsi="楷体" w:eastAsia="楷体" w:cs="楷体"/>
          <w:color w:val="000000"/>
          <w:sz w:val="24"/>
          <w:szCs w:val="24"/>
          <w:lang w:val="en-US" w:eastAsia="zh-CN"/>
        </w:rPr>
        <w:t>20</w:t>
      </w:r>
      <w:r>
        <w:rPr>
          <w:rStyle w:val="19"/>
          <w:rFonts w:hint="eastAsia" w:ascii="楷体" w:hAnsi="楷体" w:eastAsia="楷体" w:cs="楷体"/>
          <w:color w:val="000000"/>
          <w:sz w:val="24"/>
          <w:szCs w:val="24"/>
        </w:rPr>
        <w:t>年</w:t>
      </w:r>
      <w:r>
        <w:rPr>
          <w:rStyle w:val="19"/>
          <w:rFonts w:hint="eastAsia" w:ascii="楷体" w:hAnsi="楷体" w:eastAsia="楷体" w:cs="楷体"/>
          <w:color w:val="000000"/>
          <w:sz w:val="24"/>
          <w:szCs w:val="24"/>
          <w:lang w:val="en-US" w:eastAsia="zh-CN"/>
        </w:rPr>
        <w:t>6</w:t>
      </w:r>
      <w:r>
        <w:rPr>
          <w:rStyle w:val="19"/>
          <w:rFonts w:hint="eastAsia" w:ascii="楷体" w:hAnsi="楷体" w:eastAsia="楷体" w:cs="楷体"/>
          <w:color w:val="000000"/>
          <w:sz w:val="24"/>
          <w:szCs w:val="24"/>
        </w:rPr>
        <w:t>月</w:t>
      </w:r>
      <w:r>
        <w:rPr>
          <w:rStyle w:val="19"/>
          <w:rFonts w:hint="eastAsia" w:ascii="楷体" w:hAnsi="楷体" w:eastAsia="楷体" w:cs="楷体"/>
          <w:color w:val="000000"/>
          <w:sz w:val="24"/>
          <w:szCs w:val="24"/>
          <w:lang w:val="en-US" w:eastAsia="zh-CN"/>
        </w:rPr>
        <w:t>4</w:t>
      </w:r>
      <w:r>
        <w:rPr>
          <w:rStyle w:val="19"/>
          <w:rFonts w:hint="eastAsia" w:ascii="楷体" w:hAnsi="楷体" w:eastAsia="楷体" w:cs="楷体"/>
          <w:color w:val="000000"/>
          <w:sz w:val="24"/>
          <w:szCs w:val="24"/>
        </w:rPr>
        <w:t>日印发</w:t>
      </w:r>
    </w:p>
    <w:p>
      <w:pPr>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第一章 总  则</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第一条  为落实和完善我省小额贷款公司监管工作制度，加强小额贷款公司日常监管、分类指导，促进小额贷款公司依法合规经营和健康发展，依据《中国银行业监督管理委员会、中国人民银行关于小额贷款公司试点的指导意见》（银监发〔2008〕23号）和《河南省人民政府办公厅关于进一步促进小额贷款公司健康发展的意见》（豫政办〔2017〕30号）等文件精神，制定本指引。</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第二条  本指引所称监管评级是指省地方金融监管局及市、县（区）金融工作部门依据现场检查、非现场监管、业务审核等日常监管和其他渠道获得的小额贷款公司相关信息，对其主要经营管理要素、合规经营情况和风险状况进行定量分析、定性判断、全面评估和确定级别。旨在通过监管评级实施对小额贷款公司的分类监管，扶优限劣，提高监管效率。</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第三条  本指引适用于经省地方金融监管局批准设立，并在市场监督管理部门注册登记的小额贷款公司。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第四条  监管评级坚持定量考核与定性考查相结合、年度评级与日常监管相结合、正向激励与反向约束相结合，“全面、客观、公正”评估小额贷款公司全面经营情况。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第五条  省地方金融监管局统一组织全省小额贷款公司监管评级工作。市、县（区）金融工作部门依照监管评级工作指引，根据日常监管情况，结合小额贷款公司实际运营和合规经营情况，每年对辖区内小额贷款公司进行考核评级，提出分类评级结果意见报省地方金融监管局审定，由省地方金融监管局每年在一定范围内公布。省直小额贷款公司监管评级工作由省地方金融监管局直接组织。</w:t>
      </w:r>
    </w:p>
    <w:p>
      <w:pPr>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第二章 评级要素指标</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第六条  监管评级指标共分三个方面、30项、总分100分。内容包括：公司治理与运营质量(25分)、公司经营与合规情况(55分)、公司信用与服从监管情况(20分)。符合加分条件的可另外加分,但加分总计不超过5分。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第七条  指标权重与分值</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(一)公司治理与运营质量指标（25分）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1.公司治理（3分）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2.资本规模（4分）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3.资产质量（5分）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4.拨备覆盖率（3分）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5.净资产收益（5分）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6.资本周转率（5分）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（二）公司经营与合规情况指标（55分）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1.执行贷款投向规定（4分）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2.执行贷款集中度规定（4分）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3.执行财务规定（2分）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4.执行现金管理规定（2分）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5.执行业务风险调查（4分）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6.执行融入资金规定（3分）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7.落实对外投资规定（3分）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8.执行账户管理规定（2分）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9.执行利率规定（3分）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10.执行关联贷款规定（3分）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11.执行经营区域规定（3分）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12.执行经营范围规定（3分）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13.监管平台合同生成情况（5分）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14.监管平台信息录入情况（3分）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15.执行变更规定（3分）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16.执行营业场所规定（3分）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17.执行业务档案管理（3分）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18.内部规章制度建设（2分）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（三）公司信用与服从监管情况指标（20分）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1.经营活动信用情况（5分）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2.财务管理信用情况（3分）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3.履行信息披露信用情况（3分）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4.公司股东、高管信用情况（3分）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5.公司被列入经营异常名单情况（3分）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6.公司服从监管情况（3分）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第八条  监管评级考评实行百分制，依据计算得分确定，共分为A、B、C、D四个等级：得分90-100分的（含90分）为A级，80—90分（含80分）的为B级，60—80分（含60分）的为C级，60分以下的为D级。</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第九条  附加加分指标</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小额贷款公司有下列情形之一的，可提出申请，经确认后最高可加5分。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（一）业务创新受到县级以上部门文件表彰或省级以上小额贷款公司协会表彰或奖励的，每项加1分；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（二）履行就业安置、税收交纳、脱贫攻坚、社会捐助等社会责任受到县级以上部门文件表彰的，每项加1分；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（三）被县级以上新闻媒体电台报导，履行社会职能传播正能量的加1分；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（四）其他能够证明获得表彰奖励的加1分。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第十条  “一票否决”情况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监管评级实行“一票否决”，在一个评级年度，经属地金融工作部门查实，发现小额贷款公司有下列情形之一的，当年的评级结果直接评定为D级，情节严重的直至取消其小额贷款公司试点资格：</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（一）涉嫌非法集资或非规范性融资；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（二）抽逃注册资本；</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（三）使用非法手段催债；</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（四）拒不接受检查监督或不参加监管评级的；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（五）提供虚假业务信息和变更审批备案材料；</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（六）其他违法行为。</w:t>
      </w:r>
    </w:p>
    <w:p>
      <w:pPr>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第三章  组织与实施</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第十一条  小额贷款公司监管评级采取公司自评、市县金融工作部门联评、省地方金融监管局审查确定的办法实施。监管评级周期为每年的1月1日至12月31日。</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第十二条  公司自评。小额贷款公司依据本指引要求客观、真实开展自评工作，确保报送资料信息的真实性、合法性和完整性，并于次年1月底前报所属县级工作部门。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第十三条  市县金融工作部门联评。省辖市金融工作部门每年会同县级金融工作部门组织对辖区小额贷款公司进行监管评级考核。市级可以组织县（区）对所辖小额贷款公司直接进行评级，也可以组织县（区）开展交叉评级工作，鼓励有条件的市、县聘请第三方中介机构或行业协会参与监管评级考核。市、县根据平时现场检查、非现场监管、业务审核等日常监管掌握的信息对小额贷款公司的自评情况进行现场核查，并填写小额贷款公司监管评级得分表。联评结束后，省辖市金融工作部门形成监管评级工作报告，连同相关材料于3月底前一并报送省地方金融监管局。</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第十四条  监管评级相关材料</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（一）小额贷款公司提交以下材料：</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1.河南省小额贷款公司监管评级得分表（小额贷款公司需填写自评得分情况）。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2.小额贷款公司年度经营情况报告书。</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（1）包括公司名称、注册资本、组织机构代码、股东及股权结构、法定代表人、董监高人员名单、开户行清单及性质、对外融资情况；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（2）年度累计发放贷款、贷款余额、逾期贷款余额、不良贷款余额；</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（3）贷款利息收入、净利润、纳税总额；</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（4）通过诉讼追缴贷款情况、公司资产被司法机关冻结或高管列为失信被执行人情况。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3.小额贷款公司自评报告。</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4.具备资质的中介机构出具的小额贷款公司年度财务审计报告原件。</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（二）省辖市金融工作部门提交以下材料：</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省辖市、济源示范区、省直管县（市）金融工作部门关于辖区小额贷款公司监管评级工作报告。</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第十五条  省地方金融监管局审查确定。省地方金融监管局收到省辖市、济源示范区、省直管县（市）金融工作部门报送材料后，组织第三方机构对相关材料进行审计，根据日常监管掌握情况和第三方机构审计情况对评级结果进行审查评定，并按一定比例开展现场抽查。</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第十六条  监管评级结果由省地方金融监管局通过省辖市、济源示范区、省直管县（市）金融工作部门向小额贷款公司进行反馈。小额贷款公司如有异议，可在收到监管评级结果之日起10个工作日内提出意见，并向属地金融工作部门提交相应证明材料、依据。</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第十七条  各级金融工作部门要加强小额贷款公司监管评级过程中各类信息的保密管理，做好评级工作底稿、评级结果、评级结果反馈材料等文件、资料的存档工作。</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第十八条  监管评级数据依据。金融工作部门应从省小额贷款公司业务信息监管平台获取经营数据，并比对小额贷款公司业务账簿和有关会计凭证资料进行综合分析；有关财务资料须经过中介机构审核认定；合规性指标涉及的公司情况须经金融工作部门认定；涉及信用信息的须从有关政府性网站查证，涉及违法行为应经有关部门认定。</w:t>
      </w:r>
    </w:p>
    <w:p>
      <w:pPr>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第四章  评级结果运用</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第十九条  监管评级结果将作为各级金融工作部门对小额贷款公司实施分类监管、指导服务、正向激励和监管约束的依据。</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对监管评级为A级的小额贷款公司，属地金融工作部门应加强支持扶持，优先推荐参与相关表彰、优先推荐享受奖补扶持政策、优先开展创新业务试点、优先扩大经营区域与经营范围、优先推荐银行融资、优先放大融资杠杆、优先减少检查频次等。</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对监管评级为B级的小额贷款公司，属地金融工作部门应加强指导服务和监管关注，指导帮助企业正确认识监管评级中存在的定量短板和定性问题，自主采取改善性措施并努力为其发展创造良好环境，督促其加大经营管理力度，提升运营质量。属地金融工作部门根据日常监管掌握的情况，对B级小额贷款公司也可从优推荐享受（一）中支持扶持措施。</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对监管评级为C级的小额贷款公司，属地金融工作部门予以监管关注，提高非现场监管和现场检查的频率和深度，关注其经营态势变化，督促其加大管理力度和问题整改，切实降低经营风险。对问题较多和存在风险状况的可运用高管约谈、停业整改、限制经营区域和经营范围、暂停变更事项受理等措施强化问题整改，问题严重或逾期未整改完毕的降入D级。</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（四）对监管评级为D级的小额贷款公司，属地金融工作部门应予以重点监管，综合运用暂停业务、信用约束等措施责令限期整改，问题严重的将依法依规取消其小额贷款公司试点资格。</w:t>
      </w:r>
    </w:p>
    <w:p>
      <w:pPr>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第五章   附  则</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第二十条  本指引由省地方金融监管局负责解释。</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第二十一条  本指引自发布之日起施行，有效期至2023年12月31日。</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pStyle w:val="3"/>
        <w:jc w:val="center"/>
        <w:rPr>
          <w:rFonts w:asciiTheme="majorHAnsi" w:hAnsiTheme="majorHAnsi" w:eastAsiaTheme="majorEastAsia" w:cstheme="majorBidi"/>
          <w:b/>
          <w:bCs/>
          <w:spacing w:val="-20"/>
          <w:kern w:val="2"/>
          <w:sz w:val="44"/>
          <w:szCs w:val="44"/>
          <w:lang w:val="en-US" w:eastAsia="zh-CN" w:bidi="ar-SA"/>
        </w:rPr>
      </w:pPr>
      <w:bookmarkStart w:id="49" w:name="_Toc14498"/>
      <w:r>
        <w:rPr>
          <w:spacing w:val="-20"/>
          <w:sz w:val="44"/>
          <w:szCs w:val="44"/>
        </w:rPr>
        <w:t>十五、河南省小额贷款公司设立审批工作指引</w:t>
      </w:r>
      <w:bookmarkEnd w:id="49"/>
      <w:r>
        <w:rPr>
          <w:rFonts w:hint="eastAsia" w:asciiTheme="majorHAnsi" w:hAnsiTheme="majorHAnsi" w:eastAsiaTheme="majorEastAsia" w:cstheme="majorBidi"/>
          <w:b/>
          <w:bCs/>
          <w:spacing w:val="-20"/>
          <w:kern w:val="2"/>
          <w:sz w:val="44"/>
          <w:szCs w:val="44"/>
          <w:lang w:val="en-US" w:eastAsia="zh-CN" w:bidi="ar-SA"/>
        </w:rPr>
        <w:t>(2019年修订版)</w:t>
      </w:r>
    </w:p>
    <w:p>
      <w:pPr>
        <w:keepNext/>
        <w:keepLines/>
        <w:spacing w:line="560" w:lineRule="exact"/>
        <w:ind w:firstLine="480" w:firstLineChars="200"/>
        <w:jc w:val="center"/>
        <w:rPr>
          <w:rStyle w:val="19"/>
          <w:rFonts w:hint="eastAsia" w:ascii="楷体" w:hAnsi="楷体" w:eastAsia="楷体" w:cs="楷体"/>
          <w:color w:val="000000"/>
          <w:sz w:val="24"/>
          <w:szCs w:val="24"/>
        </w:rPr>
      </w:pPr>
      <w:r>
        <w:rPr>
          <w:rStyle w:val="19"/>
          <w:rFonts w:hint="eastAsia" w:ascii="楷体" w:hAnsi="楷体" w:eastAsia="楷体" w:cs="楷体"/>
          <w:color w:val="000000"/>
          <w:sz w:val="24"/>
          <w:szCs w:val="24"/>
          <w:lang w:eastAsia="zh-CN"/>
        </w:rPr>
        <w:t>河南省地方金融监督管理局文件</w:t>
      </w:r>
      <w:r>
        <w:rPr>
          <w:rStyle w:val="19"/>
          <w:rFonts w:hint="eastAsia" w:ascii="楷体" w:hAnsi="楷体" w:eastAsia="楷体" w:cs="楷体"/>
          <w:color w:val="000000"/>
          <w:sz w:val="24"/>
          <w:szCs w:val="24"/>
          <w:lang w:val="en-US" w:eastAsia="zh-CN"/>
        </w:rPr>
        <w:t xml:space="preserve"> </w:t>
      </w:r>
      <w:r>
        <w:rPr>
          <w:rStyle w:val="19"/>
          <w:rFonts w:hint="eastAsia" w:ascii="楷体" w:hAnsi="楷体" w:eastAsia="楷体" w:cs="楷体"/>
          <w:color w:val="000000"/>
          <w:sz w:val="24"/>
          <w:szCs w:val="24"/>
          <w:lang w:eastAsia="zh-CN"/>
        </w:rPr>
        <w:t>豫金发</w:t>
      </w:r>
      <w:r>
        <w:rPr>
          <w:rStyle w:val="19"/>
          <w:rFonts w:hint="eastAsia" w:ascii="楷体" w:hAnsi="楷体" w:eastAsia="楷体" w:cs="楷体"/>
          <w:color w:val="000000"/>
          <w:sz w:val="24"/>
          <w:szCs w:val="24"/>
        </w:rPr>
        <w:t>〔20</w:t>
      </w:r>
      <w:r>
        <w:rPr>
          <w:rStyle w:val="19"/>
          <w:rFonts w:hint="eastAsia" w:ascii="楷体" w:hAnsi="楷体" w:eastAsia="楷体" w:cs="楷体"/>
          <w:color w:val="000000"/>
          <w:sz w:val="24"/>
          <w:szCs w:val="24"/>
          <w:lang w:val="en-US" w:eastAsia="zh-CN"/>
        </w:rPr>
        <w:t>19</w:t>
      </w:r>
      <w:r>
        <w:rPr>
          <w:rStyle w:val="19"/>
          <w:rFonts w:hint="eastAsia" w:ascii="楷体" w:hAnsi="楷体" w:eastAsia="楷体" w:cs="楷体"/>
          <w:color w:val="000000"/>
          <w:sz w:val="24"/>
          <w:szCs w:val="24"/>
        </w:rPr>
        <w:t>〕</w:t>
      </w:r>
      <w:r>
        <w:rPr>
          <w:rStyle w:val="19"/>
          <w:rFonts w:hint="eastAsia" w:ascii="楷体" w:hAnsi="楷体" w:eastAsia="楷体" w:cs="楷体"/>
          <w:color w:val="000000"/>
          <w:sz w:val="24"/>
          <w:szCs w:val="24"/>
          <w:lang w:val="en-US" w:eastAsia="zh-CN"/>
        </w:rPr>
        <w:t>202</w:t>
      </w:r>
      <w:r>
        <w:rPr>
          <w:rStyle w:val="19"/>
          <w:rFonts w:hint="eastAsia" w:ascii="楷体" w:hAnsi="楷体" w:eastAsia="楷体" w:cs="楷体"/>
          <w:color w:val="000000"/>
          <w:sz w:val="24"/>
          <w:szCs w:val="24"/>
        </w:rPr>
        <w:t>号</w:t>
      </w:r>
    </w:p>
    <w:p>
      <w:pPr>
        <w:keepNext/>
        <w:keepLines/>
        <w:spacing w:line="560" w:lineRule="exact"/>
        <w:ind w:firstLine="480" w:firstLineChars="200"/>
        <w:jc w:val="center"/>
        <w:rPr>
          <w:rFonts w:hint="eastAsia" w:ascii="楷体" w:hAnsi="楷体" w:eastAsia="楷体" w:cs="楷体"/>
          <w:bCs/>
          <w:sz w:val="32"/>
          <w:szCs w:val="32"/>
        </w:rPr>
      </w:pPr>
      <w:r>
        <w:rPr>
          <w:rStyle w:val="19"/>
          <w:rFonts w:hint="eastAsia" w:ascii="楷体" w:hAnsi="楷体" w:eastAsia="楷体" w:cs="楷体"/>
          <w:color w:val="000000"/>
          <w:sz w:val="24"/>
          <w:szCs w:val="24"/>
        </w:rPr>
        <w:t>20</w:t>
      </w:r>
      <w:r>
        <w:rPr>
          <w:rStyle w:val="19"/>
          <w:rFonts w:hint="eastAsia" w:ascii="楷体" w:hAnsi="楷体" w:eastAsia="楷体" w:cs="楷体"/>
          <w:color w:val="000000"/>
          <w:sz w:val="24"/>
          <w:szCs w:val="24"/>
          <w:lang w:val="en-US" w:eastAsia="zh-CN"/>
        </w:rPr>
        <w:t>19</w:t>
      </w:r>
      <w:r>
        <w:rPr>
          <w:rStyle w:val="19"/>
          <w:rFonts w:hint="eastAsia" w:ascii="楷体" w:hAnsi="楷体" w:eastAsia="楷体" w:cs="楷体"/>
          <w:color w:val="000000"/>
          <w:sz w:val="24"/>
          <w:szCs w:val="24"/>
        </w:rPr>
        <w:t>年</w:t>
      </w:r>
      <w:r>
        <w:rPr>
          <w:rStyle w:val="19"/>
          <w:rFonts w:hint="eastAsia" w:ascii="楷体" w:hAnsi="楷体" w:eastAsia="楷体" w:cs="楷体"/>
          <w:color w:val="000000"/>
          <w:sz w:val="24"/>
          <w:szCs w:val="24"/>
          <w:lang w:val="en-US" w:eastAsia="zh-CN"/>
        </w:rPr>
        <w:t>8</w:t>
      </w:r>
      <w:r>
        <w:rPr>
          <w:rStyle w:val="19"/>
          <w:rFonts w:hint="eastAsia" w:ascii="楷体" w:hAnsi="楷体" w:eastAsia="楷体" w:cs="楷体"/>
          <w:color w:val="000000"/>
          <w:sz w:val="24"/>
          <w:szCs w:val="24"/>
        </w:rPr>
        <w:t>月</w:t>
      </w:r>
      <w:r>
        <w:rPr>
          <w:rStyle w:val="19"/>
          <w:rFonts w:hint="eastAsia" w:ascii="楷体" w:hAnsi="楷体" w:eastAsia="楷体" w:cs="楷体"/>
          <w:color w:val="000000"/>
          <w:sz w:val="24"/>
          <w:szCs w:val="24"/>
          <w:lang w:val="en-US" w:eastAsia="zh-CN"/>
        </w:rPr>
        <w:t>19</w:t>
      </w:r>
      <w:r>
        <w:rPr>
          <w:rStyle w:val="19"/>
          <w:rFonts w:hint="eastAsia" w:ascii="楷体" w:hAnsi="楷体" w:eastAsia="楷体" w:cs="楷体"/>
          <w:color w:val="000000"/>
          <w:sz w:val="24"/>
          <w:szCs w:val="24"/>
        </w:rPr>
        <w:t>日印发</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为贯彻落实“放管服”改革要求，进一步规范小额贷款公司设立审批工作，提高设立质量和审核效率，依据《中国银行业监督管理委员会 中国人民银行关于小额贷款公司试点的指导意见》(银监发〔2008〕23号)等有关法律、法规、规章和规范性文件，制定本指引。</w:t>
      </w:r>
    </w:p>
    <w:p>
      <w:pPr>
        <w:snapToGrid w:val="0"/>
        <w:spacing w:line="640" w:lineRule="exact"/>
        <w:ind w:firstLine="640" w:firstLineChars="200"/>
        <w:rPr>
          <w:rFonts w:ascii="黑体" w:hAnsi="黑体" w:eastAsia="黑体" w:cs="黑体"/>
          <w:sz w:val="32"/>
          <w:szCs w:val="32"/>
        </w:rPr>
      </w:pPr>
      <w:r>
        <w:rPr>
          <w:rFonts w:hint="eastAsia" w:ascii="黑体" w:hAnsi="黑体" w:eastAsia="黑体" w:cs="黑体"/>
          <w:sz w:val="32"/>
          <w:szCs w:val="32"/>
        </w:rPr>
        <w:t>一、申请条件</w:t>
      </w:r>
    </w:p>
    <w:p>
      <w:pPr>
        <w:snapToGrid w:val="0"/>
        <w:spacing w:line="640" w:lineRule="exact"/>
        <w:ind w:firstLine="640" w:firstLineChars="200"/>
        <w:rPr>
          <w:rFonts w:ascii="仿宋" w:hAnsi="仿宋" w:eastAsia="仿宋" w:cs="Times New Roman"/>
          <w:sz w:val="32"/>
          <w:szCs w:val="32"/>
        </w:rPr>
      </w:pPr>
      <w:r>
        <w:rPr>
          <w:rFonts w:hint="eastAsia" w:ascii="楷体" w:hAnsi="楷体" w:eastAsia="楷体" w:cs="楷体"/>
          <w:sz w:val="32"/>
          <w:szCs w:val="32"/>
        </w:rPr>
        <w:t>（一）属地管理。</w:t>
      </w:r>
      <w:r>
        <w:rPr>
          <w:rFonts w:hint="eastAsia" w:ascii="仿宋" w:hAnsi="仿宋" w:eastAsia="仿宋" w:cs="Times New Roman"/>
          <w:sz w:val="32"/>
          <w:szCs w:val="32"/>
        </w:rPr>
        <w:t>取得属地金融局或省级主管单位审核同意。其中，省级主管单位为省直部门、省属重点骨干企业和省属骨干企业。中央企业在我省设立小额贷款公司，省级主管单位为中央企业集团或其一级子公司。</w:t>
      </w:r>
    </w:p>
    <w:p>
      <w:pPr>
        <w:snapToGrid w:val="0"/>
        <w:spacing w:line="640" w:lineRule="exact"/>
        <w:ind w:firstLine="640" w:firstLineChars="200"/>
        <w:rPr>
          <w:rFonts w:ascii="仿宋" w:hAnsi="仿宋" w:eastAsia="仿宋" w:cs="Times New Roman"/>
          <w:sz w:val="32"/>
          <w:szCs w:val="32"/>
        </w:rPr>
      </w:pPr>
      <w:r>
        <w:rPr>
          <w:rFonts w:hint="eastAsia" w:ascii="楷体" w:hAnsi="楷体" w:eastAsia="楷体" w:cs="楷体"/>
          <w:sz w:val="32"/>
          <w:szCs w:val="32"/>
        </w:rPr>
        <w:t>（二）注册资本。</w:t>
      </w:r>
      <w:r>
        <w:rPr>
          <w:rFonts w:hint="eastAsia" w:ascii="仿宋" w:hAnsi="仿宋" w:eastAsia="仿宋" w:cs="Times New Roman"/>
          <w:sz w:val="32"/>
          <w:szCs w:val="32"/>
        </w:rPr>
        <w:t>注册资本为实缴货币资本，一次性缴纳。在县（市）设立小额贷款公司，注册资本不低于人民币1亿元；在市辖区设立小额贷款公司，注册资本不低于人民币2亿元；在省辖市设立小额贷款公司，注册资本不低于人民币3亿元。</w:t>
      </w:r>
    </w:p>
    <w:p>
      <w:pPr>
        <w:snapToGrid w:val="0"/>
        <w:spacing w:line="640" w:lineRule="exact"/>
        <w:ind w:firstLine="640" w:firstLineChars="200"/>
        <w:rPr>
          <w:rFonts w:ascii="楷体" w:hAnsi="楷体" w:eastAsia="楷体" w:cs="楷体"/>
          <w:sz w:val="32"/>
          <w:szCs w:val="32"/>
        </w:rPr>
      </w:pPr>
      <w:r>
        <w:rPr>
          <w:rFonts w:hint="eastAsia" w:ascii="楷体" w:hAnsi="楷体" w:eastAsia="楷体" w:cs="楷体"/>
          <w:sz w:val="32"/>
          <w:szCs w:val="32"/>
        </w:rPr>
        <w:t>（三）股东要求</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1、第一大股东（主发起人）要求：</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（1）须为企业法人、政府财政、事业法人、社团组织或国（境）外法人。</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（2）应管理规范、财务状况良好，有充足的货币资金足以满足出资需要；信用良好，企业及法定代表人最近3年（不足3年的按实际提供）无重大违法违规、不良信用记录或被列入失信被执行人的情形。</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（3）出资比例不低于注册资本的30%。</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（4）为国（境）外法人的，申请前一年的净资产总额须符合国家对外商投资的有关规定。</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2、其他法人股东要求：</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（1）出资比例不得低于注册资本的5%，与第一大股东（主发起人）出资累计不得低于注册资本的51%。</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（2）其他与第一大股东（主发起人）要求相同。</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3、自然人股东要求：</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（1）具有完全民事行为能力，近3年内无重大违法违规、不良信用记录或被列为失信被执行人的情形。</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（2）出资比例不得低于注册资本的5%，入股资金为自有资金，出资来源真实合法、权属明晰，不得以他人委托资金、借贷资金入股。</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（3）自然人股东以共有财产出资应征得其财产共有人同意。</w:t>
      </w:r>
    </w:p>
    <w:p>
      <w:pPr>
        <w:snapToGrid w:val="0"/>
        <w:spacing w:line="640" w:lineRule="exact"/>
        <w:ind w:firstLine="640" w:firstLineChars="200"/>
        <w:rPr>
          <w:rFonts w:ascii="仿宋" w:hAnsi="仿宋" w:eastAsia="仿宋" w:cs="Times New Roman"/>
          <w:sz w:val="32"/>
          <w:szCs w:val="32"/>
        </w:rPr>
      </w:pPr>
      <w:r>
        <w:rPr>
          <w:rFonts w:hint="eastAsia" w:ascii="楷体" w:hAnsi="楷体" w:eastAsia="楷体" w:cs="楷体"/>
          <w:sz w:val="32"/>
          <w:szCs w:val="32"/>
        </w:rPr>
        <w:t>（四）从业人员要求。</w:t>
      </w:r>
      <w:r>
        <w:rPr>
          <w:rFonts w:hint="eastAsia" w:ascii="仿宋" w:hAnsi="仿宋" w:eastAsia="仿宋" w:cs="Times New Roman"/>
          <w:sz w:val="32"/>
          <w:szCs w:val="32"/>
        </w:rPr>
        <w:t>拟任董事、监事、财务负责人等高级管理人员应熟悉与小额贷款业务相关的法律法规和规定；信用良好，最近3年无重大违法违规、不良信用记录或被列入失信被执行人的情形；具有履行职责所需的从业经验和管理能力。</w:t>
      </w:r>
    </w:p>
    <w:p>
      <w:pPr>
        <w:snapToGrid w:val="0"/>
        <w:spacing w:line="640" w:lineRule="exact"/>
        <w:ind w:firstLine="640" w:firstLineChars="200"/>
        <w:rPr>
          <w:rFonts w:ascii="仿宋" w:hAnsi="仿宋" w:eastAsia="仿宋" w:cs="Times New Roman"/>
          <w:sz w:val="32"/>
          <w:szCs w:val="32"/>
        </w:rPr>
      </w:pPr>
      <w:r>
        <w:rPr>
          <w:rFonts w:hint="eastAsia" w:ascii="楷体" w:hAnsi="楷体" w:eastAsia="楷体" w:cs="楷体"/>
          <w:sz w:val="32"/>
          <w:szCs w:val="32"/>
        </w:rPr>
        <w:t>（五）公司责任义务。</w:t>
      </w:r>
      <w:r>
        <w:rPr>
          <w:rFonts w:hint="eastAsia" w:ascii="仿宋" w:hAnsi="仿宋" w:eastAsia="仿宋" w:cs="Times New Roman"/>
          <w:sz w:val="32"/>
          <w:szCs w:val="32"/>
        </w:rPr>
        <w:t>小额贷款公司主动申请退出试点资格或因违法违规经营被强制取消试点资格的，应主动配合金融工作部门完成退出试点、注销实体或变更为一般工商企业。对拒不配合的，将其有关信息推送至国家企业信用信息公示系统和省信用信息共享平台，承担失信行为带来的信用约束。</w:t>
      </w:r>
    </w:p>
    <w:p>
      <w:pPr>
        <w:snapToGrid w:val="0"/>
        <w:spacing w:line="640" w:lineRule="exact"/>
        <w:ind w:firstLine="640" w:firstLineChars="200"/>
        <w:rPr>
          <w:rFonts w:ascii="黑体" w:hAnsi="黑体" w:eastAsia="黑体" w:cs="黑体"/>
          <w:sz w:val="32"/>
          <w:szCs w:val="32"/>
        </w:rPr>
      </w:pPr>
      <w:r>
        <w:rPr>
          <w:rFonts w:hint="eastAsia" w:ascii="黑体" w:hAnsi="黑体" w:eastAsia="黑体" w:cs="黑体"/>
          <w:sz w:val="32"/>
          <w:szCs w:val="32"/>
        </w:rPr>
        <w:t>二、设立要点</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（一）出资人按照《中华人民共和国公司法》（以下简称《公司法》）规定，确定拟组建小额贷款公司的组织形式、出资方式和股本结构，明确出资人的权利和义务。</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（二）主要出资人召集其他出资人召开出资人会议，按照法定程序审议通过出资设立小额贷款公司、成立筹备工作小组(或指定代表或者共同委托代理人)并授权其履行组建工作职责的有关决议。</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（三）起草公司章程草案和各项内部管理制度。</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（四）申请预先核准公司名称。</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（五）确定营业场所。</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（六）在当地主流报纸公告发起设立小额贷款公司的基本情况、资金来源真实合法、材料真实性和合规经营承诺等信息。</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（七）提交申报材料，获得设立批复后，凭设立批复到登记注册机关办理注册登记。</w:t>
      </w:r>
    </w:p>
    <w:p>
      <w:pPr>
        <w:snapToGrid w:val="0"/>
        <w:spacing w:line="640" w:lineRule="exact"/>
        <w:ind w:firstLine="640" w:firstLineChars="200"/>
        <w:rPr>
          <w:rFonts w:ascii="黑体" w:hAnsi="黑体" w:eastAsia="黑体" w:cs="黑体"/>
          <w:sz w:val="32"/>
          <w:szCs w:val="32"/>
        </w:rPr>
      </w:pPr>
      <w:r>
        <w:rPr>
          <w:rFonts w:hint="eastAsia" w:ascii="黑体" w:hAnsi="黑体" w:eastAsia="黑体" w:cs="黑体"/>
          <w:sz w:val="32"/>
          <w:szCs w:val="32"/>
        </w:rPr>
        <w:t>三、提交材料</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（一）设立小额贷款公司申请登记表（原件1份）。</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（二）省辖市、省直管县(市)金融局或主发起人的省级主管单位设立小额贷款公司的请示或函（原件1份）。</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（三）新设小额贷款公司属地（公司住所地）金融局对股东、董事、监事和高级管理人员的监管谈话材料（原件1份）。</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（四）新设小额贷款公司提交的登记注册机关核发的在有效期的《企业名称预先核准通知书》（复印件1份）。</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（五）新设小额贷款公司在当地主流报纸上刊登的基本情况、资金来源真实合法、材料真实性和合规经营承诺情况的公告（原件1份）。</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（六）新设小额贷款公司的可行性研究报告（原件1份）。</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（七）新设小额贷款公司的股东会、董事会（设董事会时提供）和监事会（设监事会时提供）的决议（原件1份）。</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（八）新设小额贷款公司章程（原件1份）。</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（九）新设小额贷款公司提交法定验资机构出具的验资报告（原件1份，可在省辖市、省直管县（市）上报材料时提供）。</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（十）新设小额贷款公司的企业法人股东提交以下资料并加盖公章和法定代表人签字:1.法人股东近三年(不足三年,按实际提供)的审计报告（复印件1份）；2.人民银行的信用报告（原件1份）。</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（十一）新设小额贷款公司的自然人股东提交以下资料：1.身份证（复印件1份）；2.自然人股东资金来源说明（原件1份，签字和按指印）；3.个人信用记录报告（原件1份）。</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（十二）新设小额贷款公司的拟任董事、监事、高级管理人员材料：1.董事、监事、高级管理人员情况表（原件1份）；2.身份证（复印件1份）；3.个人信用记录报告（原件1份）。</w:t>
      </w:r>
    </w:p>
    <w:p>
      <w:pPr>
        <w:snapToGrid w:val="0"/>
        <w:spacing w:line="640" w:lineRule="exact"/>
        <w:ind w:firstLine="640" w:firstLineChars="200"/>
        <w:rPr>
          <w:rFonts w:ascii="仿宋" w:hAnsi="仿宋" w:eastAsia="仿宋" w:cs="Times New Roman"/>
          <w:sz w:val="36"/>
          <w:szCs w:val="36"/>
        </w:rPr>
      </w:pPr>
      <w:r>
        <w:rPr>
          <w:rFonts w:hint="eastAsia" w:ascii="仿宋" w:hAnsi="仿宋" w:eastAsia="仿宋" w:cs="Times New Roman"/>
          <w:sz w:val="32"/>
          <w:szCs w:val="32"/>
        </w:rPr>
        <w:t>（十三）新设小额贷款公司制度：信息披露制度、内部控制制度、贷款管理制度、财务制度、风险控制、客户档案管理等制度（原件各1份）。</w:t>
      </w:r>
    </w:p>
    <w:p>
      <w:pPr>
        <w:snapToGrid w:val="0"/>
        <w:spacing w:line="640" w:lineRule="exact"/>
        <w:ind w:firstLine="640" w:firstLineChars="200"/>
        <w:rPr>
          <w:rFonts w:ascii="黑体" w:hAnsi="黑体" w:eastAsia="黑体" w:cs="黑体"/>
          <w:sz w:val="32"/>
          <w:szCs w:val="32"/>
        </w:rPr>
      </w:pPr>
      <w:r>
        <w:rPr>
          <w:rFonts w:hint="eastAsia" w:ascii="黑体" w:hAnsi="黑体" w:eastAsia="黑体" w:cs="黑体"/>
          <w:sz w:val="32"/>
          <w:szCs w:val="32"/>
        </w:rPr>
        <w:t>四、审核要点</w:t>
      </w:r>
    </w:p>
    <w:p>
      <w:pPr>
        <w:snapToGrid w:val="0"/>
        <w:spacing w:line="640" w:lineRule="exact"/>
        <w:ind w:firstLine="640" w:firstLineChars="200"/>
        <w:rPr>
          <w:rFonts w:ascii="仿宋" w:hAnsi="仿宋" w:eastAsia="仿宋" w:cs="Times New Roman"/>
          <w:sz w:val="32"/>
          <w:szCs w:val="32"/>
        </w:rPr>
      </w:pPr>
      <w:r>
        <w:rPr>
          <w:rFonts w:hint="eastAsia" w:ascii="楷体" w:hAnsi="楷体" w:eastAsia="楷体" w:cs="楷体"/>
          <w:sz w:val="32"/>
          <w:szCs w:val="32"/>
        </w:rPr>
        <w:t>（一）设立申请登记表。</w:t>
      </w:r>
      <w:r>
        <w:rPr>
          <w:rFonts w:hint="eastAsia" w:ascii="仿宋" w:hAnsi="仿宋" w:eastAsia="仿宋" w:cs="Times New Roman"/>
          <w:sz w:val="32"/>
          <w:szCs w:val="32"/>
        </w:rPr>
        <w:t>申请人自行下载并在进行监管谈话时当面如实填写、逐项自查，登记表不得缺项漏项。</w:t>
      </w:r>
    </w:p>
    <w:p>
      <w:pPr>
        <w:snapToGrid w:val="0"/>
        <w:spacing w:line="640" w:lineRule="exact"/>
        <w:ind w:firstLine="640" w:firstLineChars="200"/>
        <w:rPr>
          <w:rFonts w:ascii="仿宋" w:hAnsi="仿宋" w:eastAsia="仿宋" w:cs="Times New Roman"/>
          <w:sz w:val="32"/>
          <w:szCs w:val="32"/>
        </w:rPr>
      </w:pPr>
      <w:r>
        <w:rPr>
          <w:rFonts w:hint="eastAsia" w:ascii="楷体" w:hAnsi="楷体" w:eastAsia="楷体" w:cs="楷体"/>
          <w:sz w:val="32"/>
          <w:szCs w:val="32"/>
        </w:rPr>
        <w:t>（二）设立的请示或函。</w:t>
      </w:r>
      <w:r>
        <w:rPr>
          <w:rFonts w:hint="eastAsia" w:ascii="仿宋" w:hAnsi="仿宋" w:eastAsia="仿宋" w:cs="Times New Roman"/>
          <w:sz w:val="32"/>
          <w:szCs w:val="32"/>
        </w:rPr>
        <w:t>省辖市、省直管县(市)金融局或作为主发起人的省级主管单位关于设立的请示或函，要列明拟设公司基本情况、现场勘查、审查公告情况和材料审查意见等，以及履行对该公司日常监管和风险处置责任。</w:t>
      </w:r>
    </w:p>
    <w:p>
      <w:pPr>
        <w:snapToGrid w:val="0"/>
        <w:spacing w:line="640" w:lineRule="exact"/>
        <w:ind w:firstLine="640" w:firstLineChars="200"/>
        <w:rPr>
          <w:rFonts w:ascii="仿宋" w:hAnsi="仿宋" w:eastAsia="仿宋" w:cs="Times New Roman"/>
          <w:sz w:val="32"/>
          <w:szCs w:val="32"/>
        </w:rPr>
      </w:pPr>
      <w:r>
        <w:rPr>
          <w:rFonts w:hint="eastAsia" w:ascii="楷体" w:hAnsi="楷体" w:eastAsia="楷体" w:cs="楷体"/>
          <w:sz w:val="32"/>
          <w:szCs w:val="32"/>
        </w:rPr>
        <w:t>（三）监管谈话材料。</w:t>
      </w:r>
      <w:r>
        <w:rPr>
          <w:rFonts w:hint="eastAsia" w:ascii="仿宋" w:hAnsi="仿宋" w:eastAsia="仿宋" w:cs="Times New Roman"/>
          <w:sz w:val="32"/>
          <w:szCs w:val="32"/>
        </w:rPr>
        <w:t>在审查申请人设立申请登记表的基础上，属地金融局可通过对小额贷款公司相关的法律、法规、政策和规章进行测试或监管谈话等方式，对董事、监事和高级管理人员的从业经验和管理能力做出初步的客观评价；通过信用（中国）或国家企业信用信息公示系统等查询股东的信用信息，或直接向公安、市场监管、税务和处非等有关部门发函等方式，对股东信用情况做出初步的客观评价；通过到公司的住所进行现场勘查,对购房合同（自有）或租赁合同现场审验等做出初步评价。属地金融局约谈时，要现场核查约谈人员的身份证信息。</w:t>
      </w:r>
      <w:r>
        <w:rPr>
          <w:rFonts w:hint="eastAsia" w:ascii="仿宋" w:hAnsi="仿宋" w:eastAsia="仿宋" w:cs="Times New Roman"/>
          <w:sz w:val="32"/>
          <w:szCs w:val="32"/>
        </w:rPr>
        <w:cr/>
      </w:r>
      <w:r>
        <w:rPr>
          <w:rFonts w:hint="eastAsia" w:ascii="楷体" w:hAnsi="楷体" w:eastAsia="楷体" w:cs="楷体"/>
          <w:sz w:val="32"/>
          <w:szCs w:val="32"/>
        </w:rPr>
        <w:t>（四）公司名称。</w:t>
      </w:r>
      <w:r>
        <w:rPr>
          <w:rFonts w:hint="eastAsia" w:ascii="仿宋" w:hAnsi="仿宋" w:eastAsia="仿宋" w:cs="Times New Roman"/>
          <w:sz w:val="32"/>
          <w:szCs w:val="32"/>
        </w:rPr>
        <w:t>新设小额贷款公司提交的《企业名称预先核准通知书》在有效期内，名称四部分组成,即行政区划、字号、行业、组织形式。其中行业仅为“小额贷款”。</w:t>
      </w:r>
    </w:p>
    <w:p>
      <w:pPr>
        <w:snapToGrid w:val="0"/>
        <w:spacing w:line="640" w:lineRule="exact"/>
        <w:ind w:firstLine="640" w:firstLineChars="200"/>
        <w:rPr>
          <w:rFonts w:ascii="仿宋" w:hAnsi="仿宋" w:eastAsia="仿宋" w:cs="Times New Roman"/>
          <w:sz w:val="32"/>
          <w:szCs w:val="32"/>
        </w:rPr>
      </w:pPr>
      <w:r>
        <w:rPr>
          <w:rFonts w:hint="eastAsia" w:ascii="楷体" w:hAnsi="楷体" w:eastAsia="楷体" w:cs="楷体"/>
          <w:sz w:val="32"/>
          <w:szCs w:val="32"/>
        </w:rPr>
        <w:t>（五）报纸公告。</w:t>
      </w:r>
      <w:r>
        <w:rPr>
          <w:rFonts w:hint="eastAsia" w:ascii="仿宋" w:hAnsi="仿宋" w:eastAsia="仿宋" w:cs="Times New Roman"/>
          <w:sz w:val="32"/>
          <w:szCs w:val="32"/>
        </w:rPr>
        <w:t>新设小额贷款公司在当地主流报纸刊登基本情况、资金来源真实合法、材料真实性和合规经营承诺情况的公告，内容包括：新设小额贷款公司名称、住所、注册资本、股东及股权比例、拟任董事长、拟任监事长、拟任总经理人选，承诺申报材料真实合法、依法合规经营，并承担相应法律责任。</w:t>
      </w:r>
    </w:p>
    <w:p>
      <w:pPr>
        <w:snapToGrid w:val="0"/>
        <w:spacing w:line="640" w:lineRule="exact"/>
        <w:ind w:firstLine="640" w:firstLineChars="200"/>
        <w:rPr>
          <w:rFonts w:ascii="仿宋" w:hAnsi="仿宋" w:eastAsia="仿宋" w:cs="Times New Roman"/>
          <w:sz w:val="32"/>
          <w:szCs w:val="32"/>
        </w:rPr>
      </w:pPr>
      <w:r>
        <w:rPr>
          <w:rFonts w:hint="eastAsia" w:ascii="楷体" w:hAnsi="楷体" w:eastAsia="楷体" w:cs="楷体"/>
          <w:sz w:val="32"/>
          <w:szCs w:val="32"/>
        </w:rPr>
        <w:t>（六）可行性研究报告</w:t>
      </w:r>
      <w:r>
        <w:rPr>
          <w:rFonts w:hint="eastAsia" w:ascii="仿宋" w:hAnsi="仿宋" w:eastAsia="仿宋" w:cs="Times New Roman"/>
          <w:sz w:val="32"/>
          <w:szCs w:val="32"/>
        </w:rPr>
        <w:t>。可行性研究报告内容至少包括：设立的可行性和必要性、市场前景分析、经营机制、目标市场、内控机制及控制目标、经济效益和社会效果等相关内容，可行性研究报告有明确的结论性意见。</w:t>
      </w:r>
    </w:p>
    <w:p>
      <w:pPr>
        <w:snapToGrid w:val="0"/>
        <w:spacing w:line="640" w:lineRule="exact"/>
        <w:ind w:firstLine="640" w:firstLineChars="200"/>
        <w:rPr>
          <w:rFonts w:ascii="仿宋" w:hAnsi="仿宋" w:eastAsia="仿宋" w:cs="Times New Roman"/>
          <w:sz w:val="32"/>
          <w:szCs w:val="32"/>
        </w:rPr>
      </w:pPr>
      <w:r>
        <w:rPr>
          <w:rFonts w:hint="eastAsia" w:ascii="楷体" w:hAnsi="楷体" w:eastAsia="楷体" w:cs="楷体"/>
          <w:sz w:val="32"/>
          <w:szCs w:val="32"/>
        </w:rPr>
        <w:t>（七）有关决议。</w:t>
      </w:r>
      <w:r>
        <w:rPr>
          <w:rFonts w:hint="eastAsia" w:ascii="仿宋" w:hAnsi="仿宋" w:eastAsia="仿宋" w:cs="Times New Roman"/>
          <w:sz w:val="32"/>
          <w:szCs w:val="32"/>
        </w:rPr>
        <w:t>设董事会或监事会时，相关决议符合《公司法》要求，即股东会选举董事和监事，董事会和监事会选举相应董事长和监事会主席，董事或监事的人数等相关决议内容要与公司章程的有关条款保持一致。股东会决议要符合法定程序，须参会的法人股东盖章、自然人股东签字并按指印；董事会和监事会决议，须参会人员签字。</w:t>
      </w:r>
    </w:p>
    <w:p>
      <w:pPr>
        <w:snapToGrid w:val="0"/>
        <w:spacing w:line="640" w:lineRule="exact"/>
        <w:ind w:firstLine="640" w:firstLineChars="200"/>
        <w:rPr>
          <w:rFonts w:ascii="仿宋" w:hAnsi="仿宋" w:eastAsia="仿宋" w:cs="Times New Roman"/>
          <w:sz w:val="32"/>
          <w:szCs w:val="32"/>
        </w:rPr>
      </w:pPr>
      <w:r>
        <w:rPr>
          <w:rFonts w:hint="eastAsia" w:ascii="楷体" w:hAnsi="楷体" w:eastAsia="楷体" w:cs="楷体"/>
          <w:sz w:val="32"/>
          <w:szCs w:val="32"/>
        </w:rPr>
        <w:t>（八）公司章程。</w:t>
      </w:r>
      <w:r>
        <w:rPr>
          <w:rFonts w:hint="eastAsia" w:ascii="仿宋" w:hAnsi="仿宋" w:eastAsia="仿宋" w:cs="Times New Roman"/>
          <w:sz w:val="32"/>
          <w:szCs w:val="32"/>
        </w:rPr>
        <w:t>应符合《公司法》要求，还要列明小额贷款公司的特殊规定和禁止性条款。国有企业要把党建工作要求写入公司章程。公司章程须法人股东盖章、自然人股东签字并按指印。</w:t>
      </w:r>
    </w:p>
    <w:p>
      <w:pPr>
        <w:snapToGrid w:val="0"/>
        <w:spacing w:line="640" w:lineRule="exact"/>
        <w:ind w:firstLine="640" w:firstLineChars="200"/>
        <w:rPr>
          <w:rFonts w:ascii="仿宋" w:hAnsi="仿宋" w:eastAsia="仿宋" w:cs="Times New Roman"/>
          <w:sz w:val="32"/>
          <w:szCs w:val="32"/>
        </w:rPr>
      </w:pPr>
      <w:r>
        <w:rPr>
          <w:rFonts w:hint="eastAsia" w:ascii="楷体" w:hAnsi="楷体" w:eastAsia="楷体" w:cs="楷体"/>
          <w:sz w:val="32"/>
          <w:szCs w:val="32"/>
        </w:rPr>
        <w:t>（九）验资报告。</w:t>
      </w:r>
      <w:r>
        <w:rPr>
          <w:rFonts w:hint="eastAsia" w:ascii="仿宋" w:hAnsi="仿宋" w:eastAsia="仿宋" w:cs="仿宋"/>
          <w:sz w:val="32"/>
          <w:szCs w:val="32"/>
        </w:rPr>
        <w:t>在省辖市、省直管县（市）金融局上报</w:t>
      </w:r>
      <w:r>
        <w:rPr>
          <w:rFonts w:hint="eastAsia" w:ascii="仿宋" w:hAnsi="仿宋" w:eastAsia="仿宋" w:cs="Times New Roman"/>
          <w:sz w:val="32"/>
          <w:szCs w:val="32"/>
        </w:rPr>
        <w:t>省地方金融监管局时提供，报告中的股东名称、出资金额、股权比例等与新设小额贷款公司的股东相关信息一致；验资报告在90日内，带验证码或防伪标识，可登录河南省注册会计师网等有关网站查询。我省小额贷款公司实行主办银行制度，应在主办银行开设验资账户，并在领取营业执照后开设基本户和信贷专用账户。</w:t>
      </w:r>
    </w:p>
    <w:p>
      <w:pPr>
        <w:snapToGrid w:val="0"/>
        <w:spacing w:line="640" w:lineRule="exact"/>
        <w:ind w:firstLine="640" w:firstLineChars="200"/>
        <w:rPr>
          <w:rFonts w:ascii="仿宋" w:hAnsi="仿宋" w:eastAsia="仿宋" w:cs="Times New Roman"/>
          <w:sz w:val="32"/>
          <w:szCs w:val="32"/>
        </w:rPr>
      </w:pPr>
      <w:r>
        <w:rPr>
          <w:rFonts w:hint="eastAsia" w:ascii="楷体" w:hAnsi="楷体" w:eastAsia="楷体" w:cs="楷体"/>
          <w:sz w:val="32"/>
          <w:szCs w:val="32"/>
        </w:rPr>
        <w:t>（十）法人股东。</w:t>
      </w:r>
      <w:r>
        <w:rPr>
          <w:rFonts w:hint="eastAsia" w:ascii="仿宋" w:hAnsi="仿宋" w:eastAsia="仿宋" w:cs="Times New Roman"/>
          <w:sz w:val="32"/>
          <w:szCs w:val="32"/>
        </w:rPr>
        <w:t>审计报告中的自有或流动货币资金须超过拟出资额(不含抵押、存货、担保类等资产)。</w:t>
      </w:r>
    </w:p>
    <w:p>
      <w:pPr>
        <w:snapToGrid w:val="0"/>
        <w:spacing w:line="640" w:lineRule="exact"/>
        <w:ind w:firstLine="640" w:firstLineChars="200"/>
        <w:rPr>
          <w:rFonts w:ascii="仿宋" w:hAnsi="仿宋" w:eastAsia="仿宋" w:cs="Times New Roman"/>
          <w:sz w:val="32"/>
          <w:szCs w:val="32"/>
        </w:rPr>
      </w:pPr>
      <w:r>
        <w:rPr>
          <w:rFonts w:hint="eastAsia" w:ascii="楷体" w:hAnsi="楷体" w:eastAsia="楷体" w:cs="楷体"/>
          <w:sz w:val="32"/>
          <w:szCs w:val="32"/>
        </w:rPr>
        <w:t>（十一）自然人股东。</w:t>
      </w:r>
      <w:r>
        <w:rPr>
          <w:rFonts w:hint="eastAsia" w:ascii="仿宋" w:hAnsi="仿宋" w:eastAsia="仿宋" w:cs="Times New Roman"/>
          <w:sz w:val="32"/>
          <w:szCs w:val="32"/>
        </w:rPr>
        <w:t>自然人股东资金来源说明，若主要来源于股权投资或兴办的经济实体,属地金融局须登陆全国企业信用信息公示系统或信用（中国）等信用信息系统进行查证有关经济实体情况；其他来源的，可通过监管约谈或面签等方式了解。</w:t>
      </w:r>
    </w:p>
    <w:p>
      <w:pPr>
        <w:snapToGrid w:val="0"/>
        <w:spacing w:line="640" w:lineRule="exact"/>
        <w:ind w:firstLine="640" w:firstLineChars="200"/>
        <w:rPr>
          <w:rFonts w:ascii="仿宋" w:hAnsi="仿宋" w:eastAsia="仿宋" w:cs="Times New Roman"/>
          <w:sz w:val="32"/>
          <w:szCs w:val="32"/>
        </w:rPr>
      </w:pPr>
      <w:r>
        <w:rPr>
          <w:rFonts w:hint="eastAsia" w:ascii="楷体" w:hAnsi="楷体" w:eastAsia="楷体" w:cs="楷体"/>
          <w:sz w:val="32"/>
          <w:szCs w:val="32"/>
        </w:rPr>
        <w:t>（十二）从业人员。</w:t>
      </w:r>
      <w:r>
        <w:rPr>
          <w:rFonts w:hint="eastAsia" w:ascii="仿宋" w:hAnsi="仿宋" w:eastAsia="仿宋" w:cs="Times New Roman"/>
          <w:sz w:val="32"/>
          <w:szCs w:val="32"/>
        </w:rPr>
        <w:t>可结合《河南省小额贷款公司设立申请登记表》进行审查。其中，高级管理人员应具备大专以上学历；从事小额贷款或在银行业金融机构工作3年以上，或从事相关行业工作5年以上。相关行业主要包括保险公司、证券公司、基金公司、投资公司、担保公司、信托公司、财务公司、典当公司、期货公司和资产管理公司等。财务负责人应具有会计、财务或者审计等相关领域中级以上职称。属地金融局应查看原件。</w:t>
      </w:r>
    </w:p>
    <w:p>
      <w:pPr>
        <w:snapToGrid w:val="0"/>
        <w:spacing w:line="640" w:lineRule="exact"/>
        <w:ind w:firstLine="640" w:firstLineChars="200"/>
        <w:rPr>
          <w:rFonts w:ascii="仿宋" w:hAnsi="仿宋" w:eastAsia="仿宋" w:cs="Times New Roman"/>
          <w:sz w:val="32"/>
          <w:szCs w:val="32"/>
        </w:rPr>
      </w:pPr>
      <w:r>
        <w:rPr>
          <w:rFonts w:hint="eastAsia" w:ascii="楷体" w:hAnsi="楷体" w:eastAsia="楷体" w:cs="楷体"/>
          <w:sz w:val="32"/>
          <w:szCs w:val="32"/>
        </w:rPr>
        <w:t>（十三）公司制度。</w:t>
      </w:r>
      <w:r>
        <w:rPr>
          <w:rFonts w:hint="eastAsia" w:ascii="仿宋" w:hAnsi="仿宋" w:eastAsia="仿宋" w:cs="Times New Roman"/>
          <w:sz w:val="32"/>
          <w:szCs w:val="32"/>
        </w:rPr>
        <w:t>审核新设小额贷款公司是否制定了以下制度：信息披露制度、内部控制制度、贷款管理制度、财务管理制度、风险控制制度、客户档案管理制度等。</w:t>
      </w:r>
    </w:p>
    <w:p>
      <w:pPr>
        <w:snapToGrid w:val="0"/>
        <w:spacing w:line="640" w:lineRule="exact"/>
        <w:ind w:firstLine="640" w:firstLineChars="200"/>
        <w:rPr>
          <w:rFonts w:ascii="黑体" w:hAnsi="黑体" w:eastAsia="黑体" w:cs="黑体"/>
          <w:sz w:val="32"/>
          <w:szCs w:val="32"/>
        </w:rPr>
      </w:pPr>
      <w:r>
        <w:rPr>
          <w:rFonts w:hint="eastAsia" w:ascii="黑体" w:hAnsi="黑体" w:eastAsia="黑体" w:cs="黑体"/>
          <w:sz w:val="32"/>
          <w:szCs w:val="32"/>
        </w:rPr>
        <w:t>五、审核程序</w:t>
      </w:r>
    </w:p>
    <w:p>
      <w:pPr>
        <w:snapToGrid w:val="0"/>
        <w:spacing w:line="640" w:lineRule="exact"/>
        <w:ind w:firstLine="640" w:firstLineChars="200"/>
        <w:rPr>
          <w:rFonts w:ascii="仿宋" w:hAnsi="仿宋" w:eastAsia="仿宋" w:cs="Times New Roman"/>
          <w:sz w:val="32"/>
          <w:szCs w:val="32"/>
        </w:rPr>
      </w:pPr>
      <w:r>
        <w:rPr>
          <w:rFonts w:hint="eastAsia" w:ascii="楷体" w:hAnsi="楷体" w:eastAsia="楷体" w:cs="楷体"/>
          <w:sz w:val="32"/>
          <w:szCs w:val="32"/>
        </w:rPr>
        <w:t>（一）受理。</w:t>
      </w:r>
      <w:r>
        <w:rPr>
          <w:rFonts w:hint="eastAsia" w:ascii="仿宋" w:hAnsi="仿宋" w:eastAsia="仿宋" w:cs="Times New Roman"/>
          <w:sz w:val="32"/>
          <w:szCs w:val="32"/>
        </w:rPr>
        <w:t>申请人符合本指引申请条件的，按照材料清单准备相关材料,通过属地金融局逐级上报，或由省级主管部门向省地方金融监管局提交设立意见函。不予受理的，书面告知申请人，并说明理由。</w:t>
      </w:r>
    </w:p>
    <w:p>
      <w:pPr>
        <w:snapToGrid w:val="0"/>
        <w:spacing w:line="640" w:lineRule="exact"/>
        <w:ind w:firstLine="640" w:firstLineChars="200"/>
        <w:rPr>
          <w:rFonts w:ascii="仿宋" w:hAnsi="仿宋" w:eastAsia="仿宋" w:cs="Times New Roman"/>
          <w:sz w:val="32"/>
          <w:szCs w:val="32"/>
        </w:rPr>
      </w:pPr>
      <w:r>
        <w:rPr>
          <w:rFonts w:hint="eastAsia" w:ascii="楷体" w:hAnsi="楷体" w:eastAsia="楷体" w:cs="楷体"/>
          <w:sz w:val="32"/>
          <w:szCs w:val="32"/>
        </w:rPr>
        <w:t>（二）审查。</w:t>
      </w:r>
      <w:r>
        <w:rPr>
          <w:rFonts w:hint="eastAsia" w:ascii="仿宋" w:hAnsi="仿宋" w:eastAsia="仿宋" w:cs="Times New Roman"/>
          <w:sz w:val="32"/>
          <w:szCs w:val="32"/>
        </w:rPr>
        <w:t>实行逐级审查、逐级公示。各级金融局接到申请材料后，按照审查要点进行审查。经审查符合设立条件、材料齐全且门户网站公示无异议的，向上级金融局提交设立申请。审查中，需要补正材料或情况说明的，要一次性告知需要补正的清单，并要求申请人限期完善；需要现场核查的，可组织专家现场核查，并书面告知申请人；需要征求有关部门意见的，应直接向有关部门函证。</w:t>
      </w:r>
    </w:p>
    <w:p>
      <w:pPr>
        <w:snapToGrid w:val="0"/>
        <w:spacing w:line="640" w:lineRule="exact"/>
        <w:ind w:firstLine="640" w:firstLineChars="200"/>
        <w:rPr>
          <w:rFonts w:ascii="仿宋" w:hAnsi="仿宋" w:eastAsia="仿宋" w:cs="Times New Roman"/>
          <w:sz w:val="32"/>
          <w:szCs w:val="32"/>
        </w:rPr>
      </w:pPr>
      <w:r>
        <w:rPr>
          <w:rFonts w:hint="eastAsia" w:ascii="楷体" w:hAnsi="楷体" w:eastAsia="楷体" w:cs="楷体"/>
          <w:sz w:val="32"/>
          <w:szCs w:val="32"/>
        </w:rPr>
        <w:t>（三）决定。</w:t>
      </w:r>
      <w:r>
        <w:rPr>
          <w:rFonts w:hint="eastAsia" w:ascii="仿宋" w:hAnsi="仿宋" w:eastAsia="仿宋" w:cs="Times New Roman"/>
          <w:sz w:val="32"/>
          <w:szCs w:val="32"/>
        </w:rPr>
        <w:t>决定批准的，省地方金融监管局下发设立批复；不予批准的，书面告知申请人，并说明理由。</w:t>
      </w:r>
    </w:p>
    <w:p>
      <w:pPr>
        <w:snapToGrid w:val="0"/>
        <w:spacing w:line="640" w:lineRule="exact"/>
        <w:ind w:firstLine="640" w:firstLineChars="200"/>
        <w:rPr>
          <w:rFonts w:ascii="仿宋" w:hAnsi="仿宋" w:eastAsia="仿宋" w:cs="Times New Roman"/>
          <w:sz w:val="32"/>
          <w:szCs w:val="32"/>
        </w:rPr>
      </w:pPr>
      <w:r>
        <w:rPr>
          <w:rFonts w:hint="eastAsia" w:ascii="楷体" w:hAnsi="楷体" w:eastAsia="楷体" w:cs="楷体"/>
          <w:sz w:val="32"/>
          <w:szCs w:val="32"/>
        </w:rPr>
        <w:t>（四）送达。</w:t>
      </w:r>
      <w:r>
        <w:rPr>
          <w:rFonts w:hint="eastAsia" w:ascii="仿宋" w:hAnsi="仿宋" w:eastAsia="仿宋" w:cs="Times New Roman"/>
          <w:sz w:val="32"/>
          <w:szCs w:val="32"/>
        </w:rPr>
        <w:t>省地方金融监管局将设立批复通过邮寄或自行领取等方式送达省辖市、省直管县（市）金融局。属地金融局应当督促小额贷款公司自领取设立批复文件后30日内到市场监督管理部门登记注册。小额贷款公司登记注册后,属地金融工作部门应督促小额贷款公司登陆“河南省小额贷款公司业务信息监管平台”填写完善相关信息。</w:t>
      </w:r>
    </w:p>
    <w:p>
      <w:pPr>
        <w:snapToGrid w:val="0"/>
        <w:spacing w:line="640" w:lineRule="exact"/>
        <w:ind w:firstLine="640" w:firstLineChars="200"/>
        <w:rPr>
          <w:rFonts w:ascii="仿宋" w:hAnsi="仿宋" w:eastAsia="仿宋" w:cs="Times New Roman"/>
          <w:sz w:val="32"/>
          <w:szCs w:val="32"/>
        </w:rPr>
      </w:pPr>
      <w:r>
        <w:rPr>
          <w:rFonts w:hint="eastAsia" w:ascii="楷体" w:hAnsi="楷体" w:eastAsia="楷体" w:cs="楷体"/>
          <w:sz w:val="32"/>
          <w:szCs w:val="32"/>
        </w:rPr>
        <w:t>（五）建档。</w:t>
      </w:r>
      <w:r>
        <w:rPr>
          <w:rFonts w:hint="eastAsia" w:ascii="仿宋" w:hAnsi="仿宋" w:eastAsia="仿宋" w:cs="Times New Roman"/>
          <w:sz w:val="32"/>
          <w:szCs w:val="32"/>
        </w:rPr>
        <w:t>各级金融局要对小额贷款公司设立的申请材料、补正材料、批复文件等纸质文件进行整理，存档备案。</w:t>
      </w:r>
    </w:p>
    <w:p>
      <w:pPr>
        <w:snapToGrid w:val="0"/>
        <w:spacing w:line="64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附件: 1.河南省小额贷款公司设立申请登记表</w:t>
      </w:r>
    </w:p>
    <w:p>
      <w:pPr>
        <w:snapToGrid w:val="0"/>
        <w:spacing w:line="640" w:lineRule="exact"/>
        <w:ind w:firstLine="1600" w:firstLineChars="500"/>
        <w:rPr>
          <w:rFonts w:ascii="仿宋" w:hAnsi="仿宋" w:eastAsia="仿宋" w:cs="Times New Roman"/>
          <w:sz w:val="32"/>
          <w:szCs w:val="32"/>
        </w:rPr>
      </w:pPr>
      <w:r>
        <w:rPr>
          <w:rFonts w:hint="eastAsia" w:ascii="仿宋" w:hAnsi="仿宋" w:eastAsia="仿宋" w:cs="Times New Roman"/>
          <w:sz w:val="32"/>
          <w:szCs w:val="32"/>
        </w:rPr>
        <w:t>2.董事、监事、高级管理人员任职资格审核表</w:t>
      </w:r>
    </w:p>
    <w:tbl>
      <w:tblPr>
        <w:tblStyle w:val="15"/>
        <w:tblW w:w="0" w:type="auto"/>
        <w:jc w:val="center"/>
        <w:tblLayout w:type="fixed"/>
        <w:tblCellMar>
          <w:top w:w="0" w:type="dxa"/>
          <w:left w:w="108" w:type="dxa"/>
          <w:bottom w:w="0" w:type="dxa"/>
          <w:right w:w="108" w:type="dxa"/>
        </w:tblCellMar>
      </w:tblPr>
      <w:tblGrid>
        <w:gridCol w:w="1275"/>
        <w:gridCol w:w="1245"/>
        <w:gridCol w:w="228"/>
        <w:gridCol w:w="1047"/>
        <w:gridCol w:w="720"/>
        <w:gridCol w:w="430"/>
        <w:gridCol w:w="110"/>
        <w:gridCol w:w="1152"/>
        <w:gridCol w:w="108"/>
        <w:gridCol w:w="120"/>
        <w:gridCol w:w="960"/>
        <w:gridCol w:w="384"/>
        <w:gridCol w:w="516"/>
        <w:gridCol w:w="299"/>
        <w:gridCol w:w="1136"/>
      </w:tblGrid>
      <w:tr>
        <w:tblPrEx>
          <w:tblCellMar>
            <w:top w:w="0" w:type="dxa"/>
            <w:left w:w="108" w:type="dxa"/>
            <w:bottom w:w="0" w:type="dxa"/>
            <w:right w:w="108" w:type="dxa"/>
          </w:tblCellMar>
        </w:tblPrEx>
        <w:trPr>
          <w:trHeight w:val="540" w:hRule="atLeast"/>
          <w:jc w:val="center"/>
        </w:trPr>
        <w:tc>
          <w:tcPr>
            <w:tcW w:w="9730" w:type="dxa"/>
            <w:gridSpan w:val="15"/>
            <w:tcBorders>
              <w:top w:val="nil"/>
              <w:left w:val="nil"/>
              <w:bottom w:val="nil"/>
              <w:right w:val="nil"/>
            </w:tcBorders>
            <w:noWrap/>
            <w:vAlign w:val="bottom"/>
          </w:tcPr>
          <w:p>
            <w:pPr>
              <w:widowControl/>
              <w:rPr>
                <w:rFonts w:ascii="黑体" w:hAnsi="黑体" w:eastAsia="黑体" w:cs="黑体"/>
                <w:bCs/>
                <w:kern w:val="0"/>
                <w:sz w:val="28"/>
                <w:szCs w:val="28"/>
              </w:rPr>
            </w:pPr>
            <w:r>
              <w:rPr>
                <w:rFonts w:hint="eastAsia" w:ascii="黑体" w:hAnsi="黑体" w:eastAsia="黑体" w:cs="黑体"/>
                <w:bCs/>
                <w:kern w:val="0"/>
                <w:sz w:val="28"/>
                <w:szCs w:val="28"/>
              </w:rPr>
              <w:t>附件1</w:t>
            </w:r>
          </w:p>
          <w:p>
            <w:pPr>
              <w:widowControl/>
              <w:jc w:val="center"/>
              <w:rPr>
                <w:rFonts w:ascii="仿宋" w:hAnsi="仿宋" w:eastAsia="仿宋" w:cs="宋体"/>
                <w:bCs/>
                <w:kern w:val="0"/>
                <w:sz w:val="32"/>
                <w:szCs w:val="32"/>
              </w:rPr>
            </w:pPr>
            <w:r>
              <w:rPr>
                <w:rFonts w:hint="eastAsia" w:ascii="文星标宋" w:hAnsi="文星标宋" w:eastAsia="文星标宋" w:cs="文星标宋"/>
                <w:bCs/>
                <w:kern w:val="0"/>
                <w:sz w:val="44"/>
                <w:szCs w:val="44"/>
              </w:rPr>
              <w:t>河南省小额贷款公司设立申请登记表</w:t>
            </w:r>
          </w:p>
        </w:tc>
      </w:tr>
      <w:tr>
        <w:tblPrEx>
          <w:tblCellMar>
            <w:top w:w="0" w:type="dxa"/>
            <w:left w:w="108" w:type="dxa"/>
            <w:bottom w:w="0" w:type="dxa"/>
            <w:right w:w="108" w:type="dxa"/>
          </w:tblCellMar>
        </w:tblPrEx>
        <w:trPr>
          <w:trHeight w:val="567" w:hRule="atLeast"/>
          <w:jc w:val="center"/>
        </w:trPr>
        <w:tc>
          <w:tcPr>
            <w:tcW w:w="9730" w:type="dxa"/>
            <w:gridSpan w:val="15"/>
            <w:tcBorders>
              <w:top w:val="single" w:color="auto" w:sz="4" w:space="0"/>
              <w:left w:val="single" w:color="auto" w:sz="4" w:space="0"/>
              <w:bottom w:val="single" w:color="auto" w:sz="4" w:space="0"/>
              <w:right w:val="single" w:color="auto" w:sz="4" w:space="0"/>
            </w:tcBorders>
            <w:noWrap/>
            <w:vAlign w:val="center"/>
          </w:tcPr>
          <w:p>
            <w:pPr>
              <w:widowControl/>
              <w:jc w:val="left"/>
              <w:rPr>
                <w:rFonts w:ascii="仿宋" w:hAnsi="仿宋" w:eastAsia="仿宋" w:cs="宋体"/>
                <w:bCs/>
                <w:kern w:val="0"/>
                <w:sz w:val="24"/>
              </w:rPr>
            </w:pPr>
            <w:r>
              <w:rPr>
                <w:rFonts w:hint="eastAsia" w:ascii="黑体" w:hAnsi="黑体" w:eastAsia="黑体" w:cs="黑体"/>
                <w:bCs/>
                <w:kern w:val="0"/>
                <w:sz w:val="24"/>
              </w:rPr>
              <w:t>一、基本情况</w:t>
            </w:r>
          </w:p>
        </w:tc>
      </w:tr>
      <w:tr>
        <w:tblPrEx>
          <w:tblCellMar>
            <w:top w:w="0" w:type="dxa"/>
            <w:left w:w="108" w:type="dxa"/>
            <w:bottom w:w="0" w:type="dxa"/>
            <w:right w:w="108" w:type="dxa"/>
          </w:tblCellMar>
        </w:tblPrEx>
        <w:trPr>
          <w:trHeight w:val="510" w:hRule="atLeast"/>
          <w:jc w:val="center"/>
        </w:trPr>
        <w:tc>
          <w:tcPr>
            <w:tcW w:w="2748" w:type="dxa"/>
            <w:gridSpan w:val="3"/>
            <w:tcBorders>
              <w:top w:val="single" w:color="auto" w:sz="4" w:space="0"/>
              <w:left w:val="single" w:color="auto" w:sz="4" w:space="0"/>
              <w:bottom w:val="single" w:color="auto" w:sz="4" w:space="0"/>
              <w:right w:val="single" w:color="auto" w:sz="4" w:space="0"/>
            </w:tcBorders>
            <w:noWrap/>
            <w:vAlign w:val="center"/>
          </w:tcPr>
          <w:p>
            <w:pPr>
              <w:widowControl/>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公司名称</w:t>
            </w:r>
          </w:p>
        </w:tc>
        <w:tc>
          <w:tcPr>
            <w:tcW w:w="6982" w:type="dxa"/>
            <w:gridSpan w:val="12"/>
            <w:tcBorders>
              <w:top w:val="single" w:color="auto" w:sz="4" w:space="0"/>
              <w:left w:val="nil"/>
              <w:bottom w:val="single" w:color="auto" w:sz="4" w:space="0"/>
              <w:right w:val="single" w:color="auto" w:sz="4" w:space="0"/>
            </w:tcBorders>
            <w:noWrap/>
            <w:vAlign w:val="center"/>
          </w:tcPr>
          <w:p>
            <w:pPr>
              <w:widowControl/>
              <w:jc w:val="center"/>
              <w:rPr>
                <w:rFonts w:ascii="仿宋" w:hAnsi="仿宋" w:eastAsia="仿宋" w:cs="Times New Roman"/>
                <w:kern w:val="0"/>
                <w:sz w:val="24"/>
              </w:rPr>
            </w:pPr>
          </w:p>
        </w:tc>
      </w:tr>
      <w:tr>
        <w:tblPrEx>
          <w:tblCellMar>
            <w:top w:w="0" w:type="dxa"/>
            <w:left w:w="108" w:type="dxa"/>
            <w:bottom w:w="0" w:type="dxa"/>
            <w:right w:w="108" w:type="dxa"/>
          </w:tblCellMar>
        </w:tblPrEx>
        <w:trPr>
          <w:trHeight w:val="567" w:hRule="atLeast"/>
          <w:jc w:val="center"/>
        </w:trPr>
        <w:tc>
          <w:tcPr>
            <w:tcW w:w="2748" w:type="dxa"/>
            <w:gridSpan w:val="3"/>
            <w:tcBorders>
              <w:top w:val="single" w:color="auto" w:sz="4" w:space="0"/>
              <w:left w:val="single" w:color="auto" w:sz="4" w:space="0"/>
              <w:bottom w:val="single" w:color="auto" w:sz="4" w:space="0"/>
              <w:right w:val="single" w:color="auto" w:sz="4" w:space="0"/>
            </w:tcBorders>
            <w:noWrap/>
            <w:vAlign w:val="center"/>
          </w:tcPr>
          <w:p>
            <w:pPr>
              <w:widowControl/>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组织形式</w:t>
            </w:r>
          </w:p>
        </w:tc>
        <w:tc>
          <w:tcPr>
            <w:tcW w:w="6982" w:type="dxa"/>
            <w:gridSpan w:val="12"/>
            <w:tcBorders>
              <w:top w:val="single" w:color="auto" w:sz="4" w:space="0"/>
              <w:left w:val="nil"/>
              <w:bottom w:val="single" w:color="auto" w:sz="4" w:space="0"/>
              <w:right w:val="single" w:color="auto" w:sz="4" w:space="0"/>
            </w:tcBorders>
            <w:noWrap/>
            <w:vAlign w:val="center"/>
          </w:tcPr>
          <w:p>
            <w:pPr>
              <w:widowControl/>
              <w:jc w:val="center"/>
              <w:rPr>
                <w:rFonts w:ascii="仿宋" w:hAnsi="仿宋" w:eastAsia="仿宋" w:cs="宋体"/>
                <w:kern w:val="0"/>
                <w:sz w:val="24"/>
              </w:rPr>
            </w:pPr>
          </w:p>
        </w:tc>
      </w:tr>
      <w:tr>
        <w:tblPrEx>
          <w:tblCellMar>
            <w:top w:w="0" w:type="dxa"/>
            <w:left w:w="108" w:type="dxa"/>
            <w:bottom w:w="0" w:type="dxa"/>
            <w:right w:w="108" w:type="dxa"/>
          </w:tblCellMar>
        </w:tblPrEx>
        <w:trPr>
          <w:trHeight w:val="567" w:hRule="atLeast"/>
          <w:jc w:val="center"/>
        </w:trPr>
        <w:tc>
          <w:tcPr>
            <w:tcW w:w="2748" w:type="dxa"/>
            <w:gridSpan w:val="3"/>
            <w:tcBorders>
              <w:top w:val="single" w:color="auto" w:sz="4" w:space="0"/>
              <w:left w:val="single" w:color="auto" w:sz="4" w:space="0"/>
              <w:bottom w:val="single" w:color="auto" w:sz="4" w:space="0"/>
              <w:right w:val="single" w:color="auto" w:sz="4" w:space="0"/>
            </w:tcBorders>
            <w:noWrap/>
            <w:vAlign w:val="center"/>
          </w:tcPr>
          <w:p>
            <w:pPr>
              <w:widowControl/>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公司性质</w:t>
            </w:r>
          </w:p>
        </w:tc>
        <w:tc>
          <w:tcPr>
            <w:tcW w:w="6982" w:type="dxa"/>
            <w:gridSpan w:val="12"/>
            <w:tcBorders>
              <w:top w:val="single" w:color="auto" w:sz="4" w:space="0"/>
              <w:left w:val="nil"/>
              <w:bottom w:val="single" w:color="auto" w:sz="4" w:space="0"/>
              <w:right w:val="single" w:color="auto" w:sz="4" w:space="0"/>
            </w:tcBorders>
            <w:noWrap/>
            <w:vAlign w:val="center"/>
          </w:tcPr>
          <w:p>
            <w:pPr>
              <w:widowControl/>
              <w:jc w:val="left"/>
              <w:rPr>
                <w:rFonts w:ascii="仿宋" w:hAnsi="仿宋" w:eastAsia="仿宋" w:cs="Times New Roman"/>
                <w:kern w:val="0"/>
                <w:sz w:val="24"/>
              </w:rPr>
            </w:pPr>
          </w:p>
        </w:tc>
      </w:tr>
      <w:tr>
        <w:tblPrEx>
          <w:tblCellMar>
            <w:top w:w="0" w:type="dxa"/>
            <w:left w:w="108" w:type="dxa"/>
            <w:bottom w:w="0" w:type="dxa"/>
            <w:right w:w="108" w:type="dxa"/>
          </w:tblCellMar>
        </w:tblPrEx>
        <w:trPr>
          <w:trHeight w:val="567" w:hRule="atLeast"/>
          <w:jc w:val="center"/>
        </w:trPr>
        <w:tc>
          <w:tcPr>
            <w:tcW w:w="2748" w:type="dxa"/>
            <w:gridSpan w:val="3"/>
            <w:tcBorders>
              <w:top w:val="single" w:color="auto" w:sz="4" w:space="0"/>
              <w:left w:val="single" w:color="auto" w:sz="4" w:space="0"/>
              <w:bottom w:val="single" w:color="auto" w:sz="4" w:space="0"/>
              <w:right w:val="single" w:color="auto" w:sz="4" w:space="0"/>
            </w:tcBorders>
            <w:noWrap/>
            <w:vAlign w:val="center"/>
          </w:tcPr>
          <w:p>
            <w:pPr>
              <w:widowControl/>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拟注册地址</w:t>
            </w:r>
          </w:p>
        </w:tc>
        <w:tc>
          <w:tcPr>
            <w:tcW w:w="6982" w:type="dxa"/>
            <w:gridSpan w:val="12"/>
            <w:tcBorders>
              <w:top w:val="single" w:color="auto" w:sz="4" w:space="0"/>
              <w:left w:val="nil"/>
              <w:bottom w:val="single" w:color="auto" w:sz="4" w:space="0"/>
              <w:right w:val="single" w:color="auto" w:sz="4" w:space="0"/>
            </w:tcBorders>
            <w:noWrap/>
            <w:vAlign w:val="center"/>
          </w:tcPr>
          <w:p>
            <w:pPr>
              <w:widowControl/>
              <w:jc w:val="left"/>
              <w:rPr>
                <w:rFonts w:ascii="仿宋" w:hAnsi="仿宋" w:eastAsia="仿宋" w:cs="Times New Roman"/>
                <w:kern w:val="0"/>
                <w:sz w:val="24"/>
              </w:rPr>
            </w:pPr>
          </w:p>
        </w:tc>
      </w:tr>
      <w:tr>
        <w:tblPrEx>
          <w:tblCellMar>
            <w:top w:w="0" w:type="dxa"/>
            <w:left w:w="108" w:type="dxa"/>
            <w:bottom w:w="0" w:type="dxa"/>
            <w:right w:w="108" w:type="dxa"/>
          </w:tblCellMar>
        </w:tblPrEx>
        <w:trPr>
          <w:trHeight w:val="567" w:hRule="atLeast"/>
          <w:jc w:val="center"/>
        </w:trPr>
        <w:tc>
          <w:tcPr>
            <w:tcW w:w="2748" w:type="dxa"/>
            <w:gridSpan w:val="3"/>
            <w:tcBorders>
              <w:top w:val="single" w:color="auto" w:sz="4" w:space="0"/>
              <w:left w:val="single" w:color="auto" w:sz="4" w:space="0"/>
              <w:bottom w:val="single" w:color="auto" w:sz="4" w:space="0"/>
              <w:right w:val="single" w:color="auto" w:sz="4" w:space="0"/>
            </w:tcBorders>
            <w:noWrap/>
            <w:vAlign w:val="center"/>
          </w:tcPr>
          <w:p>
            <w:pPr>
              <w:widowControl/>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拟申请经营地域范围</w:t>
            </w:r>
          </w:p>
        </w:tc>
        <w:tc>
          <w:tcPr>
            <w:tcW w:w="6982" w:type="dxa"/>
            <w:gridSpan w:val="12"/>
            <w:tcBorders>
              <w:top w:val="single" w:color="auto" w:sz="4" w:space="0"/>
              <w:left w:val="nil"/>
              <w:bottom w:val="single" w:color="auto" w:sz="4" w:space="0"/>
              <w:right w:val="single" w:color="auto" w:sz="4" w:space="0"/>
            </w:tcBorders>
            <w:noWrap/>
            <w:vAlign w:val="center"/>
          </w:tcPr>
          <w:p>
            <w:pPr>
              <w:widowControl/>
              <w:jc w:val="left"/>
              <w:rPr>
                <w:rFonts w:ascii="仿宋" w:hAnsi="仿宋" w:eastAsia="仿宋" w:cs="Times New Roman"/>
                <w:kern w:val="0"/>
                <w:sz w:val="24"/>
              </w:rPr>
            </w:pPr>
          </w:p>
        </w:tc>
      </w:tr>
      <w:tr>
        <w:tblPrEx>
          <w:tblCellMar>
            <w:top w:w="0" w:type="dxa"/>
            <w:left w:w="108" w:type="dxa"/>
            <w:bottom w:w="0" w:type="dxa"/>
            <w:right w:w="108" w:type="dxa"/>
          </w:tblCellMar>
        </w:tblPrEx>
        <w:trPr>
          <w:trHeight w:val="567" w:hRule="atLeast"/>
          <w:jc w:val="center"/>
        </w:trPr>
        <w:tc>
          <w:tcPr>
            <w:tcW w:w="2748" w:type="dxa"/>
            <w:gridSpan w:val="3"/>
            <w:tcBorders>
              <w:top w:val="single" w:color="auto" w:sz="4" w:space="0"/>
              <w:left w:val="single" w:color="auto" w:sz="4" w:space="0"/>
              <w:bottom w:val="single" w:color="auto" w:sz="4" w:space="0"/>
              <w:right w:val="single" w:color="auto" w:sz="4" w:space="0"/>
            </w:tcBorders>
            <w:noWrap/>
            <w:vAlign w:val="center"/>
          </w:tcPr>
          <w:p>
            <w:pPr>
              <w:widowControl/>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拟申请经营业务范围</w:t>
            </w:r>
          </w:p>
        </w:tc>
        <w:tc>
          <w:tcPr>
            <w:tcW w:w="6982" w:type="dxa"/>
            <w:gridSpan w:val="12"/>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eastAsia="仿宋" w:cs="Times New Roman"/>
                <w:kern w:val="0"/>
                <w:sz w:val="24"/>
              </w:rPr>
            </w:pPr>
          </w:p>
        </w:tc>
      </w:tr>
      <w:tr>
        <w:tblPrEx>
          <w:tblCellMar>
            <w:top w:w="0" w:type="dxa"/>
            <w:left w:w="108" w:type="dxa"/>
            <w:bottom w:w="0" w:type="dxa"/>
            <w:right w:w="108" w:type="dxa"/>
          </w:tblCellMar>
        </w:tblPrEx>
        <w:trPr>
          <w:trHeight w:val="567" w:hRule="atLeast"/>
          <w:jc w:val="center"/>
        </w:trPr>
        <w:tc>
          <w:tcPr>
            <w:tcW w:w="2748" w:type="dxa"/>
            <w:gridSpan w:val="3"/>
            <w:tcBorders>
              <w:top w:val="single" w:color="auto" w:sz="4" w:space="0"/>
              <w:left w:val="single" w:color="auto" w:sz="4" w:space="0"/>
              <w:bottom w:val="single" w:color="auto" w:sz="4" w:space="0"/>
              <w:right w:val="single" w:color="auto" w:sz="4" w:space="0"/>
            </w:tcBorders>
            <w:noWrap/>
            <w:vAlign w:val="center"/>
          </w:tcPr>
          <w:p>
            <w:pPr>
              <w:widowControl/>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法定代表人</w:t>
            </w:r>
          </w:p>
        </w:tc>
        <w:tc>
          <w:tcPr>
            <w:tcW w:w="1767" w:type="dxa"/>
            <w:gridSpan w:val="2"/>
            <w:tcBorders>
              <w:top w:val="single" w:color="auto" w:sz="4" w:space="0"/>
              <w:left w:val="nil"/>
              <w:bottom w:val="single" w:color="auto" w:sz="4" w:space="0"/>
              <w:right w:val="single" w:color="auto" w:sz="4" w:space="0"/>
            </w:tcBorders>
            <w:noWrap/>
            <w:vAlign w:val="center"/>
          </w:tcPr>
          <w:p>
            <w:pPr>
              <w:widowControl/>
              <w:jc w:val="center"/>
              <w:rPr>
                <w:rFonts w:ascii="仿宋" w:hAnsi="仿宋" w:eastAsia="仿宋" w:cs="宋体"/>
                <w:kern w:val="0"/>
                <w:sz w:val="24"/>
              </w:rPr>
            </w:pPr>
          </w:p>
        </w:tc>
        <w:tc>
          <w:tcPr>
            <w:tcW w:w="1692" w:type="dxa"/>
            <w:gridSpan w:val="3"/>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联系电话</w:t>
            </w:r>
          </w:p>
        </w:tc>
        <w:tc>
          <w:tcPr>
            <w:tcW w:w="1188" w:type="dxa"/>
            <w:gridSpan w:val="3"/>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仿宋_GB2312" w:eastAsia="仿宋_GB2312" w:cs="仿宋_GB2312"/>
                <w:kern w:val="0"/>
                <w:sz w:val="24"/>
              </w:rPr>
            </w:pPr>
          </w:p>
        </w:tc>
        <w:tc>
          <w:tcPr>
            <w:tcW w:w="900"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手机</w:t>
            </w:r>
          </w:p>
        </w:tc>
        <w:tc>
          <w:tcPr>
            <w:tcW w:w="1435"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ascii="仿宋_GB2312" w:hAnsi="仿宋_GB2312" w:eastAsia="仿宋_GB2312" w:cs="仿宋_GB2312"/>
                <w:kern w:val="0"/>
                <w:sz w:val="24"/>
              </w:rPr>
            </w:pPr>
          </w:p>
        </w:tc>
      </w:tr>
      <w:tr>
        <w:tblPrEx>
          <w:tblCellMar>
            <w:top w:w="0" w:type="dxa"/>
            <w:left w:w="108" w:type="dxa"/>
            <w:bottom w:w="0" w:type="dxa"/>
            <w:right w:w="108" w:type="dxa"/>
          </w:tblCellMar>
        </w:tblPrEx>
        <w:trPr>
          <w:trHeight w:val="567" w:hRule="atLeast"/>
          <w:jc w:val="center"/>
        </w:trPr>
        <w:tc>
          <w:tcPr>
            <w:tcW w:w="2748" w:type="dxa"/>
            <w:gridSpan w:val="3"/>
            <w:tcBorders>
              <w:top w:val="single" w:color="auto" w:sz="4" w:space="0"/>
              <w:left w:val="single" w:color="auto" w:sz="4" w:space="0"/>
              <w:bottom w:val="single" w:color="auto" w:sz="4" w:space="0"/>
              <w:right w:val="single" w:color="auto" w:sz="4" w:space="0"/>
            </w:tcBorders>
            <w:noWrap/>
            <w:vAlign w:val="center"/>
          </w:tcPr>
          <w:p>
            <w:pPr>
              <w:widowControl/>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联系人</w:t>
            </w:r>
          </w:p>
        </w:tc>
        <w:tc>
          <w:tcPr>
            <w:tcW w:w="1767" w:type="dxa"/>
            <w:gridSpan w:val="2"/>
            <w:tcBorders>
              <w:top w:val="single" w:color="auto" w:sz="4" w:space="0"/>
              <w:left w:val="nil"/>
              <w:bottom w:val="single" w:color="auto" w:sz="4" w:space="0"/>
              <w:right w:val="single" w:color="auto" w:sz="4" w:space="0"/>
            </w:tcBorders>
            <w:noWrap/>
            <w:vAlign w:val="center"/>
          </w:tcPr>
          <w:p>
            <w:pPr>
              <w:widowControl/>
              <w:jc w:val="center"/>
              <w:rPr>
                <w:rFonts w:ascii="仿宋" w:hAnsi="仿宋" w:eastAsia="仿宋" w:cs="宋体"/>
                <w:kern w:val="0"/>
                <w:sz w:val="24"/>
              </w:rPr>
            </w:pPr>
          </w:p>
        </w:tc>
        <w:tc>
          <w:tcPr>
            <w:tcW w:w="1692" w:type="dxa"/>
            <w:gridSpan w:val="3"/>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联系电话</w:t>
            </w:r>
          </w:p>
        </w:tc>
        <w:tc>
          <w:tcPr>
            <w:tcW w:w="1188" w:type="dxa"/>
            <w:gridSpan w:val="3"/>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仿宋_GB2312" w:eastAsia="仿宋_GB2312" w:cs="仿宋_GB2312"/>
                <w:kern w:val="0"/>
                <w:sz w:val="24"/>
              </w:rPr>
            </w:pPr>
          </w:p>
        </w:tc>
        <w:tc>
          <w:tcPr>
            <w:tcW w:w="900"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手机</w:t>
            </w:r>
          </w:p>
        </w:tc>
        <w:tc>
          <w:tcPr>
            <w:tcW w:w="1435"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ascii="仿宋_GB2312" w:hAnsi="仿宋_GB2312" w:eastAsia="仿宋_GB2312" w:cs="仿宋_GB2312"/>
                <w:kern w:val="0"/>
                <w:sz w:val="24"/>
              </w:rPr>
            </w:pPr>
          </w:p>
        </w:tc>
      </w:tr>
      <w:tr>
        <w:tblPrEx>
          <w:tblCellMar>
            <w:top w:w="0" w:type="dxa"/>
            <w:left w:w="108" w:type="dxa"/>
            <w:bottom w:w="0" w:type="dxa"/>
            <w:right w:w="108" w:type="dxa"/>
          </w:tblCellMar>
        </w:tblPrEx>
        <w:trPr>
          <w:trHeight w:val="567" w:hRule="atLeast"/>
          <w:jc w:val="center"/>
        </w:trPr>
        <w:tc>
          <w:tcPr>
            <w:tcW w:w="2748" w:type="dxa"/>
            <w:gridSpan w:val="3"/>
            <w:tcBorders>
              <w:top w:val="single" w:color="auto" w:sz="4" w:space="0"/>
              <w:left w:val="single" w:color="auto" w:sz="4" w:space="0"/>
              <w:bottom w:val="single" w:color="auto" w:sz="4" w:space="0"/>
              <w:right w:val="single" w:color="auto" w:sz="4" w:space="0"/>
            </w:tcBorders>
            <w:noWrap/>
            <w:vAlign w:val="center"/>
          </w:tcPr>
          <w:p>
            <w:pPr>
              <w:widowControl/>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电子邮箱</w:t>
            </w:r>
          </w:p>
        </w:tc>
        <w:tc>
          <w:tcPr>
            <w:tcW w:w="4647" w:type="dxa"/>
            <w:gridSpan w:val="8"/>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仿宋_GB2312" w:eastAsia="仿宋_GB2312" w:cs="仿宋_GB2312"/>
                <w:kern w:val="0"/>
                <w:sz w:val="24"/>
              </w:rPr>
            </w:pPr>
          </w:p>
        </w:tc>
        <w:tc>
          <w:tcPr>
            <w:tcW w:w="900"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传真</w:t>
            </w:r>
          </w:p>
        </w:tc>
        <w:tc>
          <w:tcPr>
            <w:tcW w:w="1435"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ascii="仿宋_GB2312" w:hAnsi="仿宋_GB2312" w:eastAsia="仿宋_GB2312" w:cs="仿宋_GB2312"/>
                <w:kern w:val="0"/>
                <w:sz w:val="24"/>
              </w:rPr>
            </w:pPr>
          </w:p>
        </w:tc>
      </w:tr>
      <w:tr>
        <w:tblPrEx>
          <w:tblCellMar>
            <w:top w:w="0" w:type="dxa"/>
            <w:left w:w="108" w:type="dxa"/>
            <w:bottom w:w="0" w:type="dxa"/>
            <w:right w:w="108" w:type="dxa"/>
          </w:tblCellMar>
        </w:tblPrEx>
        <w:trPr>
          <w:trHeight w:val="567" w:hRule="atLeast"/>
          <w:jc w:val="center"/>
        </w:trPr>
        <w:tc>
          <w:tcPr>
            <w:tcW w:w="2748" w:type="dxa"/>
            <w:gridSpan w:val="3"/>
            <w:tcBorders>
              <w:top w:val="single" w:color="auto" w:sz="4" w:space="0"/>
              <w:left w:val="single" w:color="auto" w:sz="4" w:space="0"/>
              <w:bottom w:val="single" w:color="auto" w:sz="4" w:space="0"/>
              <w:right w:val="single" w:color="auto" w:sz="4" w:space="0"/>
            </w:tcBorders>
            <w:noWrap/>
            <w:vAlign w:val="center"/>
          </w:tcPr>
          <w:p>
            <w:pPr>
              <w:widowControl/>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通讯地址</w:t>
            </w:r>
          </w:p>
        </w:tc>
        <w:tc>
          <w:tcPr>
            <w:tcW w:w="4647" w:type="dxa"/>
            <w:gridSpan w:val="8"/>
            <w:tcBorders>
              <w:top w:val="single" w:color="auto" w:sz="4" w:space="0"/>
              <w:left w:val="single" w:color="auto" w:sz="4" w:space="0"/>
              <w:bottom w:val="single" w:color="auto" w:sz="4" w:space="0"/>
              <w:right w:val="nil"/>
            </w:tcBorders>
            <w:noWrap/>
            <w:vAlign w:val="center"/>
          </w:tcPr>
          <w:p>
            <w:pPr>
              <w:widowControl/>
              <w:jc w:val="center"/>
              <w:rPr>
                <w:rFonts w:ascii="仿宋_GB2312" w:hAnsi="仿宋_GB2312" w:eastAsia="仿宋_GB2312" w:cs="仿宋_GB2312"/>
                <w:kern w:val="0"/>
                <w:sz w:val="24"/>
              </w:rPr>
            </w:pPr>
          </w:p>
        </w:tc>
        <w:tc>
          <w:tcPr>
            <w:tcW w:w="900"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邮编</w:t>
            </w:r>
          </w:p>
        </w:tc>
        <w:tc>
          <w:tcPr>
            <w:tcW w:w="1435" w:type="dxa"/>
            <w:gridSpan w:val="2"/>
            <w:tcBorders>
              <w:top w:val="single" w:color="auto" w:sz="4" w:space="0"/>
              <w:left w:val="nil"/>
              <w:bottom w:val="single" w:color="auto" w:sz="4" w:space="0"/>
              <w:right w:val="single" w:color="auto" w:sz="4" w:space="0"/>
            </w:tcBorders>
            <w:noWrap/>
            <w:vAlign w:val="center"/>
          </w:tcPr>
          <w:p>
            <w:pPr>
              <w:widowControl/>
              <w:jc w:val="left"/>
              <w:rPr>
                <w:rFonts w:ascii="仿宋_GB2312" w:hAnsi="仿宋_GB2312" w:eastAsia="仿宋_GB2312" w:cs="仿宋_GB2312"/>
                <w:kern w:val="0"/>
                <w:sz w:val="24"/>
              </w:rPr>
            </w:pPr>
          </w:p>
        </w:tc>
      </w:tr>
      <w:tr>
        <w:tblPrEx>
          <w:tblCellMar>
            <w:top w:w="0" w:type="dxa"/>
            <w:left w:w="108" w:type="dxa"/>
            <w:bottom w:w="0" w:type="dxa"/>
            <w:right w:w="108" w:type="dxa"/>
          </w:tblCellMar>
        </w:tblPrEx>
        <w:trPr>
          <w:trHeight w:val="567" w:hRule="atLeast"/>
          <w:jc w:val="center"/>
        </w:trPr>
        <w:tc>
          <w:tcPr>
            <w:tcW w:w="2748"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仿宋" w:hAnsi="仿宋" w:eastAsia="仿宋" w:cs="宋体"/>
                <w:bCs/>
                <w:kern w:val="0"/>
                <w:sz w:val="24"/>
              </w:rPr>
            </w:pPr>
            <w:r>
              <w:rPr>
                <w:rFonts w:hint="eastAsia" w:ascii="黑体" w:hAnsi="黑体" w:eastAsia="黑体" w:cs="黑体"/>
                <w:bCs/>
                <w:kern w:val="0"/>
                <w:sz w:val="24"/>
              </w:rPr>
              <w:t>二、注册资本金(万元)</w:t>
            </w:r>
          </w:p>
        </w:tc>
        <w:tc>
          <w:tcPr>
            <w:tcW w:w="2197" w:type="dxa"/>
            <w:gridSpan w:val="3"/>
            <w:tcBorders>
              <w:top w:val="single" w:color="auto" w:sz="4" w:space="0"/>
              <w:left w:val="single" w:color="auto" w:sz="4" w:space="0"/>
              <w:bottom w:val="single" w:color="auto" w:sz="4" w:space="0"/>
              <w:right w:val="single" w:color="auto" w:sz="4" w:space="0"/>
            </w:tcBorders>
            <w:noWrap/>
            <w:vAlign w:val="center"/>
          </w:tcPr>
          <w:p>
            <w:pPr>
              <w:widowControl/>
              <w:jc w:val="left"/>
              <w:rPr>
                <w:rFonts w:ascii="仿宋_GB2312" w:hAnsi="仿宋_GB2312" w:eastAsia="仿宋_GB2312" w:cs="仿宋_GB2312"/>
                <w:kern w:val="0"/>
                <w:sz w:val="24"/>
              </w:rPr>
            </w:pPr>
          </w:p>
        </w:tc>
        <w:tc>
          <w:tcPr>
            <w:tcW w:w="4785" w:type="dxa"/>
            <w:gridSpan w:val="9"/>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其中：国有资本 ：</w:t>
            </w:r>
          </w:p>
        </w:tc>
      </w:tr>
      <w:tr>
        <w:tblPrEx>
          <w:tblCellMar>
            <w:top w:w="0" w:type="dxa"/>
            <w:left w:w="108" w:type="dxa"/>
            <w:bottom w:w="0" w:type="dxa"/>
            <w:right w:w="108" w:type="dxa"/>
          </w:tblCellMar>
        </w:tblPrEx>
        <w:trPr>
          <w:trHeight w:val="567" w:hRule="atLeast"/>
          <w:jc w:val="center"/>
        </w:trPr>
        <w:tc>
          <w:tcPr>
            <w:tcW w:w="4945" w:type="dxa"/>
            <w:gridSpan w:val="6"/>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出资人(股东)</w:t>
            </w:r>
          </w:p>
        </w:tc>
        <w:tc>
          <w:tcPr>
            <w:tcW w:w="2834" w:type="dxa"/>
            <w:gridSpan w:val="6"/>
            <w:tcBorders>
              <w:top w:val="single" w:color="auto" w:sz="4" w:space="0"/>
              <w:left w:val="nil"/>
              <w:bottom w:val="single" w:color="auto" w:sz="4" w:space="0"/>
              <w:right w:val="single" w:color="auto" w:sz="4" w:space="0"/>
            </w:tcBorders>
            <w:noWrap/>
            <w:vAlign w:val="center"/>
          </w:tcPr>
          <w:p>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出资额</w:t>
            </w:r>
          </w:p>
        </w:tc>
        <w:tc>
          <w:tcPr>
            <w:tcW w:w="1951" w:type="dxa"/>
            <w:gridSpan w:val="3"/>
            <w:tcBorders>
              <w:top w:val="single" w:color="auto" w:sz="4" w:space="0"/>
              <w:left w:val="nil"/>
              <w:bottom w:val="single" w:color="auto" w:sz="4" w:space="0"/>
              <w:right w:val="single" w:color="auto" w:sz="4" w:space="0"/>
            </w:tcBorders>
            <w:noWrap/>
            <w:vAlign w:val="center"/>
          </w:tcPr>
          <w:p>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比例(%)</w:t>
            </w:r>
          </w:p>
        </w:tc>
      </w:tr>
      <w:tr>
        <w:tblPrEx>
          <w:tblCellMar>
            <w:top w:w="0" w:type="dxa"/>
            <w:left w:w="108" w:type="dxa"/>
            <w:bottom w:w="0" w:type="dxa"/>
            <w:right w:w="108" w:type="dxa"/>
          </w:tblCellMar>
        </w:tblPrEx>
        <w:trPr>
          <w:trHeight w:val="567" w:hRule="atLeast"/>
          <w:jc w:val="center"/>
        </w:trPr>
        <w:tc>
          <w:tcPr>
            <w:tcW w:w="4945"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rPr>
            </w:pPr>
          </w:p>
        </w:tc>
        <w:tc>
          <w:tcPr>
            <w:tcW w:w="2834" w:type="dxa"/>
            <w:gridSpan w:val="6"/>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rPr>
            </w:pPr>
          </w:p>
        </w:tc>
        <w:tc>
          <w:tcPr>
            <w:tcW w:w="1951" w:type="dxa"/>
            <w:gridSpan w:val="3"/>
            <w:tcBorders>
              <w:top w:val="single" w:color="auto" w:sz="4" w:space="0"/>
              <w:left w:val="nil"/>
              <w:bottom w:val="single" w:color="auto" w:sz="4" w:space="0"/>
              <w:right w:val="single" w:color="auto" w:sz="4" w:space="0"/>
            </w:tcBorders>
            <w:shd w:val="clear" w:color="auto" w:fill="FFFFFF"/>
            <w:noWrap/>
            <w:vAlign w:val="center"/>
          </w:tcPr>
          <w:p>
            <w:pPr>
              <w:widowControl/>
              <w:jc w:val="left"/>
              <w:rPr>
                <w:rFonts w:ascii="仿宋" w:hAnsi="仿宋" w:eastAsia="仿宋" w:cs="宋体"/>
                <w:kern w:val="0"/>
                <w:sz w:val="24"/>
              </w:rPr>
            </w:pPr>
          </w:p>
        </w:tc>
      </w:tr>
      <w:tr>
        <w:tblPrEx>
          <w:tblCellMar>
            <w:top w:w="0" w:type="dxa"/>
            <w:left w:w="108" w:type="dxa"/>
            <w:bottom w:w="0" w:type="dxa"/>
            <w:right w:w="108" w:type="dxa"/>
          </w:tblCellMar>
        </w:tblPrEx>
        <w:trPr>
          <w:trHeight w:val="567" w:hRule="atLeast"/>
          <w:jc w:val="center"/>
        </w:trPr>
        <w:tc>
          <w:tcPr>
            <w:tcW w:w="4945"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rPr>
            </w:pPr>
          </w:p>
        </w:tc>
        <w:tc>
          <w:tcPr>
            <w:tcW w:w="2834" w:type="dxa"/>
            <w:gridSpan w:val="6"/>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rPr>
            </w:pPr>
          </w:p>
        </w:tc>
        <w:tc>
          <w:tcPr>
            <w:tcW w:w="1951" w:type="dxa"/>
            <w:gridSpan w:val="3"/>
            <w:tcBorders>
              <w:top w:val="single" w:color="auto" w:sz="4" w:space="0"/>
              <w:left w:val="nil"/>
              <w:bottom w:val="single" w:color="auto" w:sz="4" w:space="0"/>
              <w:right w:val="single" w:color="auto" w:sz="4" w:space="0"/>
            </w:tcBorders>
            <w:shd w:val="clear" w:color="auto" w:fill="FFFFFF"/>
            <w:noWrap/>
            <w:vAlign w:val="center"/>
          </w:tcPr>
          <w:p>
            <w:pPr>
              <w:widowControl/>
              <w:jc w:val="left"/>
              <w:rPr>
                <w:rFonts w:ascii="仿宋" w:hAnsi="仿宋" w:eastAsia="仿宋" w:cs="宋体"/>
                <w:kern w:val="0"/>
                <w:sz w:val="24"/>
              </w:rPr>
            </w:pPr>
          </w:p>
        </w:tc>
      </w:tr>
      <w:tr>
        <w:tblPrEx>
          <w:tblCellMar>
            <w:top w:w="0" w:type="dxa"/>
            <w:left w:w="108" w:type="dxa"/>
            <w:bottom w:w="0" w:type="dxa"/>
            <w:right w:w="108" w:type="dxa"/>
          </w:tblCellMar>
        </w:tblPrEx>
        <w:trPr>
          <w:trHeight w:val="567" w:hRule="atLeast"/>
          <w:jc w:val="center"/>
        </w:trPr>
        <w:tc>
          <w:tcPr>
            <w:tcW w:w="4945"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rPr>
            </w:pPr>
          </w:p>
        </w:tc>
        <w:tc>
          <w:tcPr>
            <w:tcW w:w="2834" w:type="dxa"/>
            <w:gridSpan w:val="6"/>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rPr>
            </w:pPr>
          </w:p>
        </w:tc>
        <w:tc>
          <w:tcPr>
            <w:tcW w:w="1951" w:type="dxa"/>
            <w:gridSpan w:val="3"/>
            <w:tcBorders>
              <w:top w:val="single" w:color="auto" w:sz="4" w:space="0"/>
              <w:left w:val="nil"/>
              <w:bottom w:val="single" w:color="auto" w:sz="4" w:space="0"/>
              <w:right w:val="single" w:color="auto" w:sz="4" w:space="0"/>
            </w:tcBorders>
            <w:shd w:val="clear" w:color="auto" w:fill="FFFFFF"/>
            <w:noWrap/>
            <w:vAlign w:val="center"/>
          </w:tcPr>
          <w:p>
            <w:pPr>
              <w:widowControl/>
              <w:jc w:val="left"/>
              <w:rPr>
                <w:rFonts w:ascii="仿宋" w:hAnsi="仿宋" w:eastAsia="仿宋" w:cs="宋体"/>
                <w:kern w:val="0"/>
                <w:sz w:val="24"/>
              </w:rPr>
            </w:pPr>
          </w:p>
        </w:tc>
      </w:tr>
      <w:tr>
        <w:tblPrEx>
          <w:tblCellMar>
            <w:top w:w="0" w:type="dxa"/>
            <w:left w:w="108" w:type="dxa"/>
            <w:bottom w:w="0" w:type="dxa"/>
            <w:right w:w="108" w:type="dxa"/>
          </w:tblCellMar>
        </w:tblPrEx>
        <w:trPr>
          <w:trHeight w:val="567" w:hRule="atLeast"/>
          <w:jc w:val="center"/>
        </w:trPr>
        <w:tc>
          <w:tcPr>
            <w:tcW w:w="4945"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rPr>
            </w:pPr>
          </w:p>
        </w:tc>
        <w:tc>
          <w:tcPr>
            <w:tcW w:w="2834" w:type="dxa"/>
            <w:gridSpan w:val="6"/>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rPr>
            </w:pPr>
          </w:p>
        </w:tc>
        <w:tc>
          <w:tcPr>
            <w:tcW w:w="1951" w:type="dxa"/>
            <w:gridSpan w:val="3"/>
            <w:tcBorders>
              <w:top w:val="single" w:color="auto" w:sz="4" w:space="0"/>
              <w:left w:val="nil"/>
              <w:bottom w:val="single" w:color="auto" w:sz="4" w:space="0"/>
              <w:right w:val="single" w:color="auto" w:sz="4" w:space="0"/>
            </w:tcBorders>
            <w:shd w:val="clear" w:color="auto" w:fill="FFFFFF"/>
            <w:noWrap/>
            <w:vAlign w:val="center"/>
          </w:tcPr>
          <w:p>
            <w:pPr>
              <w:widowControl/>
              <w:jc w:val="left"/>
              <w:rPr>
                <w:rFonts w:ascii="仿宋" w:hAnsi="仿宋" w:eastAsia="仿宋" w:cs="宋体"/>
                <w:kern w:val="0"/>
                <w:sz w:val="24"/>
              </w:rPr>
            </w:pPr>
          </w:p>
        </w:tc>
      </w:tr>
      <w:tr>
        <w:tblPrEx>
          <w:tblCellMar>
            <w:top w:w="0" w:type="dxa"/>
            <w:left w:w="108" w:type="dxa"/>
            <w:bottom w:w="0" w:type="dxa"/>
            <w:right w:w="108" w:type="dxa"/>
          </w:tblCellMar>
        </w:tblPrEx>
        <w:trPr>
          <w:trHeight w:val="567" w:hRule="atLeast"/>
          <w:jc w:val="center"/>
        </w:trPr>
        <w:tc>
          <w:tcPr>
            <w:tcW w:w="4945"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rPr>
            </w:pPr>
          </w:p>
        </w:tc>
        <w:tc>
          <w:tcPr>
            <w:tcW w:w="2834" w:type="dxa"/>
            <w:gridSpan w:val="6"/>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rPr>
            </w:pPr>
          </w:p>
        </w:tc>
        <w:tc>
          <w:tcPr>
            <w:tcW w:w="1951" w:type="dxa"/>
            <w:gridSpan w:val="3"/>
            <w:tcBorders>
              <w:top w:val="single" w:color="auto" w:sz="4" w:space="0"/>
              <w:left w:val="nil"/>
              <w:bottom w:val="single" w:color="auto" w:sz="4" w:space="0"/>
              <w:right w:val="single" w:color="auto" w:sz="4" w:space="0"/>
            </w:tcBorders>
            <w:shd w:val="clear" w:color="auto" w:fill="FFFFFF"/>
            <w:noWrap/>
            <w:vAlign w:val="center"/>
          </w:tcPr>
          <w:p>
            <w:pPr>
              <w:widowControl/>
              <w:jc w:val="left"/>
              <w:rPr>
                <w:rFonts w:ascii="仿宋" w:hAnsi="仿宋" w:eastAsia="仿宋" w:cs="宋体"/>
                <w:kern w:val="0"/>
                <w:sz w:val="24"/>
              </w:rPr>
            </w:pPr>
          </w:p>
        </w:tc>
      </w:tr>
      <w:tr>
        <w:tblPrEx>
          <w:tblCellMar>
            <w:top w:w="0" w:type="dxa"/>
            <w:left w:w="108" w:type="dxa"/>
            <w:bottom w:w="0" w:type="dxa"/>
            <w:right w:w="108" w:type="dxa"/>
          </w:tblCellMar>
        </w:tblPrEx>
        <w:trPr>
          <w:trHeight w:val="567" w:hRule="atLeast"/>
          <w:jc w:val="center"/>
        </w:trPr>
        <w:tc>
          <w:tcPr>
            <w:tcW w:w="4945"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rPr>
            </w:pPr>
          </w:p>
        </w:tc>
        <w:tc>
          <w:tcPr>
            <w:tcW w:w="2834" w:type="dxa"/>
            <w:gridSpan w:val="6"/>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rPr>
            </w:pPr>
          </w:p>
        </w:tc>
        <w:tc>
          <w:tcPr>
            <w:tcW w:w="1951" w:type="dxa"/>
            <w:gridSpan w:val="3"/>
            <w:tcBorders>
              <w:top w:val="single" w:color="auto" w:sz="4" w:space="0"/>
              <w:left w:val="nil"/>
              <w:bottom w:val="single" w:color="auto" w:sz="4" w:space="0"/>
              <w:right w:val="single" w:color="auto" w:sz="4" w:space="0"/>
            </w:tcBorders>
            <w:shd w:val="clear" w:color="auto" w:fill="FFFFFF"/>
            <w:noWrap/>
            <w:vAlign w:val="center"/>
          </w:tcPr>
          <w:p>
            <w:pPr>
              <w:widowControl/>
              <w:jc w:val="left"/>
              <w:rPr>
                <w:rFonts w:ascii="仿宋" w:hAnsi="仿宋" w:eastAsia="仿宋" w:cs="宋体"/>
                <w:kern w:val="0"/>
                <w:sz w:val="24"/>
              </w:rPr>
            </w:pPr>
          </w:p>
        </w:tc>
      </w:tr>
      <w:tr>
        <w:tblPrEx>
          <w:tblCellMar>
            <w:top w:w="0" w:type="dxa"/>
            <w:left w:w="108" w:type="dxa"/>
            <w:bottom w:w="0" w:type="dxa"/>
            <w:right w:w="108" w:type="dxa"/>
          </w:tblCellMar>
        </w:tblPrEx>
        <w:trPr>
          <w:trHeight w:val="567" w:hRule="atLeast"/>
          <w:jc w:val="center"/>
        </w:trPr>
        <w:tc>
          <w:tcPr>
            <w:tcW w:w="4945"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rPr>
            </w:pPr>
          </w:p>
        </w:tc>
        <w:tc>
          <w:tcPr>
            <w:tcW w:w="2834" w:type="dxa"/>
            <w:gridSpan w:val="6"/>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rPr>
            </w:pPr>
          </w:p>
        </w:tc>
        <w:tc>
          <w:tcPr>
            <w:tcW w:w="1951" w:type="dxa"/>
            <w:gridSpan w:val="3"/>
            <w:tcBorders>
              <w:top w:val="single" w:color="auto" w:sz="4" w:space="0"/>
              <w:left w:val="nil"/>
              <w:bottom w:val="single" w:color="auto" w:sz="4" w:space="0"/>
              <w:right w:val="single" w:color="auto" w:sz="4" w:space="0"/>
            </w:tcBorders>
            <w:shd w:val="clear" w:color="auto" w:fill="FFFFFF"/>
            <w:noWrap/>
            <w:vAlign w:val="center"/>
          </w:tcPr>
          <w:p>
            <w:pPr>
              <w:widowControl/>
              <w:jc w:val="left"/>
              <w:rPr>
                <w:rFonts w:ascii="仿宋" w:hAnsi="仿宋" w:eastAsia="仿宋" w:cs="宋体"/>
                <w:kern w:val="0"/>
                <w:sz w:val="24"/>
              </w:rPr>
            </w:pPr>
          </w:p>
        </w:tc>
      </w:tr>
      <w:tr>
        <w:tblPrEx>
          <w:tblCellMar>
            <w:top w:w="0" w:type="dxa"/>
            <w:left w:w="108" w:type="dxa"/>
            <w:bottom w:w="0" w:type="dxa"/>
            <w:right w:w="108" w:type="dxa"/>
          </w:tblCellMar>
        </w:tblPrEx>
        <w:trPr>
          <w:trHeight w:val="567" w:hRule="atLeast"/>
          <w:jc w:val="center"/>
        </w:trPr>
        <w:tc>
          <w:tcPr>
            <w:tcW w:w="9730" w:type="dxa"/>
            <w:gridSpan w:val="15"/>
            <w:tcBorders>
              <w:top w:val="single" w:color="auto" w:sz="4" w:space="0"/>
              <w:left w:val="single" w:color="auto" w:sz="4" w:space="0"/>
              <w:bottom w:val="single" w:color="auto" w:sz="4" w:space="0"/>
              <w:right w:val="single" w:color="auto" w:sz="4" w:space="0"/>
            </w:tcBorders>
            <w:noWrap/>
            <w:vAlign w:val="center"/>
          </w:tcPr>
          <w:p>
            <w:pPr>
              <w:widowControl/>
              <w:jc w:val="left"/>
              <w:rPr>
                <w:rFonts w:ascii="仿宋" w:hAnsi="仿宋" w:eastAsia="仿宋" w:cs="宋体"/>
                <w:bCs/>
                <w:kern w:val="0"/>
                <w:sz w:val="24"/>
              </w:rPr>
            </w:pPr>
            <w:r>
              <w:rPr>
                <w:rFonts w:hint="eastAsia" w:ascii="黑体" w:hAnsi="黑体" w:eastAsia="黑体" w:cs="黑体"/>
                <w:bCs/>
                <w:kern w:val="0"/>
                <w:sz w:val="24"/>
              </w:rPr>
              <w:t>三、拟任董事、监事、高级管理人员情况</w:t>
            </w:r>
          </w:p>
        </w:tc>
      </w:tr>
      <w:tr>
        <w:tblPrEx>
          <w:tblCellMar>
            <w:top w:w="0" w:type="dxa"/>
            <w:left w:w="108" w:type="dxa"/>
            <w:bottom w:w="0" w:type="dxa"/>
            <w:right w:w="108" w:type="dxa"/>
          </w:tblCellMar>
        </w:tblPrEx>
        <w:trPr>
          <w:trHeight w:val="1178" w:hRule="atLeast"/>
          <w:jc w:val="center"/>
        </w:trPr>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姓名</w:t>
            </w:r>
          </w:p>
        </w:tc>
        <w:tc>
          <w:tcPr>
            <w:tcW w:w="1245"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职务</w:t>
            </w:r>
          </w:p>
        </w:tc>
        <w:tc>
          <w:tcPr>
            <w:tcW w:w="1275"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年龄</w:t>
            </w:r>
          </w:p>
        </w:tc>
        <w:tc>
          <w:tcPr>
            <w:tcW w:w="1260" w:type="dxa"/>
            <w:gridSpan w:val="3"/>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职称</w:t>
            </w:r>
          </w:p>
        </w:tc>
        <w:tc>
          <w:tcPr>
            <w:tcW w:w="1260"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学历</w:t>
            </w:r>
          </w:p>
        </w:tc>
        <w:tc>
          <w:tcPr>
            <w:tcW w:w="1080"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学位</w:t>
            </w:r>
          </w:p>
        </w:tc>
        <w:tc>
          <w:tcPr>
            <w:tcW w:w="1199" w:type="dxa"/>
            <w:gridSpan w:val="3"/>
            <w:tcBorders>
              <w:top w:val="single" w:color="auto" w:sz="4" w:space="0"/>
              <w:left w:val="nil"/>
              <w:bottom w:val="single" w:color="auto" w:sz="4" w:space="0"/>
              <w:right w:val="single" w:color="auto" w:sz="4" w:space="0"/>
            </w:tcBorders>
            <w:shd w:val="clear" w:color="auto" w:fill="FFFFFF"/>
            <w:noWrap/>
            <w:vAlign w:val="center"/>
          </w:tcPr>
          <w:p>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从事小贷或金融工作年限(年)</w:t>
            </w:r>
          </w:p>
        </w:tc>
        <w:tc>
          <w:tcPr>
            <w:tcW w:w="1136" w:type="dxa"/>
            <w:tcBorders>
              <w:top w:val="single" w:color="auto" w:sz="4" w:space="0"/>
              <w:left w:val="nil"/>
              <w:bottom w:val="single" w:color="auto" w:sz="4" w:space="0"/>
              <w:right w:val="single" w:color="auto" w:sz="4" w:space="0"/>
            </w:tcBorders>
            <w:shd w:val="clear" w:color="auto" w:fill="FFFFFF"/>
            <w:noWrap/>
            <w:vAlign w:val="center"/>
          </w:tcPr>
          <w:p>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联系</w:t>
            </w:r>
          </w:p>
          <w:p>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电话</w:t>
            </w:r>
          </w:p>
        </w:tc>
      </w:tr>
      <w:tr>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Times New Roman"/>
                <w:kern w:val="0"/>
                <w:sz w:val="24"/>
              </w:rPr>
            </w:pPr>
          </w:p>
        </w:tc>
        <w:tc>
          <w:tcPr>
            <w:tcW w:w="1245"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Times New Roman"/>
                <w:kern w:val="0"/>
                <w:sz w:val="24"/>
              </w:rPr>
            </w:pPr>
          </w:p>
        </w:tc>
        <w:tc>
          <w:tcPr>
            <w:tcW w:w="1275"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24"/>
              </w:rPr>
            </w:pPr>
          </w:p>
        </w:tc>
        <w:tc>
          <w:tcPr>
            <w:tcW w:w="1260" w:type="dxa"/>
            <w:gridSpan w:val="3"/>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24"/>
              </w:rPr>
            </w:pPr>
          </w:p>
        </w:tc>
        <w:tc>
          <w:tcPr>
            <w:tcW w:w="1260"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24"/>
              </w:rPr>
            </w:pPr>
          </w:p>
        </w:tc>
        <w:tc>
          <w:tcPr>
            <w:tcW w:w="1080"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Times New Roman"/>
                <w:kern w:val="0"/>
                <w:sz w:val="24"/>
              </w:rPr>
            </w:pPr>
          </w:p>
        </w:tc>
        <w:tc>
          <w:tcPr>
            <w:tcW w:w="1199" w:type="dxa"/>
            <w:gridSpan w:val="3"/>
            <w:tcBorders>
              <w:top w:val="single" w:color="auto" w:sz="4" w:space="0"/>
              <w:left w:val="nil"/>
              <w:bottom w:val="single" w:color="auto" w:sz="4" w:space="0"/>
              <w:right w:val="single" w:color="auto" w:sz="4" w:space="0"/>
            </w:tcBorders>
            <w:shd w:val="clear" w:color="auto" w:fill="FFFFFF"/>
            <w:noWrap/>
            <w:vAlign w:val="center"/>
          </w:tcPr>
          <w:p>
            <w:pPr>
              <w:widowControl/>
              <w:jc w:val="left"/>
              <w:rPr>
                <w:rFonts w:ascii="仿宋" w:hAnsi="仿宋" w:eastAsia="仿宋" w:cs="宋体"/>
                <w:kern w:val="0"/>
                <w:sz w:val="24"/>
              </w:rPr>
            </w:pPr>
          </w:p>
        </w:tc>
        <w:tc>
          <w:tcPr>
            <w:tcW w:w="1136" w:type="dxa"/>
            <w:tcBorders>
              <w:top w:val="single" w:color="auto" w:sz="4" w:space="0"/>
              <w:left w:val="nil"/>
              <w:bottom w:val="single" w:color="auto" w:sz="4" w:space="0"/>
              <w:right w:val="single" w:color="auto" w:sz="4" w:space="0"/>
            </w:tcBorders>
            <w:shd w:val="clear" w:color="auto" w:fill="FFFFFF"/>
            <w:noWrap/>
            <w:vAlign w:val="center"/>
          </w:tcPr>
          <w:p>
            <w:pPr>
              <w:widowControl/>
              <w:jc w:val="center"/>
              <w:rPr>
                <w:rFonts w:ascii="仿宋" w:hAnsi="仿宋" w:eastAsia="仿宋" w:cs="宋体"/>
                <w:kern w:val="0"/>
                <w:sz w:val="24"/>
              </w:rPr>
            </w:pPr>
          </w:p>
        </w:tc>
      </w:tr>
      <w:tr>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Times New Roman"/>
                <w:kern w:val="0"/>
                <w:sz w:val="24"/>
              </w:rPr>
            </w:pPr>
          </w:p>
        </w:tc>
        <w:tc>
          <w:tcPr>
            <w:tcW w:w="1245"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仿宋" w:hAnsi="仿宋" w:eastAsia="仿宋" w:cs="Times New Roman"/>
                <w:kern w:val="0"/>
                <w:sz w:val="24"/>
              </w:rPr>
            </w:pPr>
          </w:p>
        </w:tc>
        <w:tc>
          <w:tcPr>
            <w:tcW w:w="1275"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24"/>
              </w:rPr>
            </w:pPr>
          </w:p>
        </w:tc>
        <w:tc>
          <w:tcPr>
            <w:tcW w:w="1260" w:type="dxa"/>
            <w:gridSpan w:val="3"/>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24"/>
              </w:rPr>
            </w:pPr>
          </w:p>
        </w:tc>
        <w:tc>
          <w:tcPr>
            <w:tcW w:w="1260"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24"/>
              </w:rPr>
            </w:pPr>
          </w:p>
        </w:tc>
        <w:tc>
          <w:tcPr>
            <w:tcW w:w="1080"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仿宋" w:hAnsi="仿宋" w:eastAsia="仿宋" w:cs="Times New Roman"/>
                <w:kern w:val="0"/>
                <w:sz w:val="24"/>
              </w:rPr>
            </w:pPr>
          </w:p>
        </w:tc>
        <w:tc>
          <w:tcPr>
            <w:tcW w:w="1199" w:type="dxa"/>
            <w:gridSpan w:val="3"/>
            <w:tcBorders>
              <w:top w:val="single" w:color="auto" w:sz="4" w:space="0"/>
              <w:left w:val="nil"/>
              <w:bottom w:val="single" w:color="auto" w:sz="4" w:space="0"/>
              <w:right w:val="single" w:color="auto" w:sz="4" w:space="0"/>
            </w:tcBorders>
            <w:shd w:val="clear" w:color="auto" w:fill="FFFFFF"/>
            <w:noWrap/>
            <w:vAlign w:val="center"/>
          </w:tcPr>
          <w:p>
            <w:pPr>
              <w:widowControl/>
              <w:jc w:val="left"/>
              <w:rPr>
                <w:rFonts w:ascii="仿宋" w:hAnsi="仿宋" w:eastAsia="仿宋" w:cs="宋体"/>
                <w:kern w:val="0"/>
                <w:sz w:val="24"/>
              </w:rPr>
            </w:pPr>
          </w:p>
        </w:tc>
        <w:tc>
          <w:tcPr>
            <w:tcW w:w="1136" w:type="dxa"/>
            <w:tcBorders>
              <w:top w:val="single" w:color="auto" w:sz="4" w:space="0"/>
              <w:left w:val="nil"/>
              <w:bottom w:val="single" w:color="auto" w:sz="4" w:space="0"/>
              <w:right w:val="single" w:color="auto" w:sz="4" w:space="0"/>
            </w:tcBorders>
            <w:shd w:val="clear" w:color="auto" w:fill="FFFFFF"/>
            <w:noWrap/>
            <w:vAlign w:val="center"/>
          </w:tcPr>
          <w:p>
            <w:pPr>
              <w:widowControl/>
              <w:jc w:val="center"/>
              <w:rPr>
                <w:rFonts w:ascii="仿宋" w:hAnsi="仿宋" w:eastAsia="仿宋" w:cs="宋体"/>
                <w:kern w:val="0"/>
                <w:sz w:val="24"/>
              </w:rPr>
            </w:pPr>
          </w:p>
        </w:tc>
      </w:tr>
      <w:tr>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Times New Roman"/>
                <w:kern w:val="0"/>
                <w:sz w:val="24"/>
              </w:rPr>
            </w:pPr>
          </w:p>
        </w:tc>
        <w:tc>
          <w:tcPr>
            <w:tcW w:w="1245"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Times New Roman"/>
                <w:kern w:val="0"/>
                <w:sz w:val="24"/>
              </w:rPr>
            </w:pPr>
          </w:p>
        </w:tc>
        <w:tc>
          <w:tcPr>
            <w:tcW w:w="1275"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24"/>
              </w:rPr>
            </w:pPr>
          </w:p>
        </w:tc>
        <w:tc>
          <w:tcPr>
            <w:tcW w:w="1260" w:type="dxa"/>
            <w:gridSpan w:val="3"/>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24"/>
              </w:rPr>
            </w:pPr>
          </w:p>
        </w:tc>
        <w:tc>
          <w:tcPr>
            <w:tcW w:w="1260"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24"/>
              </w:rPr>
            </w:pPr>
          </w:p>
        </w:tc>
        <w:tc>
          <w:tcPr>
            <w:tcW w:w="1080"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Times New Roman"/>
                <w:kern w:val="0"/>
                <w:sz w:val="24"/>
              </w:rPr>
            </w:pPr>
          </w:p>
        </w:tc>
        <w:tc>
          <w:tcPr>
            <w:tcW w:w="1199" w:type="dxa"/>
            <w:gridSpan w:val="3"/>
            <w:tcBorders>
              <w:top w:val="single" w:color="auto" w:sz="4" w:space="0"/>
              <w:left w:val="nil"/>
              <w:bottom w:val="single" w:color="auto" w:sz="4" w:space="0"/>
              <w:right w:val="single" w:color="auto" w:sz="4" w:space="0"/>
            </w:tcBorders>
            <w:shd w:val="clear" w:color="auto" w:fill="FFFFFF"/>
            <w:noWrap/>
            <w:vAlign w:val="center"/>
          </w:tcPr>
          <w:p>
            <w:pPr>
              <w:widowControl/>
              <w:jc w:val="left"/>
              <w:rPr>
                <w:rFonts w:ascii="仿宋" w:hAnsi="仿宋" w:eastAsia="仿宋" w:cs="宋体"/>
                <w:kern w:val="0"/>
                <w:sz w:val="24"/>
              </w:rPr>
            </w:pPr>
          </w:p>
        </w:tc>
        <w:tc>
          <w:tcPr>
            <w:tcW w:w="1136" w:type="dxa"/>
            <w:tcBorders>
              <w:top w:val="single" w:color="auto" w:sz="4" w:space="0"/>
              <w:left w:val="nil"/>
              <w:bottom w:val="single" w:color="auto" w:sz="4" w:space="0"/>
              <w:right w:val="single" w:color="auto" w:sz="4" w:space="0"/>
            </w:tcBorders>
            <w:shd w:val="clear" w:color="auto" w:fill="FFFFFF"/>
            <w:noWrap/>
            <w:vAlign w:val="center"/>
          </w:tcPr>
          <w:p>
            <w:pPr>
              <w:widowControl/>
              <w:jc w:val="center"/>
              <w:rPr>
                <w:rFonts w:ascii="仿宋" w:hAnsi="仿宋" w:eastAsia="仿宋" w:cs="宋体"/>
                <w:kern w:val="0"/>
                <w:sz w:val="24"/>
              </w:rPr>
            </w:pPr>
          </w:p>
        </w:tc>
      </w:tr>
      <w:tr>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Times New Roman"/>
                <w:kern w:val="0"/>
                <w:sz w:val="24"/>
              </w:rPr>
            </w:pPr>
          </w:p>
        </w:tc>
        <w:tc>
          <w:tcPr>
            <w:tcW w:w="1245"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Times New Roman"/>
                <w:kern w:val="0"/>
                <w:sz w:val="24"/>
              </w:rPr>
            </w:pPr>
          </w:p>
        </w:tc>
        <w:tc>
          <w:tcPr>
            <w:tcW w:w="1275"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24"/>
              </w:rPr>
            </w:pPr>
          </w:p>
        </w:tc>
        <w:tc>
          <w:tcPr>
            <w:tcW w:w="1260" w:type="dxa"/>
            <w:gridSpan w:val="3"/>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24"/>
              </w:rPr>
            </w:pPr>
          </w:p>
        </w:tc>
        <w:tc>
          <w:tcPr>
            <w:tcW w:w="1260"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24"/>
              </w:rPr>
            </w:pPr>
          </w:p>
        </w:tc>
        <w:tc>
          <w:tcPr>
            <w:tcW w:w="1080"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Times New Roman"/>
                <w:kern w:val="0"/>
                <w:sz w:val="24"/>
              </w:rPr>
            </w:pPr>
          </w:p>
        </w:tc>
        <w:tc>
          <w:tcPr>
            <w:tcW w:w="1199" w:type="dxa"/>
            <w:gridSpan w:val="3"/>
            <w:tcBorders>
              <w:top w:val="single" w:color="auto" w:sz="4" w:space="0"/>
              <w:left w:val="nil"/>
              <w:bottom w:val="single" w:color="auto" w:sz="4" w:space="0"/>
              <w:right w:val="single" w:color="auto" w:sz="4" w:space="0"/>
            </w:tcBorders>
            <w:shd w:val="clear" w:color="auto" w:fill="FFFFFF"/>
            <w:noWrap/>
            <w:vAlign w:val="center"/>
          </w:tcPr>
          <w:p>
            <w:pPr>
              <w:widowControl/>
              <w:jc w:val="left"/>
              <w:rPr>
                <w:rFonts w:ascii="仿宋" w:hAnsi="仿宋" w:eastAsia="仿宋" w:cs="宋体"/>
                <w:kern w:val="0"/>
                <w:sz w:val="24"/>
              </w:rPr>
            </w:pPr>
          </w:p>
        </w:tc>
        <w:tc>
          <w:tcPr>
            <w:tcW w:w="1136" w:type="dxa"/>
            <w:tcBorders>
              <w:top w:val="single" w:color="auto" w:sz="4" w:space="0"/>
              <w:left w:val="nil"/>
              <w:bottom w:val="single" w:color="auto" w:sz="4" w:space="0"/>
              <w:right w:val="single" w:color="auto" w:sz="4" w:space="0"/>
            </w:tcBorders>
            <w:shd w:val="clear" w:color="auto" w:fill="FFFFFF"/>
            <w:noWrap/>
            <w:vAlign w:val="center"/>
          </w:tcPr>
          <w:p>
            <w:pPr>
              <w:widowControl/>
              <w:jc w:val="center"/>
              <w:rPr>
                <w:rFonts w:ascii="仿宋" w:hAnsi="仿宋" w:eastAsia="仿宋" w:cs="宋体"/>
                <w:kern w:val="0"/>
                <w:sz w:val="24"/>
              </w:rPr>
            </w:pPr>
          </w:p>
        </w:tc>
      </w:tr>
      <w:tr>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Times New Roman"/>
                <w:kern w:val="0"/>
                <w:sz w:val="24"/>
              </w:rPr>
            </w:pPr>
          </w:p>
        </w:tc>
        <w:tc>
          <w:tcPr>
            <w:tcW w:w="1245"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Times New Roman"/>
                <w:kern w:val="0"/>
                <w:sz w:val="24"/>
              </w:rPr>
            </w:pPr>
          </w:p>
        </w:tc>
        <w:tc>
          <w:tcPr>
            <w:tcW w:w="1275"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24"/>
              </w:rPr>
            </w:pPr>
          </w:p>
        </w:tc>
        <w:tc>
          <w:tcPr>
            <w:tcW w:w="1260" w:type="dxa"/>
            <w:gridSpan w:val="3"/>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24"/>
              </w:rPr>
            </w:pPr>
          </w:p>
        </w:tc>
        <w:tc>
          <w:tcPr>
            <w:tcW w:w="1260"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24"/>
              </w:rPr>
            </w:pPr>
          </w:p>
        </w:tc>
        <w:tc>
          <w:tcPr>
            <w:tcW w:w="1080"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Times New Roman"/>
                <w:kern w:val="0"/>
                <w:sz w:val="24"/>
              </w:rPr>
            </w:pPr>
          </w:p>
        </w:tc>
        <w:tc>
          <w:tcPr>
            <w:tcW w:w="1199" w:type="dxa"/>
            <w:gridSpan w:val="3"/>
            <w:tcBorders>
              <w:top w:val="single" w:color="auto" w:sz="4" w:space="0"/>
              <w:left w:val="nil"/>
              <w:bottom w:val="single" w:color="auto" w:sz="4" w:space="0"/>
              <w:right w:val="single" w:color="auto" w:sz="4" w:space="0"/>
            </w:tcBorders>
            <w:shd w:val="clear" w:color="auto" w:fill="FFFFFF"/>
            <w:noWrap/>
            <w:vAlign w:val="center"/>
          </w:tcPr>
          <w:p>
            <w:pPr>
              <w:widowControl/>
              <w:jc w:val="left"/>
              <w:rPr>
                <w:rFonts w:ascii="仿宋" w:hAnsi="仿宋" w:eastAsia="仿宋" w:cs="宋体"/>
                <w:kern w:val="0"/>
                <w:sz w:val="24"/>
              </w:rPr>
            </w:pPr>
          </w:p>
        </w:tc>
        <w:tc>
          <w:tcPr>
            <w:tcW w:w="1136" w:type="dxa"/>
            <w:tcBorders>
              <w:top w:val="single" w:color="auto" w:sz="4" w:space="0"/>
              <w:left w:val="nil"/>
              <w:bottom w:val="single" w:color="auto" w:sz="4" w:space="0"/>
              <w:right w:val="single" w:color="auto" w:sz="4" w:space="0"/>
            </w:tcBorders>
            <w:shd w:val="clear" w:color="auto" w:fill="FFFFFF"/>
            <w:noWrap/>
            <w:vAlign w:val="center"/>
          </w:tcPr>
          <w:p>
            <w:pPr>
              <w:widowControl/>
              <w:jc w:val="center"/>
              <w:rPr>
                <w:rFonts w:ascii="仿宋" w:hAnsi="仿宋" w:eastAsia="仿宋" w:cs="宋体"/>
                <w:kern w:val="0"/>
                <w:sz w:val="24"/>
              </w:rPr>
            </w:pPr>
          </w:p>
        </w:tc>
      </w:tr>
      <w:tr>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Times New Roman"/>
                <w:kern w:val="0"/>
                <w:sz w:val="24"/>
              </w:rPr>
            </w:pPr>
          </w:p>
        </w:tc>
        <w:tc>
          <w:tcPr>
            <w:tcW w:w="1245"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Times New Roman"/>
                <w:kern w:val="0"/>
                <w:sz w:val="24"/>
              </w:rPr>
            </w:pPr>
          </w:p>
        </w:tc>
        <w:tc>
          <w:tcPr>
            <w:tcW w:w="1275"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24"/>
              </w:rPr>
            </w:pPr>
          </w:p>
        </w:tc>
        <w:tc>
          <w:tcPr>
            <w:tcW w:w="1260" w:type="dxa"/>
            <w:gridSpan w:val="3"/>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24"/>
              </w:rPr>
            </w:pPr>
          </w:p>
        </w:tc>
        <w:tc>
          <w:tcPr>
            <w:tcW w:w="1260"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24"/>
              </w:rPr>
            </w:pPr>
          </w:p>
        </w:tc>
        <w:tc>
          <w:tcPr>
            <w:tcW w:w="1080"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Times New Roman"/>
                <w:kern w:val="0"/>
                <w:sz w:val="24"/>
              </w:rPr>
            </w:pPr>
          </w:p>
        </w:tc>
        <w:tc>
          <w:tcPr>
            <w:tcW w:w="1199" w:type="dxa"/>
            <w:gridSpan w:val="3"/>
            <w:tcBorders>
              <w:top w:val="single" w:color="auto" w:sz="4" w:space="0"/>
              <w:left w:val="nil"/>
              <w:bottom w:val="single" w:color="auto" w:sz="4" w:space="0"/>
              <w:right w:val="single" w:color="auto" w:sz="4" w:space="0"/>
            </w:tcBorders>
            <w:shd w:val="clear" w:color="auto" w:fill="FFFFFF"/>
            <w:noWrap/>
            <w:vAlign w:val="center"/>
          </w:tcPr>
          <w:p>
            <w:pPr>
              <w:widowControl/>
              <w:jc w:val="left"/>
              <w:rPr>
                <w:rFonts w:ascii="仿宋" w:hAnsi="仿宋" w:eastAsia="仿宋" w:cs="宋体"/>
                <w:kern w:val="0"/>
                <w:sz w:val="24"/>
              </w:rPr>
            </w:pPr>
          </w:p>
        </w:tc>
        <w:tc>
          <w:tcPr>
            <w:tcW w:w="1136" w:type="dxa"/>
            <w:tcBorders>
              <w:top w:val="single" w:color="auto" w:sz="4" w:space="0"/>
              <w:left w:val="nil"/>
              <w:bottom w:val="single" w:color="auto" w:sz="4" w:space="0"/>
              <w:right w:val="single" w:color="auto" w:sz="4" w:space="0"/>
            </w:tcBorders>
            <w:shd w:val="clear" w:color="auto" w:fill="FFFFFF"/>
            <w:noWrap/>
            <w:vAlign w:val="center"/>
          </w:tcPr>
          <w:p>
            <w:pPr>
              <w:widowControl/>
              <w:jc w:val="center"/>
              <w:rPr>
                <w:rFonts w:ascii="仿宋" w:hAnsi="仿宋" w:eastAsia="仿宋" w:cs="宋体"/>
                <w:kern w:val="0"/>
                <w:sz w:val="24"/>
              </w:rPr>
            </w:pPr>
          </w:p>
        </w:tc>
      </w:tr>
      <w:tr>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Times New Roman"/>
                <w:kern w:val="0"/>
                <w:sz w:val="24"/>
              </w:rPr>
            </w:pPr>
          </w:p>
        </w:tc>
        <w:tc>
          <w:tcPr>
            <w:tcW w:w="1245"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Times New Roman"/>
                <w:kern w:val="0"/>
                <w:sz w:val="24"/>
              </w:rPr>
            </w:pPr>
          </w:p>
        </w:tc>
        <w:tc>
          <w:tcPr>
            <w:tcW w:w="1275"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24"/>
              </w:rPr>
            </w:pPr>
          </w:p>
        </w:tc>
        <w:tc>
          <w:tcPr>
            <w:tcW w:w="1260" w:type="dxa"/>
            <w:gridSpan w:val="3"/>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24"/>
              </w:rPr>
            </w:pPr>
          </w:p>
        </w:tc>
        <w:tc>
          <w:tcPr>
            <w:tcW w:w="1260"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24"/>
              </w:rPr>
            </w:pPr>
          </w:p>
        </w:tc>
        <w:tc>
          <w:tcPr>
            <w:tcW w:w="1080"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Times New Roman"/>
                <w:kern w:val="0"/>
                <w:sz w:val="24"/>
              </w:rPr>
            </w:pPr>
          </w:p>
        </w:tc>
        <w:tc>
          <w:tcPr>
            <w:tcW w:w="1199" w:type="dxa"/>
            <w:gridSpan w:val="3"/>
            <w:tcBorders>
              <w:top w:val="single" w:color="auto" w:sz="4" w:space="0"/>
              <w:left w:val="nil"/>
              <w:bottom w:val="single" w:color="auto" w:sz="4" w:space="0"/>
              <w:right w:val="single" w:color="auto" w:sz="4" w:space="0"/>
            </w:tcBorders>
            <w:shd w:val="clear" w:color="auto" w:fill="FFFFFF"/>
            <w:noWrap/>
            <w:vAlign w:val="center"/>
          </w:tcPr>
          <w:p>
            <w:pPr>
              <w:widowControl/>
              <w:jc w:val="left"/>
              <w:rPr>
                <w:rFonts w:ascii="仿宋" w:hAnsi="仿宋" w:eastAsia="仿宋" w:cs="宋体"/>
                <w:kern w:val="0"/>
                <w:sz w:val="24"/>
              </w:rPr>
            </w:pPr>
          </w:p>
        </w:tc>
        <w:tc>
          <w:tcPr>
            <w:tcW w:w="1136" w:type="dxa"/>
            <w:tcBorders>
              <w:top w:val="single" w:color="auto" w:sz="4" w:space="0"/>
              <w:left w:val="nil"/>
              <w:bottom w:val="single" w:color="auto" w:sz="4" w:space="0"/>
              <w:right w:val="single" w:color="auto" w:sz="4" w:space="0"/>
            </w:tcBorders>
            <w:shd w:val="clear" w:color="auto" w:fill="FFFFFF"/>
            <w:noWrap/>
            <w:vAlign w:val="center"/>
          </w:tcPr>
          <w:p>
            <w:pPr>
              <w:widowControl/>
              <w:jc w:val="center"/>
              <w:rPr>
                <w:rFonts w:ascii="仿宋" w:hAnsi="仿宋" w:eastAsia="仿宋" w:cs="宋体"/>
                <w:kern w:val="0"/>
                <w:sz w:val="24"/>
              </w:rPr>
            </w:pPr>
          </w:p>
        </w:tc>
      </w:tr>
      <w:tr>
        <w:tblPrEx>
          <w:tblCellMar>
            <w:top w:w="0" w:type="dxa"/>
            <w:left w:w="108" w:type="dxa"/>
            <w:bottom w:w="0" w:type="dxa"/>
            <w:right w:w="108" w:type="dxa"/>
          </w:tblCellMar>
        </w:tblPrEx>
        <w:trPr>
          <w:trHeight w:val="567" w:hRule="atLeast"/>
          <w:jc w:val="center"/>
        </w:trPr>
        <w:tc>
          <w:tcPr>
            <w:tcW w:w="9730" w:type="dxa"/>
            <w:gridSpan w:val="15"/>
            <w:tcBorders>
              <w:top w:val="single" w:color="auto" w:sz="4" w:space="0"/>
              <w:left w:val="single" w:color="auto" w:sz="4" w:space="0"/>
              <w:bottom w:val="single" w:color="auto" w:sz="4" w:space="0"/>
              <w:right w:val="single" w:color="auto" w:sz="4" w:space="0"/>
            </w:tcBorders>
            <w:noWrap/>
            <w:vAlign w:val="center"/>
          </w:tcPr>
          <w:p>
            <w:pPr>
              <w:widowControl/>
              <w:jc w:val="left"/>
              <w:rPr>
                <w:rFonts w:ascii="仿宋" w:hAnsi="仿宋" w:eastAsia="仿宋" w:cs="宋体"/>
                <w:bCs/>
                <w:kern w:val="0"/>
                <w:sz w:val="24"/>
              </w:rPr>
            </w:pPr>
            <w:r>
              <w:rPr>
                <w:rFonts w:hint="eastAsia" w:ascii="黑体" w:hAnsi="黑体" w:eastAsia="黑体" w:cs="黑体"/>
                <w:bCs/>
                <w:kern w:val="0"/>
                <w:sz w:val="24"/>
              </w:rPr>
              <w:t>四、机构设置情况</w:t>
            </w:r>
          </w:p>
        </w:tc>
      </w:tr>
      <w:tr>
        <w:tblPrEx>
          <w:tblCellMar>
            <w:top w:w="0" w:type="dxa"/>
            <w:left w:w="108" w:type="dxa"/>
            <w:bottom w:w="0" w:type="dxa"/>
            <w:right w:w="108" w:type="dxa"/>
          </w:tblCellMar>
        </w:tblPrEx>
        <w:trPr>
          <w:trHeight w:val="567" w:hRule="atLeast"/>
          <w:jc w:val="center"/>
        </w:trPr>
        <w:tc>
          <w:tcPr>
            <w:tcW w:w="2520"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拟设部门名称</w:t>
            </w:r>
          </w:p>
        </w:tc>
        <w:tc>
          <w:tcPr>
            <w:tcW w:w="3915" w:type="dxa"/>
            <w:gridSpan w:val="8"/>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主要职责</w:t>
            </w:r>
          </w:p>
        </w:tc>
        <w:tc>
          <w:tcPr>
            <w:tcW w:w="1344"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负责人</w:t>
            </w:r>
          </w:p>
        </w:tc>
        <w:tc>
          <w:tcPr>
            <w:tcW w:w="1951" w:type="dxa"/>
            <w:gridSpan w:val="3"/>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联系电话</w:t>
            </w:r>
          </w:p>
        </w:tc>
      </w:tr>
      <w:tr>
        <w:tblPrEx>
          <w:tblCellMar>
            <w:top w:w="0" w:type="dxa"/>
            <w:left w:w="108" w:type="dxa"/>
            <w:bottom w:w="0" w:type="dxa"/>
            <w:right w:w="108" w:type="dxa"/>
          </w:tblCellMar>
        </w:tblPrEx>
        <w:trPr>
          <w:trHeight w:val="567" w:hRule="atLeast"/>
          <w:jc w:val="center"/>
        </w:trPr>
        <w:tc>
          <w:tcPr>
            <w:tcW w:w="2520"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ascii="仿宋_GB2312" w:hAnsi="仿宋_GB2312" w:eastAsia="仿宋_GB2312" w:cs="仿宋_GB2312"/>
                <w:kern w:val="0"/>
                <w:sz w:val="24"/>
              </w:rPr>
            </w:pPr>
          </w:p>
        </w:tc>
        <w:tc>
          <w:tcPr>
            <w:tcW w:w="3915" w:type="dxa"/>
            <w:gridSpan w:val="8"/>
            <w:tcBorders>
              <w:top w:val="single" w:color="auto" w:sz="4" w:space="0"/>
              <w:left w:val="single" w:color="auto" w:sz="4" w:space="0"/>
              <w:bottom w:val="single" w:color="auto" w:sz="4" w:space="0"/>
              <w:right w:val="single" w:color="auto" w:sz="4" w:space="0"/>
            </w:tcBorders>
            <w:noWrap/>
            <w:vAlign w:val="center"/>
          </w:tcPr>
          <w:p>
            <w:pPr>
              <w:widowControl/>
              <w:jc w:val="left"/>
              <w:rPr>
                <w:rFonts w:ascii="仿宋_GB2312" w:hAnsi="仿宋_GB2312" w:eastAsia="仿宋_GB2312" w:cs="仿宋_GB2312"/>
                <w:kern w:val="0"/>
                <w:sz w:val="24"/>
              </w:rPr>
            </w:pPr>
          </w:p>
        </w:tc>
        <w:tc>
          <w:tcPr>
            <w:tcW w:w="1344"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ascii="仿宋_GB2312" w:hAnsi="仿宋_GB2312" w:eastAsia="仿宋_GB2312" w:cs="仿宋_GB2312"/>
                <w:kern w:val="0"/>
                <w:sz w:val="24"/>
              </w:rPr>
            </w:pPr>
          </w:p>
        </w:tc>
        <w:tc>
          <w:tcPr>
            <w:tcW w:w="1951" w:type="dxa"/>
            <w:gridSpan w:val="3"/>
            <w:tcBorders>
              <w:top w:val="single" w:color="auto" w:sz="4" w:space="0"/>
              <w:left w:val="single" w:color="auto" w:sz="4" w:space="0"/>
              <w:bottom w:val="single" w:color="auto" w:sz="4" w:space="0"/>
              <w:right w:val="single" w:color="auto" w:sz="4" w:space="0"/>
            </w:tcBorders>
            <w:noWrap/>
            <w:vAlign w:val="center"/>
          </w:tcPr>
          <w:p>
            <w:pPr>
              <w:widowControl/>
              <w:jc w:val="left"/>
              <w:rPr>
                <w:rFonts w:ascii="仿宋_GB2312" w:hAnsi="仿宋_GB2312" w:eastAsia="仿宋_GB2312" w:cs="仿宋_GB2312"/>
                <w:kern w:val="0"/>
                <w:sz w:val="24"/>
              </w:rPr>
            </w:pPr>
          </w:p>
        </w:tc>
      </w:tr>
      <w:tr>
        <w:tblPrEx>
          <w:tblCellMar>
            <w:top w:w="0" w:type="dxa"/>
            <w:left w:w="108" w:type="dxa"/>
            <w:bottom w:w="0" w:type="dxa"/>
            <w:right w:w="108" w:type="dxa"/>
          </w:tblCellMar>
        </w:tblPrEx>
        <w:trPr>
          <w:trHeight w:val="567" w:hRule="atLeast"/>
          <w:jc w:val="center"/>
        </w:trPr>
        <w:tc>
          <w:tcPr>
            <w:tcW w:w="2520"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ascii="仿宋_GB2312" w:hAnsi="仿宋_GB2312" w:eastAsia="仿宋_GB2312" w:cs="仿宋_GB2312"/>
                <w:kern w:val="0"/>
                <w:sz w:val="24"/>
              </w:rPr>
            </w:pPr>
          </w:p>
        </w:tc>
        <w:tc>
          <w:tcPr>
            <w:tcW w:w="3915" w:type="dxa"/>
            <w:gridSpan w:val="8"/>
            <w:tcBorders>
              <w:top w:val="single" w:color="auto" w:sz="4" w:space="0"/>
              <w:left w:val="single" w:color="auto" w:sz="4" w:space="0"/>
              <w:bottom w:val="single" w:color="auto" w:sz="4" w:space="0"/>
              <w:right w:val="single" w:color="auto" w:sz="4" w:space="0"/>
            </w:tcBorders>
            <w:noWrap/>
            <w:vAlign w:val="center"/>
          </w:tcPr>
          <w:p>
            <w:pPr>
              <w:widowControl/>
              <w:jc w:val="left"/>
              <w:rPr>
                <w:rFonts w:ascii="仿宋_GB2312" w:hAnsi="仿宋_GB2312" w:eastAsia="仿宋_GB2312" w:cs="仿宋_GB2312"/>
                <w:kern w:val="0"/>
                <w:sz w:val="24"/>
              </w:rPr>
            </w:pPr>
          </w:p>
        </w:tc>
        <w:tc>
          <w:tcPr>
            <w:tcW w:w="1344"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ascii="仿宋_GB2312" w:hAnsi="仿宋_GB2312" w:eastAsia="仿宋_GB2312" w:cs="仿宋_GB2312"/>
                <w:kern w:val="0"/>
                <w:sz w:val="24"/>
              </w:rPr>
            </w:pPr>
          </w:p>
        </w:tc>
        <w:tc>
          <w:tcPr>
            <w:tcW w:w="1951" w:type="dxa"/>
            <w:gridSpan w:val="3"/>
            <w:tcBorders>
              <w:top w:val="single" w:color="auto" w:sz="4" w:space="0"/>
              <w:left w:val="single" w:color="auto" w:sz="4" w:space="0"/>
              <w:bottom w:val="single" w:color="auto" w:sz="4" w:space="0"/>
              <w:right w:val="single" w:color="auto" w:sz="4" w:space="0"/>
            </w:tcBorders>
            <w:noWrap/>
            <w:vAlign w:val="center"/>
          </w:tcPr>
          <w:p>
            <w:pPr>
              <w:widowControl/>
              <w:jc w:val="left"/>
              <w:rPr>
                <w:rFonts w:ascii="仿宋_GB2312" w:hAnsi="仿宋_GB2312" w:eastAsia="仿宋_GB2312" w:cs="仿宋_GB2312"/>
                <w:kern w:val="0"/>
                <w:sz w:val="24"/>
              </w:rPr>
            </w:pPr>
          </w:p>
        </w:tc>
      </w:tr>
      <w:tr>
        <w:tblPrEx>
          <w:tblCellMar>
            <w:top w:w="0" w:type="dxa"/>
            <w:left w:w="108" w:type="dxa"/>
            <w:bottom w:w="0" w:type="dxa"/>
            <w:right w:w="108" w:type="dxa"/>
          </w:tblCellMar>
        </w:tblPrEx>
        <w:trPr>
          <w:trHeight w:val="567" w:hRule="atLeast"/>
          <w:jc w:val="center"/>
        </w:trPr>
        <w:tc>
          <w:tcPr>
            <w:tcW w:w="2520"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ascii="仿宋_GB2312" w:hAnsi="仿宋_GB2312" w:eastAsia="仿宋_GB2312" w:cs="仿宋_GB2312"/>
                <w:kern w:val="0"/>
                <w:sz w:val="24"/>
              </w:rPr>
            </w:pPr>
          </w:p>
        </w:tc>
        <w:tc>
          <w:tcPr>
            <w:tcW w:w="3915" w:type="dxa"/>
            <w:gridSpan w:val="8"/>
            <w:tcBorders>
              <w:top w:val="single" w:color="auto" w:sz="4" w:space="0"/>
              <w:left w:val="single" w:color="auto" w:sz="4" w:space="0"/>
              <w:bottom w:val="single" w:color="auto" w:sz="4" w:space="0"/>
              <w:right w:val="single" w:color="auto" w:sz="4" w:space="0"/>
            </w:tcBorders>
            <w:noWrap/>
            <w:vAlign w:val="center"/>
          </w:tcPr>
          <w:p>
            <w:pPr>
              <w:widowControl/>
              <w:jc w:val="left"/>
              <w:rPr>
                <w:rFonts w:ascii="仿宋_GB2312" w:hAnsi="仿宋_GB2312" w:eastAsia="仿宋_GB2312" w:cs="仿宋_GB2312"/>
                <w:kern w:val="0"/>
                <w:sz w:val="24"/>
              </w:rPr>
            </w:pPr>
          </w:p>
        </w:tc>
        <w:tc>
          <w:tcPr>
            <w:tcW w:w="1344"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ascii="仿宋_GB2312" w:hAnsi="仿宋_GB2312" w:eastAsia="仿宋_GB2312" w:cs="仿宋_GB2312"/>
                <w:kern w:val="0"/>
                <w:sz w:val="24"/>
              </w:rPr>
            </w:pPr>
          </w:p>
        </w:tc>
        <w:tc>
          <w:tcPr>
            <w:tcW w:w="1951" w:type="dxa"/>
            <w:gridSpan w:val="3"/>
            <w:tcBorders>
              <w:top w:val="single" w:color="auto" w:sz="4" w:space="0"/>
              <w:left w:val="single" w:color="auto" w:sz="4" w:space="0"/>
              <w:bottom w:val="single" w:color="auto" w:sz="4" w:space="0"/>
              <w:right w:val="single" w:color="auto" w:sz="4" w:space="0"/>
            </w:tcBorders>
            <w:noWrap/>
            <w:vAlign w:val="center"/>
          </w:tcPr>
          <w:p>
            <w:pPr>
              <w:widowControl/>
              <w:jc w:val="left"/>
              <w:rPr>
                <w:rFonts w:ascii="仿宋_GB2312" w:hAnsi="仿宋_GB2312" w:eastAsia="仿宋_GB2312" w:cs="仿宋_GB2312"/>
                <w:kern w:val="0"/>
                <w:sz w:val="24"/>
              </w:rPr>
            </w:pPr>
          </w:p>
        </w:tc>
      </w:tr>
      <w:tr>
        <w:tblPrEx>
          <w:tblCellMar>
            <w:top w:w="0" w:type="dxa"/>
            <w:left w:w="108" w:type="dxa"/>
            <w:bottom w:w="0" w:type="dxa"/>
            <w:right w:w="108" w:type="dxa"/>
          </w:tblCellMar>
        </w:tblPrEx>
        <w:trPr>
          <w:trHeight w:val="567" w:hRule="atLeast"/>
          <w:jc w:val="center"/>
        </w:trPr>
        <w:tc>
          <w:tcPr>
            <w:tcW w:w="2520"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ascii="仿宋_GB2312" w:hAnsi="仿宋_GB2312" w:eastAsia="仿宋_GB2312" w:cs="仿宋_GB2312"/>
                <w:kern w:val="0"/>
                <w:sz w:val="24"/>
              </w:rPr>
            </w:pPr>
          </w:p>
        </w:tc>
        <w:tc>
          <w:tcPr>
            <w:tcW w:w="3915" w:type="dxa"/>
            <w:gridSpan w:val="8"/>
            <w:tcBorders>
              <w:top w:val="single" w:color="auto" w:sz="4" w:space="0"/>
              <w:left w:val="single" w:color="auto" w:sz="4" w:space="0"/>
              <w:bottom w:val="single" w:color="auto" w:sz="4" w:space="0"/>
              <w:right w:val="single" w:color="auto" w:sz="4" w:space="0"/>
            </w:tcBorders>
            <w:noWrap/>
            <w:vAlign w:val="center"/>
          </w:tcPr>
          <w:p>
            <w:pPr>
              <w:widowControl/>
              <w:jc w:val="left"/>
              <w:rPr>
                <w:rFonts w:ascii="仿宋_GB2312" w:hAnsi="仿宋_GB2312" w:eastAsia="仿宋_GB2312" w:cs="仿宋_GB2312"/>
                <w:kern w:val="0"/>
                <w:sz w:val="24"/>
              </w:rPr>
            </w:pPr>
          </w:p>
        </w:tc>
        <w:tc>
          <w:tcPr>
            <w:tcW w:w="1344"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ascii="仿宋_GB2312" w:hAnsi="仿宋_GB2312" w:eastAsia="仿宋_GB2312" w:cs="仿宋_GB2312"/>
                <w:kern w:val="0"/>
                <w:sz w:val="24"/>
              </w:rPr>
            </w:pPr>
          </w:p>
        </w:tc>
        <w:tc>
          <w:tcPr>
            <w:tcW w:w="1951" w:type="dxa"/>
            <w:gridSpan w:val="3"/>
            <w:tcBorders>
              <w:top w:val="single" w:color="auto" w:sz="4" w:space="0"/>
              <w:left w:val="single" w:color="auto" w:sz="4" w:space="0"/>
              <w:bottom w:val="single" w:color="auto" w:sz="4" w:space="0"/>
              <w:right w:val="single" w:color="auto" w:sz="4" w:space="0"/>
            </w:tcBorders>
            <w:noWrap/>
            <w:vAlign w:val="center"/>
          </w:tcPr>
          <w:p>
            <w:pPr>
              <w:widowControl/>
              <w:jc w:val="left"/>
              <w:rPr>
                <w:rFonts w:ascii="仿宋_GB2312" w:hAnsi="仿宋_GB2312" w:eastAsia="仿宋_GB2312" w:cs="仿宋_GB2312"/>
                <w:kern w:val="0"/>
                <w:sz w:val="24"/>
              </w:rPr>
            </w:pPr>
          </w:p>
        </w:tc>
      </w:tr>
      <w:tr>
        <w:tblPrEx>
          <w:tblCellMar>
            <w:top w:w="0" w:type="dxa"/>
            <w:left w:w="108" w:type="dxa"/>
            <w:bottom w:w="0" w:type="dxa"/>
            <w:right w:w="108" w:type="dxa"/>
          </w:tblCellMar>
        </w:tblPrEx>
        <w:trPr>
          <w:trHeight w:val="567" w:hRule="atLeast"/>
          <w:jc w:val="center"/>
        </w:trPr>
        <w:tc>
          <w:tcPr>
            <w:tcW w:w="2520"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ascii="仿宋_GB2312" w:hAnsi="仿宋_GB2312" w:eastAsia="仿宋_GB2312" w:cs="仿宋_GB2312"/>
                <w:kern w:val="0"/>
                <w:sz w:val="24"/>
              </w:rPr>
            </w:pPr>
          </w:p>
        </w:tc>
        <w:tc>
          <w:tcPr>
            <w:tcW w:w="3915" w:type="dxa"/>
            <w:gridSpan w:val="8"/>
            <w:tcBorders>
              <w:top w:val="single" w:color="auto" w:sz="4" w:space="0"/>
              <w:left w:val="single" w:color="auto" w:sz="4" w:space="0"/>
              <w:bottom w:val="single" w:color="auto" w:sz="4" w:space="0"/>
              <w:right w:val="single" w:color="auto" w:sz="4" w:space="0"/>
            </w:tcBorders>
            <w:noWrap/>
            <w:vAlign w:val="center"/>
          </w:tcPr>
          <w:p>
            <w:pPr>
              <w:widowControl/>
              <w:jc w:val="left"/>
              <w:rPr>
                <w:rFonts w:ascii="仿宋_GB2312" w:hAnsi="仿宋_GB2312" w:eastAsia="仿宋_GB2312" w:cs="仿宋_GB2312"/>
                <w:kern w:val="0"/>
                <w:sz w:val="24"/>
              </w:rPr>
            </w:pPr>
          </w:p>
        </w:tc>
        <w:tc>
          <w:tcPr>
            <w:tcW w:w="1344"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ascii="仿宋_GB2312" w:hAnsi="仿宋_GB2312" w:eastAsia="仿宋_GB2312" w:cs="仿宋_GB2312"/>
                <w:kern w:val="0"/>
                <w:sz w:val="24"/>
              </w:rPr>
            </w:pPr>
          </w:p>
        </w:tc>
        <w:tc>
          <w:tcPr>
            <w:tcW w:w="1951" w:type="dxa"/>
            <w:gridSpan w:val="3"/>
            <w:tcBorders>
              <w:top w:val="single" w:color="auto" w:sz="4" w:space="0"/>
              <w:left w:val="single" w:color="auto" w:sz="4" w:space="0"/>
              <w:bottom w:val="single" w:color="auto" w:sz="4" w:space="0"/>
              <w:right w:val="single" w:color="auto" w:sz="4" w:space="0"/>
            </w:tcBorders>
            <w:noWrap/>
            <w:vAlign w:val="center"/>
          </w:tcPr>
          <w:p>
            <w:pPr>
              <w:widowControl/>
              <w:jc w:val="left"/>
              <w:rPr>
                <w:rFonts w:ascii="仿宋_GB2312" w:hAnsi="仿宋_GB2312" w:eastAsia="仿宋_GB2312" w:cs="仿宋_GB2312"/>
                <w:kern w:val="0"/>
                <w:sz w:val="24"/>
              </w:rPr>
            </w:pPr>
          </w:p>
        </w:tc>
      </w:tr>
      <w:tr>
        <w:tblPrEx>
          <w:tblCellMar>
            <w:top w:w="0" w:type="dxa"/>
            <w:left w:w="108" w:type="dxa"/>
            <w:bottom w:w="0" w:type="dxa"/>
            <w:right w:w="108" w:type="dxa"/>
          </w:tblCellMar>
        </w:tblPrEx>
        <w:trPr>
          <w:trHeight w:val="567" w:hRule="atLeast"/>
          <w:jc w:val="center"/>
        </w:trPr>
        <w:tc>
          <w:tcPr>
            <w:tcW w:w="9730" w:type="dxa"/>
            <w:gridSpan w:val="15"/>
            <w:tcBorders>
              <w:top w:val="single" w:color="auto" w:sz="4" w:space="0"/>
              <w:left w:val="single" w:color="auto" w:sz="4" w:space="0"/>
              <w:bottom w:val="single" w:color="auto" w:sz="4" w:space="0"/>
              <w:right w:val="single" w:color="auto" w:sz="4" w:space="0"/>
            </w:tcBorders>
            <w:noWrap/>
            <w:vAlign w:val="center"/>
          </w:tcPr>
          <w:p>
            <w:pPr>
              <w:widowControl/>
              <w:jc w:val="left"/>
              <w:rPr>
                <w:rFonts w:ascii="黑体" w:hAnsi="黑体" w:eastAsia="黑体" w:cs="黑体"/>
                <w:bCs/>
                <w:kern w:val="0"/>
                <w:sz w:val="24"/>
              </w:rPr>
            </w:pPr>
            <w:r>
              <w:rPr>
                <w:rFonts w:hint="eastAsia" w:ascii="黑体" w:hAnsi="黑体" w:eastAsia="黑体" w:cs="黑体"/>
                <w:bCs/>
                <w:kern w:val="0"/>
                <w:sz w:val="24"/>
              </w:rPr>
              <w:t>五、其它情况</w:t>
            </w:r>
          </w:p>
        </w:tc>
      </w:tr>
      <w:tr>
        <w:tblPrEx>
          <w:tblCellMar>
            <w:top w:w="0" w:type="dxa"/>
            <w:left w:w="108" w:type="dxa"/>
            <w:bottom w:w="0" w:type="dxa"/>
            <w:right w:w="108" w:type="dxa"/>
          </w:tblCellMar>
        </w:tblPrEx>
        <w:trPr>
          <w:trHeight w:val="1786" w:hRule="atLeast"/>
          <w:jc w:val="center"/>
        </w:trPr>
        <w:tc>
          <w:tcPr>
            <w:tcW w:w="2520"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郑重承诺</w:t>
            </w:r>
          </w:p>
        </w:tc>
        <w:tc>
          <w:tcPr>
            <w:tcW w:w="7210" w:type="dxa"/>
            <w:gridSpan w:val="13"/>
            <w:tcBorders>
              <w:top w:val="single" w:color="auto" w:sz="4" w:space="0"/>
              <w:left w:val="nil"/>
              <w:bottom w:val="single" w:color="auto" w:sz="4" w:space="0"/>
              <w:right w:val="single" w:color="auto" w:sz="4" w:space="0"/>
            </w:tcBorders>
            <w:noWrap/>
            <w:vAlign w:val="center"/>
          </w:tcPr>
          <w:p>
            <w:pPr>
              <w:widowControl/>
              <w:ind w:firstLine="480" w:firstLineChars="200"/>
              <w:jc w:val="left"/>
              <w:rPr>
                <w:rFonts w:ascii="仿宋_GB2312" w:hAnsi="仿宋_GB2312" w:eastAsia="仿宋_GB2312" w:cs="仿宋_GB2312"/>
                <w:kern w:val="0"/>
                <w:sz w:val="24"/>
              </w:rPr>
            </w:pPr>
          </w:p>
          <w:p>
            <w:pPr>
              <w:widowControl/>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一、股东入股资金均为自有资金，出资来源真实合法、权属明晰，不存在以他人委托资金、借贷资金入股，自然人股东以共有财产出资已征得财产共有人同意。</w:t>
            </w:r>
          </w:p>
          <w:p>
            <w:pPr>
              <w:widowControl/>
              <w:ind w:firstLine="48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二、所呈交的全部材料真实、准确、可靠，我公司对其真实性负全部责任。若申报材料中有虚假、伪造或隐瞒等违规情况,愿承担有关法律责任。</w:t>
            </w:r>
          </w:p>
          <w:p>
            <w:pPr>
              <w:widowControl/>
              <w:ind w:firstLine="48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三、公司主动申请退出试点资格或因违法违规经营被强制取消试点资格的，主动配合金融局完成退出试点、注销实体或变更为一般工商企业，自愿承担失信行为带来的信用约束。</w:t>
            </w:r>
          </w:p>
          <w:p>
            <w:pPr>
              <w:widowControl/>
              <w:ind w:firstLine="480"/>
              <w:jc w:val="left"/>
              <w:rPr>
                <w:rFonts w:ascii="仿宋_GB2312" w:hAnsi="仿宋_GB2312" w:eastAsia="仿宋_GB2312" w:cs="仿宋_GB2312"/>
                <w:kern w:val="0"/>
                <w:sz w:val="24"/>
              </w:rPr>
            </w:pPr>
          </w:p>
        </w:tc>
      </w:tr>
      <w:tr>
        <w:tblPrEx>
          <w:tblCellMar>
            <w:top w:w="0" w:type="dxa"/>
            <w:left w:w="108" w:type="dxa"/>
            <w:bottom w:w="0" w:type="dxa"/>
            <w:right w:w="108" w:type="dxa"/>
          </w:tblCellMar>
        </w:tblPrEx>
        <w:trPr>
          <w:trHeight w:val="1786" w:hRule="atLeast"/>
          <w:jc w:val="center"/>
        </w:trPr>
        <w:tc>
          <w:tcPr>
            <w:tcW w:w="2520"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仿宋_GB2312" w:eastAsia="仿宋_GB2312" w:cs="仿宋_GB2312"/>
                <w:kern w:val="0"/>
                <w:sz w:val="24"/>
              </w:rPr>
            </w:pPr>
          </w:p>
        </w:tc>
        <w:tc>
          <w:tcPr>
            <w:tcW w:w="7210" w:type="dxa"/>
            <w:gridSpan w:val="13"/>
            <w:tcBorders>
              <w:top w:val="single" w:color="auto" w:sz="4" w:space="0"/>
              <w:left w:val="nil"/>
              <w:bottom w:val="single" w:color="auto" w:sz="4" w:space="0"/>
              <w:right w:val="single" w:color="auto" w:sz="4" w:space="0"/>
            </w:tcBorders>
            <w:noWrap/>
            <w:vAlign w:val="center"/>
          </w:tcPr>
          <w:p>
            <w:pPr>
              <w:widowControl/>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股东（签名和按指印）：</w:t>
            </w:r>
          </w:p>
          <w:p>
            <w:pPr>
              <w:widowControl/>
              <w:ind w:firstLine="480"/>
              <w:jc w:val="left"/>
              <w:rPr>
                <w:rFonts w:ascii="仿宋_GB2312" w:hAnsi="仿宋_GB2312" w:eastAsia="仿宋_GB2312" w:cs="仿宋_GB2312"/>
                <w:kern w:val="0"/>
                <w:sz w:val="24"/>
              </w:rPr>
            </w:pPr>
          </w:p>
          <w:p>
            <w:pPr>
              <w:widowControl/>
              <w:ind w:firstLine="480"/>
              <w:jc w:val="left"/>
              <w:rPr>
                <w:rFonts w:ascii="仿宋_GB2312" w:hAnsi="仿宋_GB2312" w:eastAsia="仿宋_GB2312" w:cs="仿宋_GB2312"/>
                <w:kern w:val="0"/>
                <w:sz w:val="24"/>
              </w:rPr>
            </w:pPr>
          </w:p>
          <w:p>
            <w:pPr>
              <w:widowControl/>
              <w:ind w:firstLine="480"/>
              <w:jc w:val="left"/>
              <w:rPr>
                <w:rFonts w:ascii="仿宋_GB2312" w:hAnsi="仿宋_GB2312" w:eastAsia="仿宋_GB2312" w:cs="仿宋_GB2312"/>
                <w:kern w:val="0"/>
                <w:sz w:val="24"/>
              </w:rPr>
            </w:pPr>
          </w:p>
          <w:p>
            <w:pPr>
              <w:widowControl/>
              <w:ind w:firstLine="480"/>
              <w:jc w:val="left"/>
              <w:rPr>
                <w:rFonts w:ascii="仿宋_GB2312" w:hAnsi="仿宋_GB2312" w:eastAsia="仿宋_GB2312" w:cs="仿宋_GB2312"/>
                <w:kern w:val="0"/>
                <w:sz w:val="24"/>
              </w:rPr>
            </w:pPr>
          </w:p>
          <w:p>
            <w:pPr>
              <w:widowControl/>
              <w:ind w:firstLine="480"/>
              <w:jc w:val="left"/>
              <w:rPr>
                <w:rFonts w:ascii="仿宋_GB2312" w:hAnsi="仿宋_GB2312" w:eastAsia="仿宋_GB2312" w:cs="仿宋_GB2312"/>
                <w:kern w:val="0"/>
                <w:sz w:val="24"/>
              </w:rPr>
            </w:pPr>
          </w:p>
          <w:p>
            <w:pPr>
              <w:widowControl/>
              <w:ind w:firstLine="480"/>
              <w:jc w:val="left"/>
              <w:rPr>
                <w:rFonts w:ascii="仿宋_GB2312" w:hAnsi="仿宋_GB2312" w:eastAsia="仿宋_GB2312" w:cs="仿宋_GB2312"/>
                <w:kern w:val="0"/>
                <w:sz w:val="24"/>
              </w:rPr>
            </w:pPr>
          </w:p>
          <w:p>
            <w:pPr>
              <w:widowControl/>
              <w:ind w:firstLine="480"/>
              <w:jc w:val="left"/>
              <w:rPr>
                <w:rFonts w:ascii="仿宋_GB2312" w:hAnsi="仿宋_GB2312" w:eastAsia="仿宋_GB2312" w:cs="仿宋_GB2312"/>
                <w:kern w:val="0"/>
                <w:sz w:val="24"/>
              </w:rPr>
            </w:pPr>
          </w:p>
          <w:p>
            <w:pPr>
              <w:widowControl/>
              <w:ind w:firstLine="480"/>
              <w:jc w:val="left"/>
              <w:rPr>
                <w:rFonts w:ascii="仿宋_GB2312" w:hAnsi="仿宋_GB2312" w:eastAsia="仿宋_GB2312" w:cs="仿宋_GB2312"/>
                <w:kern w:val="0"/>
                <w:sz w:val="24"/>
              </w:rPr>
            </w:pPr>
          </w:p>
          <w:p>
            <w:pPr>
              <w:widowControl/>
              <w:ind w:firstLine="480"/>
              <w:jc w:val="left"/>
              <w:rPr>
                <w:rFonts w:ascii="仿宋_GB2312" w:hAnsi="仿宋_GB2312" w:eastAsia="仿宋_GB2312" w:cs="仿宋_GB2312"/>
                <w:kern w:val="0"/>
                <w:sz w:val="24"/>
              </w:rPr>
            </w:pPr>
          </w:p>
          <w:p>
            <w:pPr>
              <w:widowControl/>
              <w:ind w:firstLine="480"/>
              <w:jc w:val="left"/>
              <w:rPr>
                <w:rFonts w:ascii="仿宋_GB2312" w:hAnsi="仿宋_GB2312" w:eastAsia="仿宋_GB2312" w:cs="仿宋_GB2312"/>
                <w:kern w:val="0"/>
                <w:sz w:val="24"/>
              </w:rPr>
            </w:pPr>
          </w:p>
          <w:p>
            <w:pPr>
              <w:widowControl/>
              <w:ind w:firstLine="480"/>
              <w:jc w:val="left"/>
              <w:rPr>
                <w:rFonts w:ascii="仿宋_GB2312" w:hAnsi="仿宋_GB2312" w:eastAsia="仿宋_GB2312" w:cs="仿宋_GB2312"/>
                <w:kern w:val="0"/>
                <w:sz w:val="24"/>
              </w:rPr>
            </w:pPr>
          </w:p>
          <w:p>
            <w:pPr>
              <w:widowControl/>
              <w:ind w:firstLine="480"/>
              <w:jc w:val="left"/>
              <w:rPr>
                <w:rFonts w:ascii="仿宋_GB2312" w:hAnsi="仿宋_GB2312" w:eastAsia="仿宋_GB2312" w:cs="仿宋_GB2312"/>
                <w:kern w:val="0"/>
                <w:sz w:val="24"/>
              </w:rPr>
            </w:pPr>
          </w:p>
          <w:p>
            <w:pPr>
              <w:widowControl/>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拟任董事、监事、高级管理人员（签名和按指印）</w:t>
            </w:r>
          </w:p>
          <w:p>
            <w:pPr>
              <w:widowControl/>
              <w:ind w:firstLine="480"/>
              <w:jc w:val="left"/>
              <w:rPr>
                <w:rFonts w:ascii="仿宋_GB2312" w:hAnsi="仿宋_GB2312" w:eastAsia="仿宋_GB2312" w:cs="仿宋_GB2312"/>
                <w:kern w:val="0"/>
                <w:sz w:val="24"/>
              </w:rPr>
            </w:pPr>
          </w:p>
          <w:p>
            <w:pPr>
              <w:widowControl/>
              <w:ind w:firstLine="480"/>
              <w:jc w:val="left"/>
              <w:rPr>
                <w:rFonts w:ascii="仿宋_GB2312" w:hAnsi="仿宋_GB2312" w:eastAsia="仿宋_GB2312" w:cs="仿宋_GB2312"/>
                <w:kern w:val="0"/>
                <w:sz w:val="24"/>
              </w:rPr>
            </w:pPr>
          </w:p>
          <w:p>
            <w:pPr>
              <w:widowControl/>
              <w:ind w:firstLine="480"/>
              <w:jc w:val="left"/>
              <w:rPr>
                <w:rFonts w:ascii="仿宋_GB2312" w:hAnsi="仿宋_GB2312" w:eastAsia="仿宋_GB2312" w:cs="仿宋_GB2312"/>
                <w:kern w:val="0"/>
                <w:sz w:val="24"/>
              </w:rPr>
            </w:pPr>
          </w:p>
          <w:p>
            <w:pPr>
              <w:widowControl/>
              <w:ind w:firstLine="480"/>
              <w:jc w:val="left"/>
              <w:rPr>
                <w:rFonts w:ascii="仿宋_GB2312" w:hAnsi="仿宋_GB2312" w:eastAsia="仿宋_GB2312" w:cs="仿宋_GB2312"/>
                <w:kern w:val="0"/>
                <w:sz w:val="24"/>
              </w:rPr>
            </w:pPr>
          </w:p>
          <w:p>
            <w:pPr>
              <w:widowControl/>
              <w:ind w:firstLine="480"/>
              <w:jc w:val="left"/>
              <w:rPr>
                <w:rFonts w:ascii="仿宋_GB2312" w:hAnsi="仿宋_GB2312" w:eastAsia="仿宋_GB2312" w:cs="仿宋_GB2312"/>
                <w:kern w:val="0"/>
                <w:sz w:val="24"/>
              </w:rPr>
            </w:pPr>
          </w:p>
          <w:p>
            <w:pPr>
              <w:widowControl/>
              <w:ind w:firstLine="480"/>
              <w:jc w:val="left"/>
              <w:rPr>
                <w:rFonts w:ascii="仿宋_GB2312" w:hAnsi="仿宋_GB2312" w:eastAsia="仿宋_GB2312" w:cs="仿宋_GB2312"/>
                <w:kern w:val="0"/>
                <w:sz w:val="24"/>
              </w:rPr>
            </w:pPr>
          </w:p>
          <w:p>
            <w:pPr>
              <w:widowControl/>
              <w:ind w:firstLine="480"/>
              <w:jc w:val="left"/>
              <w:rPr>
                <w:rFonts w:ascii="仿宋_GB2312" w:hAnsi="仿宋_GB2312" w:eastAsia="仿宋_GB2312" w:cs="仿宋_GB2312"/>
                <w:kern w:val="0"/>
                <w:sz w:val="24"/>
              </w:rPr>
            </w:pPr>
          </w:p>
          <w:p>
            <w:pPr>
              <w:widowControl/>
              <w:ind w:firstLine="480"/>
              <w:jc w:val="left"/>
              <w:rPr>
                <w:rFonts w:ascii="仿宋_GB2312" w:hAnsi="仿宋_GB2312" w:eastAsia="仿宋_GB2312" w:cs="仿宋_GB2312"/>
                <w:kern w:val="0"/>
                <w:sz w:val="24"/>
              </w:rPr>
            </w:pPr>
          </w:p>
          <w:p>
            <w:pPr>
              <w:widowControl/>
              <w:ind w:firstLine="480"/>
              <w:jc w:val="left"/>
              <w:rPr>
                <w:rFonts w:ascii="仿宋_GB2312" w:hAnsi="仿宋_GB2312" w:eastAsia="仿宋_GB2312" w:cs="仿宋_GB2312"/>
                <w:kern w:val="0"/>
                <w:sz w:val="24"/>
              </w:rPr>
            </w:pPr>
          </w:p>
          <w:p>
            <w:pPr>
              <w:widowControl/>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拟任法定代表人（签名和按指印）：</w:t>
            </w:r>
          </w:p>
          <w:p>
            <w:pPr>
              <w:widowControl/>
              <w:jc w:val="left"/>
              <w:rPr>
                <w:rFonts w:ascii="仿宋_GB2312" w:hAnsi="仿宋_GB2312" w:eastAsia="仿宋_GB2312" w:cs="仿宋_GB2312"/>
                <w:kern w:val="0"/>
                <w:sz w:val="24"/>
              </w:rPr>
            </w:pPr>
          </w:p>
        </w:tc>
      </w:tr>
      <w:tr>
        <w:tblPrEx>
          <w:tblCellMar>
            <w:top w:w="0" w:type="dxa"/>
            <w:left w:w="108" w:type="dxa"/>
            <w:bottom w:w="0" w:type="dxa"/>
            <w:right w:w="108" w:type="dxa"/>
          </w:tblCellMar>
        </w:tblPrEx>
        <w:trPr>
          <w:trHeight w:val="573" w:hRule="atLeast"/>
          <w:jc w:val="center"/>
        </w:trPr>
        <w:tc>
          <w:tcPr>
            <w:tcW w:w="9730" w:type="dxa"/>
            <w:gridSpan w:val="15"/>
            <w:tcBorders>
              <w:top w:val="single" w:color="auto" w:sz="4" w:space="0"/>
              <w:left w:val="single" w:color="auto" w:sz="4" w:space="0"/>
              <w:bottom w:val="single" w:color="auto" w:sz="4" w:space="0"/>
              <w:right w:val="single" w:color="auto" w:sz="4" w:space="0"/>
            </w:tcBorders>
            <w:noWrap/>
            <w:vAlign w:val="center"/>
          </w:tcPr>
          <w:p>
            <w:pPr>
              <w:widowControl/>
              <w:jc w:val="left"/>
              <w:rPr>
                <w:rFonts w:ascii="仿宋_GB2312" w:hAnsi="仿宋_GB2312" w:eastAsia="黑体" w:cs="仿宋_GB2312"/>
                <w:kern w:val="0"/>
                <w:sz w:val="24"/>
              </w:rPr>
            </w:pPr>
            <w:r>
              <w:rPr>
                <w:rFonts w:hint="eastAsia" w:ascii="黑体" w:hAnsi="黑体" w:eastAsia="黑体" w:cs="黑体"/>
                <w:kern w:val="0"/>
                <w:sz w:val="24"/>
              </w:rPr>
              <w:t>六、市、县金融局</w:t>
            </w:r>
          </w:p>
        </w:tc>
      </w:tr>
      <w:tr>
        <w:tblPrEx>
          <w:tblCellMar>
            <w:top w:w="0" w:type="dxa"/>
            <w:left w:w="108" w:type="dxa"/>
            <w:bottom w:w="0" w:type="dxa"/>
            <w:right w:w="108" w:type="dxa"/>
          </w:tblCellMar>
        </w:tblPrEx>
        <w:trPr>
          <w:trHeight w:val="1786" w:hRule="atLeast"/>
          <w:jc w:val="center"/>
        </w:trPr>
        <w:tc>
          <w:tcPr>
            <w:tcW w:w="9730" w:type="dxa"/>
            <w:gridSpan w:val="15"/>
            <w:tcBorders>
              <w:top w:val="single" w:color="auto" w:sz="4" w:space="0"/>
              <w:left w:val="single" w:color="auto" w:sz="4" w:space="0"/>
              <w:bottom w:val="single" w:color="auto" w:sz="4" w:space="0"/>
              <w:right w:val="single" w:color="auto" w:sz="4" w:space="0"/>
            </w:tcBorders>
            <w:noWrap/>
            <w:vAlign w:val="center"/>
          </w:tcPr>
          <w:p>
            <w:pPr>
              <w:widowControl/>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经确认，拟任公司股东和董事、监事、高管具备相关资质，符合任职要求，不存在以下行为：</w:t>
            </w:r>
          </w:p>
          <w:p>
            <w:pPr>
              <w:widowControl/>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1、有重大违法违规、不良信用记录或被列入失信被执行人；</w:t>
            </w:r>
          </w:p>
          <w:p>
            <w:pPr>
              <w:widowControl/>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2、涉及刑事案件诉讼未完结；</w:t>
            </w:r>
          </w:p>
          <w:p>
            <w:pPr>
              <w:widowControl/>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3、被有关部门认定曾参与非法集资或因参与非法集资被处理；</w:t>
            </w:r>
          </w:p>
          <w:p>
            <w:pPr>
              <w:widowControl/>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4、其他不适于担任小额贷款公司股东和董事、监事、高管的。</w:t>
            </w:r>
          </w:p>
          <w:p>
            <w:pPr>
              <w:widowControl/>
              <w:ind w:firstLine="480" w:firstLineChars="200"/>
              <w:jc w:val="left"/>
              <w:rPr>
                <w:rFonts w:ascii="仿宋_GB2312" w:hAnsi="仿宋_GB2312" w:eastAsia="仿宋_GB2312" w:cs="仿宋_GB2312"/>
                <w:kern w:val="0"/>
                <w:sz w:val="24"/>
              </w:rPr>
            </w:pPr>
          </w:p>
          <w:p>
            <w:pPr>
              <w:widowControl/>
              <w:ind w:firstLine="480" w:firstLineChars="200"/>
              <w:jc w:val="left"/>
              <w:rPr>
                <w:rFonts w:ascii="仿宋_GB2312" w:hAnsi="仿宋_GB2312" w:eastAsia="仿宋_GB2312" w:cs="仿宋_GB2312"/>
                <w:kern w:val="0"/>
                <w:sz w:val="24"/>
              </w:rPr>
            </w:pPr>
          </w:p>
          <w:p>
            <w:pPr>
              <w:widowControl/>
              <w:ind w:firstLine="720" w:firstLineChars="300"/>
              <w:jc w:val="left"/>
              <w:rPr>
                <w:rFonts w:ascii="仿宋" w:hAnsi="仿宋" w:eastAsia="仿宋" w:cs="Times New Roman"/>
                <w:kern w:val="0"/>
                <w:sz w:val="24"/>
                <w:szCs w:val="22"/>
              </w:rPr>
            </w:pPr>
            <w:r>
              <w:rPr>
                <w:rFonts w:ascii="仿宋" w:hAnsi="仿宋" w:eastAsia="仿宋" w:cs="Times New Roman"/>
                <w:kern w:val="0"/>
                <w:sz w:val="24"/>
                <w:szCs w:val="22"/>
              </w:rPr>
              <w:t>县（市、区）省辖市、省直管县（市）</w:t>
            </w:r>
          </w:p>
          <w:p>
            <w:pPr>
              <w:widowControl/>
              <w:ind w:firstLine="720" w:firstLineChars="300"/>
              <w:jc w:val="left"/>
              <w:rPr>
                <w:rFonts w:ascii="仿宋" w:hAnsi="仿宋" w:eastAsia="仿宋" w:cs="Times New Roman"/>
                <w:kern w:val="0"/>
                <w:sz w:val="24"/>
                <w:szCs w:val="22"/>
              </w:rPr>
            </w:pPr>
            <w:r>
              <w:rPr>
                <w:rFonts w:hint="eastAsia" w:ascii="仿宋" w:hAnsi="仿宋" w:eastAsia="仿宋" w:cs="Times New Roman"/>
                <w:kern w:val="0"/>
                <w:sz w:val="24"/>
                <w:szCs w:val="22"/>
              </w:rPr>
              <w:t>金融局盖章                                  金融局盖章</w:t>
            </w:r>
          </w:p>
          <w:p>
            <w:pPr>
              <w:widowControl/>
              <w:ind w:firstLine="480" w:firstLineChars="200"/>
              <w:jc w:val="left"/>
              <w:rPr>
                <w:rFonts w:ascii="仿宋" w:hAnsi="仿宋" w:eastAsia="仿宋" w:cs="Times New Roman"/>
                <w:kern w:val="0"/>
                <w:sz w:val="24"/>
                <w:szCs w:val="22"/>
              </w:rPr>
            </w:pPr>
            <w:r>
              <w:rPr>
                <w:rFonts w:hint="eastAsia" w:ascii="仿宋" w:hAnsi="仿宋" w:eastAsia="仿宋" w:cs="Times New Roman"/>
                <w:kern w:val="0"/>
                <w:sz w:val="24"/>
                <w:szCs w:val="22"/>
              </w:rPr>
              <w:t xml:space="preserve">  年   月   日                                      年   月   日</w:t>
            </w:r>
          </w:p>
          <w:p>
            <w:pPr>
              <w:widowControl/>
              <w:ind w:firstLine="480" w:firstLineChars="200"/>
              <w:jc w:val="left"/>
              <w:rPr>
                <w:rFonts w:ascii="仿宋_GB2312" w:hAnsi="仿宋_GB2312" w:eastAsia="仿宋_GB2312" w:cs="仿宋_GB2312"/>
                <w:kern w:val="0"/>
                <w:sz w:val="24"/>
              </w:rPr>
            </w:pPr>
          </w:p>
          <w:p>
            <w:pPr>
              <w:widowControl/>
              <w:ind w:firstLine="480" w:firstLineChars="200"/>
              <w:jc w:val="left"/>
              <w:rPr>
                <w:rFonts w:ascii="仿宋_GB2312" w:hAnsi="仿宋_GB2312" w:eastAsia="仿宋_GB2312" w:cs="仿宋_GB2312"/>
                <w:kern w:val="0"/>
                <w:sz w:val="24"/>
              </w:rPr>
            </w:pPr>
          </w:p>
        </w:tc>
      </w:tr>
      <w:tr>
        <w:tblPrEx>
          <w:tblCellMar>
            <w:top w:w="0" w:type="dxa"/>
            <w:left w:w="108" w:type="dxa"/>
            <w:bottom w:w="0" w:type="dxa"/>
            <w:right w:w="108" w:type="dxa"/>
          </w:tblCellMar>
        </w:tblPrEx>
        <w:trPr>
          <w:trHeight w:val="885" w:hRule="atLeast"/>
          <w:jc w:val="center"/>
        </w:trPr>
        <w:tc>
          <w:tcPr>
            <w:tcW w:w="7779" w:type="dxa"/>
            <w:gridSpan w:val="12"/>
            <w:tcBorders>
              <w:top w:val="single" w:color="auto" w:sz="4" w:space="0"/>
              <w:left w:val="nil"/>
              <w:bottom w:val="nil"/>
              <w:right w:val="nil"/>
            </w:tcBorders>
            <w:noWrap/>
            <w:vAlign w:val="center"/>
          </w:tcPr>
          <w:p>
            <w:pPr>
              <w:widowControl/>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备注：此表在属地金融局监管谈话时当面如实填写。</w:t>
            </w:r>
          </w:p>
          <w:p>
            <w:pPr>
              <w:widowControl/>
              <w:jc w:val="left"/>
              <w:rPr>
                <w:rFonts w:ascii="仿宋_GB2312" w:hAnsi="仿宋_GB2312" w:eastAsia="仿宋_GB2312" w:cs="仿宋_GB2312"/>
                <w:kern w:val="0"/>
                <w:sz w:val="24"/>
              </w:rPr>
            </w:pPr>
          </w:p>
          <w:p>
            <w:pPr>
              <w:widowControl/>
              <w:jc w:val="left"/>
              <w:rPr>
                <w:rFonts w:ascii="仿宋" w:hAnsi="仿宋" w:eastAsia="仿宋" w:cs="宋体"/>
                <w:kern w:val="0"/>
                <w:sz w:val="24"/>
              </w:rPr>
            </w:pPr>
            <w:r>
              <w:rPr>
                <w:rFonts w:hint="eastAsia" w:ascii="仿宋_GB2312" w:hAnsi="仿宋_GB2312" w:eastAsia="仿宋_GB2312" w:cs="仿宋_GB2312"/>
                <w:kern w:val="0"/>
                <w:sz w:val="24"/>
              </w:rPr>
              <w:t>公司公章：                                             填表日期：</w:t>
            </w:r>
          </w:p>
        </w:tc>
        <w:tc>
          <w:tcPr>
            <w:tcW w:w="1951" w:type="dxa"/>
            <w:gridSpan w:val="3"/>
            <w:tcBorders>
              <w:top w:val="single" w:color="auto" w:sz="4" w:space="0"/>
              <w:left w:val="nil"/>
              <w:bottom w:val="nil"/>
              <w:right w:val="nil"/>
            </w:tcBorders>
            <w:noWrap/>
            <w:vAlign w:val="center"/>
          </w:tcPr>
          <w:p>
            <w:pPr>
              <w:widowControl/>
              <w:jc w:val="left"/>
              <w:rPr>
                <w:rFonts w:ascii="仿宋" w:hAnsi="仿宋" w:eastAsia="仿宋" w:cs="宋体"/>
                <w:kern w:val="0"/>
                <w:sz w:val="24"/>
              </w:rPr>
            </w:pPr>
          </w:p>
        </w:tc>
      </w:tr>
    </w:tbl>
    <w:p>
      <w:pPr>
        <w:widowControl/>
        <w:rPr>
          <w:rFonts w:ascii="黑体" w:hAnsi="黑体" w:eastAsia="黑体" w:cs="黑体"/>
          <w:sz w:val="28"/>
          <w:szCs w:val="28"/>
        </w:rPr>
      </w:pPr>
    </w:p>
    <w:p>
      <w:pPr>
        <w:widowControl/>
        <w:rPr>
          <w:rFonts w:ascii="仿宋" w:hAnsi="仿宋" w:eastAsia="仿宋" w:cs="Times New Roman"/>
          <w:sz w:val="32"/>
          <w:szCs w:val="32"/>
        </w:rPr>
      </w:pPr>
      <w:r>
        <w:rPr>
          <w:rFonts w:hint="eastAsia" w:ascii="黑体" w:hAnsi="黑体" w:eastAsia="黑体" w:cs="黑体"/>
          <w:sz w:val="28"/>
          <w:szCs w:val="28"/>
        </w:rPr>
        <w:t>附件2</w:t>
      </w:r>
    </w:p>
    <w:p>
      <w:pPr>
        <w:widowControl/>
        <w:jc w:val="center"/>
        <w:rPr>
          <w:rFonts w:ascii="文星标宋" w:hAnsi="文星标宋" w:eastAsia="文星标宋" w:cs="文星标宋"/>
          <w:sz w:val="44"/>
          <w:szCs w:val="44"/>
        </w:rPr>
      </w:pPr>
      <w:r>
        <w:rPr>
          <w:rFonts w:hint="eastAsia" w:ascii="文星标宋" w:hAnsi="文星标宋" w:eastAsia="文星标宋" w:cs="文星标宋"/>
          <w:sz w:val="44"/>
          <w:szCs w:val="44"/>
        </w:rPr>
        <w:t>董事、监事、高级管理人员任职资格审核表</w:t>
      </w:r>
    </w:p>
    <w:tbl>
      <w:tblPr>
        <w:tblStyle w:val="15"/>
        <w:tblW w:w="0" w:type="auto"/>
        <w:tblInd w:w="-159" w:type="dxa"/>
        <w:tblBorders>
          <w:top w:val="single" w:color="auto" w:sz="4" w:space="0"/>
          <w:left w:val="single" w:color="auto" w:sz="4" w:space="0"/>
          <w:bottom w:val="none" w:color="auto" w:sz="0"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09"/>
        <w:gridCol w:w="615"/>
        <w:gridCol w:w="630"/>
        <w:gridCol w:w="342"/>
        <w:gridCol w:w="78"/>
        <w:gridCol w:w="702"/>
        <w:gridCol w:w="950"/>
        <w:gridCol w:w="537"/>
        <w:gridCol w:w="800"/>
        <w:gridCol w:w="566"/>
        <w:gridCol w:w="145"/>
        <w:gridCol w:w="49"/>
        <w:gridCol w:w="1134"/>
        <w:gridCol w:w="340"/>
        <w:gridCol w:w="1528"/>
      </w:tblGrid>
      <w:tr>
        <w:tblPrEx>
          <w:tblBorders>
            <w:top w:val="single" w:color="auto" w:sz="4" w:space="0"/>
            <w:left w:val="single" w:color="auto" w:sz="4" w:space="0"/>
            <w:bottom w:val="none" w:color="auto" w:sz="0"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1424" w:type="dxa"/>
            <w:gridSpan w:val="2"/>
            <w:noWrap/>
            <w:vAlign w:val="center"/>
          </w:tcPr>
          <w:p>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szCs w:val="21"/>
              </w:rPr>
              <w:t>姓    名</w:t>
            </w:r>
          </w:p>
        </w:tc>
        <w:tc>
          <w:tcPr>
            <w:tcW w:w="1752" w:type="dxa"/>
            <w:gridSpan w:val="4"/>
            <w:noWrap/>
            <w:vAlign w:val="center"/>
          </w:tcPr>
          <w:p>
            <w:pPr>
              <w:spacing w:line="400" w:lineRule="exact"/>
              <w:jc w:val="center"/>
              <w:rPr>
                <w:rFonts w:ascii="仿宋_GB2312" w:hAnsi="仿宋_GB2312" w:eastAsia="仿宋_GB2312" w:cs="仿宋_GB2312"/>
                <w:szCs w:val="21"/>
              </w:rPr>
            </w:pPr>
          </w:p>
        </w:tc>
        <w:tc>
          <w:tcPr>
            <w:tcW w:w="1487" w:type="dxa"/>
            <w:gridSpan w:val="2"/>
            <w:noWrap/>
            <w:vAlign w:val="center"/>
          </w:tcPr>
          <w:p>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szCs w:val="21"/>
              </w:rPr>
              <w:t>性   别</w:t>
            </w:r>
          </w:p>
        </w:tc>
        <w:tc>
          <w:tcPr>
            <w:tcW w:w="800" w:type="dxa"/>
            <w:noWrap/>
            <w:vAlign w:val="center"/>
          </w:tcPr>
          <w:p>
            <w:pPr>
              <w:spacing w:line="400" w:lineRule="exact"/>
              <w:jc w:val="center"/>
              <w:rPr>
                <w:rFonts w:ascii="仿宋_GB2312" w:hAnsi="仿宋_GB2312" w:eastAsia="仿宋_GB2312" w:cs="仿宋_GB2312"/>
                <w:szCs w:val="21"/>
              </w:rPr>
            </w:pPr>
          </w:p>
        </w:tc>
        <w:tc>
          <w:tcPr>
            <w:tcW w:w="760" w:type="dxa"/>
            <w:gridSpan w:val="3"/>
            <w:noWrap/>
            <w:vAlign w:val="center"/>
          </w:tcPr>
          <w:p>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szCs w:val="21"/>
              </w:rPr>
              <w:t>民 族</w:t>
            </w:r>
          </w:p>
        </w:tc>
        <w:tc>
          <w:tcPr>
            <w:tcW w:w="1134" w:type="dxa"/>
            <w:noWrap/>
            <w:vAlign w:val="center"/>
          </w:tcPr>
          <w:p>
            <w:pPr>
              <w:spacing w:line="400" w:lineRule="exact"/>
              <w:jc w:val="center"/>
              <w:rPr>
                <w:rFonts w:ascii="仿宋_GB2312" w:hAnsi="仿宋_GB2312" w:eastAsia="仿宋_GB2312" w:cs="仿宋_GB2312"/>
                <w:szCs w:val="21"/>
              </w:rPr>
            </w:pPr>
          </w:p>
        </w:tc>
        <w:tc>
          <w:tcPr>
            <w:tcW w:w="1868" w:type="dxa"/>
            <w:gridSpan w:val="2"/>
            <w:vMerge w:val="restart"/>
            <w:noWrap/>
          </w:tcPr>
          <w:p>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szCs w:val="21"/>
              </w:rPr>
              <w:t>贴</w:t>
            </w:r>
          </w:p>
          <w:p>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szCs w:val="21"/>
              </w:rPr>
              <w:t>照</w:t>
            </w:r>
          </w:p>
          <w:p>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szCs w:val="21"/>
              </w:rPr>
              <w:t>片</w:t>
            </w:r>
          </w:p>
          <w:p>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szCs w:val="21"/>
              </w:rPr>
              <w:t>处</w:t>
            </w:r>
          </w:p>
        </w:tc>
      </w:tr>
      <w:tr>
        <w:tblPrEx>
          <w:tblBorders>
            <w:top w:val="single" w:color="auto" w:sz="4" w:space="0"/>
            <w:left w:val="single" w:color="auto" w:sz="4" w:space="0"/>
            <w:bottom w:val="none" w:color="auto" w:sz="0"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08" w:hRule="exact"/>
        </w:trPr>
        <w:tc>
          <w:tcPr>
            <w:tcW w:w="1424" w:type="dxa"/>
            <w:gridSpan w:val="2"/>
            <w:noWrap/>
            <w:vAlign w:val="center"/>
          </w:tcPr>
          <w:p>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szCs w:val="21"/>
              </w:rPr>
              <w:t>出生年月</w:t>
            </w:r>
          </w:p>
        </w:tc>
        <w:tc>
          <w:tcPr>
            <w:tcW w:w="1752" w:type="dxa"/>
            <w:gridSpan w:val="4"/>
            <w:noWrap/>
            <w:vAlign w:val="center"/>
          </w:tcPr>
          <w:p>
            <w:pPr>
              <w:spacing w:line="400" w:lineRule="exact"/>
              <w:jc w:val="center"/>
              <w:rPr>
                <w:rFonts w:ascii="仿宋_GB2312" w:hAnsi="仿宋_GB2312" w:eastAsia="仿宋_GB2312" w:cs="仿宋_GB2312"/>
                <w:szCs w:val="21"/>
              </w:rPr>
            </w:pPr>
          </w:p>
        </w:tc>
        <w:tc>
          <w:tcPr>
            <w:tcW w:w="1487" w:type="dxa"/>
            <w:gridSpan w:val="2"/>
            <w:noWrap/>
            <w:vAlign w:val="center"/>
          </w:tcPr>
          <w:p>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szCs w:val="21"/>
              </w:rPr>
              <w:t>政治面貌</w:t>
            </w:r>
          </w:p>
        </w:tc>
        <w:tc>
          <w:tcPr>
            <w:tcW w:w="800" w:type="dxa"/>
            <w:noWrap/>
            <w:vAlign w:val="center"/>
          </w:tcPr>
          <w:p>
            <w:pPr>
              <w:spacing w:line="400" w:lineRule="exact"/>
              <w:jc w:val="center"/>
              <w:rPr>
                <w:rFonts w:ascii="仿宋_GB2312" w:hAnsi="仿宋_GB2312" w:eastAsia="仿宋_GB2312" w:cs="仿宋_GB2312"/>
                <w:szCs w:val="21"/>
              </w:rPr>
            </w:pPr>
          </w:p>
        </w:tc>
        <w:tc>
          <w:tcPr>
            <w:tcW w:w="760" w:type="dxa"/>
            <w:gridSpan w:val="3"/>
            <w:noWrap/>
            <w:vAlign w:val="center"/>
          </w:tcPr>
          <w:p>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szCs w:val="21"/>
              </w:rPr>
              <w:t>国 籍</w:t>
            </w:r>
          </w:p>
        </w:tc>
        <w:tc>
          <w:tcPr>
            <w:tcW w:w="1134" w:type="dxa"/>
            <w:noWrap/>
            <w:vAlign w:val="center"/>
          </w:tcPr>
          <w:p>
            <w:pPr>
              <w:spacing w:line="400" w:lineRule="exact"/>
              <w:jc w:val="center"/>
              <w:rPr>
                <w:rFonts w:ascii="仿宋_GB2312" w:hAnsi="仿宋_GB2312" w:eastAsia="仿宋_GB2312" w:cs="仿宋_GB2312"/>
                <w:szCs w:val="21"/>
              </w:rPr>
            </w:pPr>
          </w:p>
        </w:tc>
        <w:tc>
          <w:tcPr>
            <w:tcW w:w="1868" w:type="dxa"/>
            <w:gridSpan w:val="2"/>
            <w:vMerge w:val="continue"/>
            <w:noWrap/>
          </w:tcPr>
          <w:p>
            <w:pPr>
              <w:spacing w:line="400" w:lineRule="exact"/>
              <w:rPr>
                <w:rFonts w:ascii="仿宋_GB2312" w:hAnsi="仿宋_GB2312" w:eastAsia="仿宋_GB2312" w:cs="仿宋_GB2312"/>
                <w:szCs w:val="21"/>
              </w:rPr>
            </w:pPr>
          </w:p>
        </w:tc>
      </w:tr>
      <w:tr>
        <w:tblPrEx>
          <w:tblBorders>
            <w:top w:val="single" w:color="auto" w:sz="4" w:space="0"/>
            <w:left w:val="single" w:color="auto" w:sz="4" w:space="0"/>
            <w:bottom w:val="none" w:color="auto" w:sz="0"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1424" w:type="dxa"/>
            <w:gridSpan w:val="2"/>
            <w:noWrap/>
            <w:vAlign w:val="center"/>
          </w:tcPr>
          <w:p>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szCs w:val="21"/>
              </w:rPr>
              <w:t>护照号码</w:t>
            </w:r>
          </w:p>
        </w:tc>
        <w:tc>
          <w:tcPr>
            <w:tcW w:w="1752" w:type="dxa"/>
            <w:gridSpan w:val="4"/>
            <w:noWrap/>
            <w:vAlign w:val="center"/>
          </w:tcPr>
          <w:p>
            <w:pPr>
              <w:spacing w:line="400" w:lineRule="exact"/>
              <w:jc w:val="center"/>
              <w:rPr>
                <w:rFonts w:ascii="仿宋_GB2312" w:hAnsi="仿宋_GB2312" w:eastAsia="仿宋_GB2312" w:cs="仿宋_GB2312"/>
                <w:szCs w:val="21"/>
              </w:rPr>
            </w:pPr>
          </w:p>
        </w:tc>
        <w:tc>
          <w:tcPr>
            <w:tcW w:w="1487" w:type="dxa"/>
            <w:gridSpan w:val="2"/>
            <w:noWrap/>
            <w:vAlign w:val="center"/>
          </w:tcPr>
          <w:p>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szCs w:val="21"/>
              </w:rPr>
              <w:t>身份证号</w:t>
            </w:r>
          </w:p>
        </w:tc>
        <w:tc>
          <w:tcPr>
            <w:tcW w:w="2694" w:type="dxa"/>
            <w:gridSpan w:val="5"/>
            <w:noWrap/>
            <w:vAlign w:val="center"/>
          </w:tcPr>
          <w:p>
            <w:pPr>
              <w:spacing w:line="400" w:lineRule="exact"/>
              <w:jc w:val="center"/>
              <w:rPr>
                <w:rFonts w:ascii="仿宋_GB2312" w:hAnsi="仿宋_GB2312" w:eastAsia="仿宋_GB2312" w:cs="仿宋_GB2312"/>
                <w:szCs w:val="21"/>
              </w:rPr>
            </w:pPr>
          </w:p>
        </w:tc>
        <w:tc>
          <w:tcPr>
            <w:tcW w:w="1868" w:type="dxa"/>
            <w:gridSpan w:val="2"/>
            <w:vMerge w:val="continue"/>
            <w:noWrap/>
            <w:vAlign w:val="center"/>
          </w:tcPr>
          <w:p>
            <w:pPr>
              <w:spacing w:line="400" w:lineRule="exact"/>
              <w:rPr>
                <w:rFonts w:ascii="仿宋_GB2312" w:hAnsi="仿宋_GB2312" w:eastAsia="仿宋_GB2312" w:cs="仿宋_GB2312"/>
                <w:szCs w:val="21"/>
              </w:rPr>
            </w:pPr>
          </w:p>
        </w:tc>
      </w:tr>
      <w:tr>
        <w:tblPrEx>
          <w:tblBorders>
            <w:top w:val="single" w:color="auto" w:sz="4" w:space="0"/>
            <w:left w:val="single" w:color="auto" w:sz="4" w:space="0"/>
            <w:bottom w:val="none" w:color="auto" w:sz="0"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1" w:hRule="atLeast"/>
        </w:trPr>
        <w:tc>
          <w:tcPr>
            <w:tcW w:w="1424" w:type="dxa"/>
            <w:gridSpan w:val="2"/>
            <w:noWrap/>
            <w:vAlign w:val="center"/>
          </w:tcPr>
          <w:p>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szCs w:val="21"/>
              </w:rPr>
              <w:t>学   历</w:t>
            </w:r>
          </w:p>
        </w:tc>
        <w:tc>
          <w:tcPr>
            <w:tcW w:w="1752" w:type="dxa"/>
            <w:gridSpan w:val="4"/>
            <w:noWrap/>
            <w:vAlign w:val="center"/>
          </w:tcPr>
          <w:p>
            <w:pPr>
              <w:spacing w:line="400" w:lineRule="exact"/>
              <w:jc w:val="center"/>
              <w:rPr>
                <w:rFonts w:ascii="仿宋_GB2312" w:hAnsi="仿宋_GB2312" w:eastAsia="仿宋_GB2312" w:cs="仿宋_GB2312"/>
                <w:szCs w:val="21"/>
              </w:rPr>
            </w:pPr>
          </w:p>
        </w:tc>
        <w:tc>
          <w:tcPr>
            <w:tcW w:w="1487" w:type="dxa"/>
            <w:gridSpan w:val="2"/>
            <w:noWrap/>
            <w:vAlign w:val="center"/>
          </w:tcPr>
          <w:p>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专   业</w:t>
            </w:r>
          </w:p>
        </w:tc>
        <w:tc>
          <w:tcPr>
            <w:tcW w:w="2694" w:type="dxa"/>
            <w:gridSpan w:val="5"/>
            <w:noWrap/>
            <w:vAlign w:val="center"/>
          </w:tcPr>
          <w:p>
            <w:pPr>
              <w:spacing w:line="400" w:lineRule="exact"/>
              <w:jc w:val="center"/>
              <w:rPr>
                <w:rFonts w:ascii="仿宋_GB2312" w:hAnsi="仿宋_GB2312" w:eastAsia="仿宋_GB2312" w:cs="仿宋_GB2312"/>
                <w:szCs w:val="21"/>
              </w:rPr>
            </w:pPr>
          </w:p>
        </w:tc>
        <w:tc>
          <w:tcPr>
            <w:tcW w:w="1868" w:type="dxa"/>
            <w:gridSpan w:val="2"/>
            <w:vMerge w:val="continue"/>
            <w:noWrap/>
            <w:vAlign w:val="center"/>
          </w:tcPr>
          <w:p>
            <w:pPr>
              <w:spacing w:line="400" w:lineRule="exact"/>
              <w:rPr>
                <w:rFonts w:ascii="仿宋_GB2312" w:hAnsi="仿宋_GB2312" w:eastAsia="仿宋_GB2312" w:cs="仿宋_GB2312"/>
                <w:szCs w:val="21"/>
              </w:rPr>
            </w:pPr>
          </w:p>
        </w:tc>
      </w:tr>
      <w:tr>
        <w:tblPrEx>
          <w:tblBorders>
            <w:top w:val="single" w:color="auto" w:sz="4" w:space="0"/>
            <w:left w:val="single" w:color="auto" w:sz="4" w:space="0"/>
            <w:bottom w:val="none" w:color="auto" w:sz="0"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58" w:hRule="atLeast"/>
        </w:trPr>
        <w:tc>
          <w:tcPr>
            <w:tcW w:w="1424" w:type="dxa"/>
            <w:gridSpan w:val="2"/>
            <w:noWrap/>
            <w:vAlign w:val="center"/>
          </w:tcPr>
          <w:p>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szCs w:val="21"/>
              </w:rPr>
              <w:t>学   位</w:t>
            </w:r>
          </w:p>
        </w:tc>
        <w:tc>
          <w:tcPr>
            <w:tcW w:w="1752" w:type="dxa"/>
            <w:gridSpan w:val="4"/>
            <w:noWrap/>
            <w:vAlign w:val="center"/>
          </w:tcPr>
          <w:p>
            <w:pPr>
              <w:spacing w:line="400" w:lineRule="exact"/>
              <w:jc w:val="center"/>
              <w:rPr>
                <w:rFonts w:ascii="仿宋_GB2312" w:hAnsi="仿宋_GB2312" w:eastAsia="仿宋_GB2312" w:cs="仿宋_GB2312"/>
                <w:szCs w:val="21"/>
              </w:rPr>
            </w:pPr>
          </w:p>
        </w:tc>
        <w:tc>
          <w:tcPr>
            <w:tcW w:w="1487" w:type="dxa"/>
            <w:gridSpan w:val="2"/>
            <w:noWrap/>
            <w:vAlign w:val="center"/>
          </w:tcPr>
          <w:p>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szCs w:val="21"/>
              </w:rPr>
              <w:t>毕业院校</w:t>
            </w:r>
          </w:p>
        </w:tc>
        <w:tc>
          <w:tcPr>
            <w:tcW w:w="4562" w:type="dxa"/>
            <w:gridSpan w:val="7"/>
            <w:noWrap/>
            <w:vAlign w:val="center"/>
          </w:tcPr>
          <w:p>
            <w:pPr>
              <w:spacing w:line="400" w:lineRule="exact"/>
              <w:jc w:val="center"/>
              <w:rPr>
                <w:rFonts w:ascii="仿宋_GB2312" w:hAnsi="仿宋_GB2312" w:eastAsia="仿宋_GB2312" w:cs="仿宋_GB2312"/>
                <w:szCs w:val="21"/>
              </w:rPr>
            </w:pPr>
          </w:p>
        </w:tc>
      </w:tr>
      <w:tr>
        <w:tblPrEx>
          <w:tblBorders>
            <w:top w:val="single" w:color="auto" w:sz="4" w:space="0"/>
            <w:left w:val="single" w:color="auto" w:sz="4" w:space="0"/>
            <w:bottom w:val="none" w:color="auto" w:sz="0"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51" w:hRule="atLeast"/>
        </w:trPr>
        <w:tc>
          <w:tcPr>
            <w:tcW w:w="1424" w:type="dxa"/>
            <w:gridSpan w:val="2"/>
            <w:noWrap/>
            <w:vAlign w:val="center"/>
          </w:tcPr>
          <w:p>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szCs w:val="21"/>
              </w:rPr>
              <w:t>毕业时间</w:t>
            </w:r>
          </w:p>
        </w:tc>
        <w:tc>
          <w:tcPr>
            <w:tcW w:w="1752" w:type="dxa"/>
            <w:gridSpan w:val="4"/>
            <w:noWrap/>
            <w:vAlign w:val="center"/>
          </w:tcPr>
          <w:p>
            <w:pPr>
              <w:spacing w:line="400" w:lineRule="exact"/>
              <w:jc w:val="center"/>
              <w:rPr>
                <w:rFonts w:ascii="仿宋_GB2312" w:hAnsi="仿宋_GB2312" w:eastAsia="仿宋_GB2312" w:cs="仿宋_GB2312"/>
                <w:szCs w:val="21"/>
              </w:rPr>
            </w:pPr>
          </w:p>
        </w:tc>
        <w:tc>
          <w:tcPr>
            <w:tcW w:w="1487" w:type="dxa"/>
            <w:gridSpan w:val="2"/>
            <w:noWrap/>
            <w:vAlign w:val="center"/>
          </w:tcPr>
          <w:p>
            <w:pPr>
              <w:spacing w:line="400" w:lineRule="exact"/>
              <w:jc w:val="left"/>
              <w:rPr>
                <w:rFonts w:ascii="仿宋_GB2312" w:hAnsi="仿宋_GB2312" w:eastAsia="仿宋_GB2312" w:cs="仿宋_GB2312"/>
                <w:szCs w:val="21"/>
              </w:rPr>
            </w:pPr>
            <w:r>
              <w:rPr>
                <w:rFonts w:hint="eastAsia" w:ascii="仿宋_GB2312" w:hAnsi="仿宋_GB2312" w:eastAsia="仿宋_GB2312" w:cs="仿宋_GB2312"/>
                <w:szCs w:val="21"/>
              </w:rPr>
              <w:t>参加工作时间</w:t>
            </w:r>
          </w:p>
        </w:tc>
        <w:tc>
          <w:tcPr>
            <w:tcW w:w="4562" w:type="dxa"/>
            <w:gridSpan w:val="7"/>
            <w:noWrap/>
            <w:vAlign w:val="center"/>
          </w:tcPr>
          <w:p>
            <w:pPr>
              <w:spacing w:line="400" w:lineRule="exact"/>
              <w:jc w:val="center"/>
              <w:rPr>
                <w:rFonts w:ascii="仿宋_GB2312" w:hAnsi="仿宋_GB2312" w:eastAsia="仿宋_GB2312" w:cs="仿宋_GB2312"/>
                <w:szCs w:val="21"/>
              </w:rPr>
            </w:pPr>
          </w:p>
        </w:tc>
      </w:tr>
      <w:tr>
        <w:tblPrEx>
          <w:tblBorders>
            <w:top w:val="single" w:color="auto" w:sz="4" w:space="0"/>
            <w:left w:val="single" w:color="auto" w:sz="4" w:space="0"/>
            <w:bottom w:val="none" w:color="auto" w:sz="0"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2" w:hRule="atLeast"/>
        </w:trPr>
        <w:tc>
          <w:tcPr>
            <w:tcW w:w="1424" w:type="dxa"/>
            <w:gridSpan w:val="2"/>
            <w:noWrap/>
            <w:vAlign w:val="center"/>
          </w:tcPr>
          <w:p>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szCs w:val="21"/>
              </w:rPr>
              <w:t>技术职称</w:t>
            </w:r>
          </w:p>
        </w:tc>
        <w:tc>
          <w:tcPr>
            <w:tcW w:w="1752" w:type="dxa"/>
            <w:gridSpan w:val="4"/>
            <w:noWrap/>
            <w:vAlign w:val="center"/>
          </w:tcPr>
          <w:p>
            <w:pPr>
              <w:spacing w:line="400" w:lineRule="exact"/>
              <w:jc w:val="center"/>
              <w:rPr>
                <w:rFonts w:ascii="仿宋_GB2312" w:hAnsi="仿宋_GB2312" w:eastAsia="仿宋_GB2312" w:cs="仿宋_GB2312"/>
                <w:szCs w:val="21"/>
              </w:rPr>
            </w:pPr>
          </w:p>
        </w:tc>
        <w:tc>
          <w:tcPr>
            <w:tcW w:w="1487" w:type="dxa"/>
            <w:gridSpan w:val="2"/>
            <w:noWrap/>
            <w:vAlign w:val="center"/>
          </w:tcPr>
          <w:p>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szCs w:val="21"/>
              </w:rPr>
              <w:t>授予部门</w:t>
            </w:r>
          </w:p>
        </w:tc>
        <w:tc>
          <w:tcPr>
            <w:tcW w:w="4562" w:type="dxa"/>
            <w:gridSpan w:val="7"/>
            <w:noWrap/>
            <w:vAlign w:val="center"/>
          </w:tcPr>
          <w:p>
            <w:pPr>
              <w:spacing w:line="400" w:lineRule="exact"/>
              <w:jc w:val="center"/>
              <w:rPr>
                <w:rFonts w:ascii="仿宋_GB2312" w:hAnsi="仿宋_GB2312" w:eastAsia="仿宋_GB2312" w:cs="仿宋_GB2312"/>
                <w:szCs w:val="21"/>
              </w:rPr>
            </w:pPr>
          </w:p>
        </w:tc>
      </w:tr>
      <w:tr>
        <w:tblPrEx>
          <w:tblBorders>
            <w:top w:val="single" w:color="auto" w:sz="4" w:space="0"/>
            <w:left w:val="single" w:color="auto" w:sz="4" w:space="0"/>
            <w:bottom w:val="none" w:color="auto" w:sz="0"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1424" w:type="dxa"/>
            <w:gridSpan w:val="2"/>
            <w:noWrap/>
            <w:vAlign w:val="center"/>
          </w:tcPr>
          <w:p>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szCs w:val="21"/>
              </w:rPr>
              <w:t>家庭地址</w:t>
            </w:r>
          </w:p>
        </w:tc>
        <w:tc>
          <w:tcPr>
            <w:tcW w:w="7801" w:type="dxa"/>
            <w:gridSpan w:val="13"/>
            <w:noWrap/>
            <w:vAlign w:val="center"/>
          </w:tcPr>
          <w:p>
            <w:pPr>
              <w:spacing w:line="400" w:lineRule="exact"/>
              <w:ind w:left="357"/>
              <w:jc w:val="center"/>
              <w:rPr>
                <w:rFonts w:ascii="仿宋_GB2312" w:hAnsi="仿宋_GB2312" w:eastAsia="仿宋_GB2312" w:cs="仿宋_GB2312"/>
                <w:szCs w:val="21"/>
              </w:rPr>
            </w:pPr>
          </w:p>
        </w:tc>
      </w:tr>
      <w:tr>
        <w:tblPrEx>
          <w:tblBorders>
            <w:top w:val="single" w:color="auto" w:sz="4" w:space="0"/>
            <w:left w:val="single" w:color="auto" w:sz="4" w:space="0"/>
            <w:bottom w:val="none" w:color="auto" w:sz="0"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8" w:hRule="atLeast"/>
        </w:trPr>
        <w:tc>
          <w:tcPr>
            <w:tcW w:w="2396" w:type="dxa"/>
            <w:gridSpan w:val="4"/>
            <w:noWrap/>
            <w:vAlign w:val="center"/>
          </w:tcPr>
          <w:p>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szCs w:val="21"/>
              </w:rPr>
              <w:t>小贷/金融工作年限</w:t>
            </w:r>
          </w:p>
        </w:tc>
        <w:tc>
          <w:tcPr>
            <w:tcW w:w="1730" w:type="dxa"/>
            <w:gridSpan w:val="3"/>
            <w:noWrap/>
            <w:vAlign w:val="center"/>
          </w:tcPr>
          <w:p>
            <w:pPr>
              <w:spacing w:line="400" w:lineRule="exact"/>
              <w:jc w:val="center"/>
              <w:rPr>
                <w:rFonts w:ascii="仿宋_GB2312" w:hAnsi="仿宋_GB2312" w:eastAsia="仿宋_GB2312" w:cs="仿宋_GB2312"/>
                <w:szCs w:val="21"/>
              </w:rPr>
            </w:pPr>
          </w:p>
        </w:tc>
        <w:tc>
          <w:tcPr>
            <w:tcW w:w="2048" w:type="dxa"/>
            <w:gridSpan w:val="4"/>
            <w:noWrap/>
            <w:vAlign w:val="center"/>
          </w:tcPr>
          <w:p>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szCs w:val="21"/>
              </w:rPr>
              <w:t>相关经济工作年限</w:t>
            </w:r>
          </w:p>
        </w:tc>
        <w:tc>
          <w:tcPr>
            <w:tcW w:w="3051" w:type="dxa"/>
            <w:gridSpan w:val="4"/>
            <w:noWrap/>
            <w:vAlign w:val="center"/>
          </w:tcPr>
          <w:p>
            <w:pPr>
              <w:spacing w:line="400" w:lineRule="exact"/>
              <w:jc w:val="center"/>
              <w:rPr>
                <w:rFonts w:ascii="仿宋_GB2312" w:hAnsi="仿宋_GB2312" w:eastAsia="仿宋_GB2312" w:cs="仿宋_GB2312"/>
                <w:szCs w:val="21"/>
              </w:rPr>
            </w:pPr>
          </w:p>
        </w:tc>
      </w:tr>
      <w:tr>
        <w:tblPrEx>
          <w:tblBorders>
            <w:top w:val="single" w:color="auto" w:sz="4" w:space="0"/>
            <w:left w:val="single" w:color="auto" w:sz="4" w:space="0"/>
            <w:bottom w:val="none" w:color="auto" w:sz="0"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8" w:hRule="atLeast"/>
        </w:trPr>
        <w:tc>
          <w:tcPr>
            <w:tcW w:w="1424" w:type="dxa"/>
            <w:gridSpan w:val="2"/>
            <w:noWrap/>
            <w:vAlign w:val="center"/>
          </w:tcPr>
          <w:p>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szCs w:val="21"/>
              </w:rPr>
              <w:t>拟任职务</w:t>
            </w:r>
          </w:p>
        </w:tc>
        <w:tc>
          <w:tcPr>
            <w:tcW w:w="2702" w:type="dxa"/>
            <w:gridSpan w:val="5"/>
            <w:noWrap/>
            <w:vAlign w:val="center"/>
          </w:tcPr>
          <w:p>
            <w:pPr>
              <w:spacing w:line="400" w:lineRule="exact"/>
              <w:jc w:val="center"/>
              <w:rPr>
                <w:rFonts w:ascii="仿宋_GB2312" w:hAnsi="仿宋_GB2312" w:eastAsia="仿宋_GB2312" w:cs="仿宋_GB2312"/>
                <w:szCs w:val="21"/>
              </w:rPr>
            </w:pPr>
          </w:p>
        </w:tc>
        <w:tc>
          <w:tcPr>
            <w:tcW w:w="2048" w:type="dxa"/>
            <w:gridSpan w:val="4"/>
            <w:noWrap/>
            <w:vAlign w:val="center"/>
          </w:tcPr>
          <w:p>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szCs w:val="21"/>
              </w:rPr>
              <w:t>原任职务</w:t>
            </w:r>
          </w:p>
        </w:tc>
        <w:tc>
          <w:tcPr>
            <w:tcW w:w="3051" w:type="dxa"/>
            <w:gridSpan w:val="4"/>
            <w:noWrap/>
            <w:vAlign w:val="center"/>
          </w:tcPr>
          <w:p>
            <w:pPr>
              <w:spacing w:line="400" w:lineRule="exact"/>
              <w:jc w:val="center"/>
              <w:rPr>
                <w:rFonts w:ascii="仿宋_GB2312" w:hAnsi="仿宋_GB2312" w:eastAsia="仿宋_GB2312" w:cs="仿宋_GB2312"/>
                <w:szCs w:val="21"/>
              </w:rPr>
            </w:pPr>
          </w:p>
        </w:tc>
      </w:tr>
      <w:tr>
        <w:tblPrEx>
          <w:tblBorders>
            <w:top w:val="single" w:color="auto" w:sz="4" w:space="0"/>
            <w:left w:val="single" w:color="auto" w:sz="4" w:space="0"/>
            <w:bottom w:val="none" w:color="auto" w:sz="0"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6" w:hRule="atLeast"/>
        </w:trPr>
        <w:tc>
          <w:tcPr>
            <w:tcW w:w="809" w:type="dxa"/>
            <w:vMerge w:val="restart"/>
            <w:noWrap/>
            <w:vAlign w:val="center"/>
          </w:tcPr>
          <w:p>
            <w:pPr>
              <w:spacing w:line="360" w:lineRule="auto"/>
              <w:jc w:val="center"/>
              <w:rPr>
                <w:rFonts w:ascii="仿宋_GB2312" w:hAnsi="仿宋_GB2312" w:eastAsia="仿宋_GB2312" w:cs="仿宋_GB2312"/>
                <w:szCs w:val="21"/>
              </w:rPr>
            </w:pPr>
            <w:r>
              <w:rPr>
                <w:rFonts w:hint="eastAsia" w:ascii="仿宋_GB2312" w:hAnsi="仿宋_GB2312" w:eastAsia="仿宋_GB2312" w:cs="仿宋_GB2312"/>
                <w:kern w:val="0"/>
                <w:szCs w:val="21"/>
              </w:rPr>
              <w:t>学习经历</w:t>
            </w:r>
          </w:p>
        </w:tc>
        <w:tc>
          <w:tcPr>
            <w:tcW w:w="1245" w:type="dxa"/>
            <w:gridSpan w:val="2"/>
            <w:noWrap/>
            <w:vAlign w:val="center"/>
          </w:tcPr>
          <w:p>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szCs w:val="21"/>
              </w:rPr>
              <w:t>起止年月</w:t>
            </w:r>
          </w:p>
        </w:tc>
        <w:tc>
          <w:tcPr>
            <w:tcW w:w="2609" w:type="dxa"/>
            <w:gridSpan w:val="5"/>
            <w:noWrap/>
            <w:vAlign w:val="center"/>
          </w:tcPr>
          <w:p>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szCs w:val="21"/>
              </w:rPr>
              <w:t>院     校</w:t>
            </w:r>
          </w:p>
        </w:tc>
        <w:tc>
          <w:tcPr>
            <w:tcW w:w="1366" w:type="dxa"/>
            <w:gridSpan w:val="2"/>
            <w:noWrap/>
            <w:vAlign w:val="center"/>
          </w:tcPr>
          <w:p>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专   业</w:t>
            </w:r>
          </w:p>
        </w:tc>
        <w:tc>
          <w:tcPr>
            <w:tcW w:w="1668" w:type="dxa"/>
            <w:gridSpan w:val="4"/>
            <w:noWrap/>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毕（结、肄）业</w:t>
            </w:r>
          </w:p>
        </w:tc>
        <w:tc>
          <w:tcPr>
            <w:tcW w:w="1528" w:type="dxa"/>
            <w:noWrap/>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脱产/在职</w:t>
            </w:r>
          </w:p>
        </w:tc>
      </w:tr>
      <w:tr>
        <w:tblPrEx>
          <w:tblBorders>
            <w:top w:val="single" w:color="auto" w:sz="4" w:space="0"/>
            <w:left w:val="single" w:color="auto" w:sz="4" w:space="0"/>
            <w:bottom w:val="none" w:color="auto" w:sz="0"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10" w:hRule="atLeast"/>
        </w:trPr>
        <w:tc>
          <w:tcPr>
            <w:tcW w:w="809" w:type="dxa"/>
            <w:vMerge w:val="continue"/>
            <w:noWrap/>
            <w:vAlign w:val="center"/>
          </w:tcPr>
          <w:p>
            <w:pPr>
              <w:spacing w:line="400" w:lineRule="exact"/>
              <w:jc w:val="center"/>
              <w:rPr>
                <w:rFonts w:ascii="仿宋_GB2312" w:hAnsi="仿宋_GB2312" w:eastAsia="仿宋_GB2312" w:cs="仿宋_GB2312"/>
                <w:szCs w:val="21"/>
              </w:rPr>
            </w:pPr>
          </w:p>
        </w:tc>
        <w:tc>
          <w:tcPr>
            <w:tcW w:w="1245" w:type="dxa"/>
            <w:gridSpan w:val="2"/>
            <w:noWrap/>
            <w:vAlign w:val="center"/>
          </w:tcPr>
          <w:p>
            <w:pPr>
              <w:spacing w:line="400" w:lineRule="exact"/>
              <w:jc w:val="center"/>
              <w:rPr>
                <w:rFonts w:ascii="仿宋_GB2312" w:hAnsi="仿宋_GB2312" w:eastAsia="仿宋_GB2312" w:cs="仿宋_GB2312"/>
                <w:szCs w:val="21"/>
              </w:rPr>
            </w:pPr>
          </w:p>
        </w:tc>
        <w:tc>
          <w:tcPr>
            <w:tcW w:w="2609" w:type="dxa"/>
            <w:gridSpan w:val="5"/>
            <w:noWrap/>
            <w:vAlign w:val="center"/>
          </w:tcPr>
          <w:p>
            <w:pPr>
              <w:spacing w:line="400" w:lineRule="exact"/>
              <w:jc w:val="center"/>
              <w:rPr>
                <w:rFonts w:ascii="仿宋_GB2312" w:hAnsi="仿宋_GB2312" w:eastAsia="仿宋_GB2312" w:cs="仿宋_GB2312"/>
                <w:szCs w:val="21"/>
              </w:rPr>
            </w:pPr>
          </w:p>
        </w:tc>
        <w:tc>
          <w:tcPr>
            <w:tcW w:w="1366" w:type="dxa"/>
            <w:gridSpan w:val="2"/>
            <w:noWrap/>
            <w:vAlign w:val="center"/>
          </w:tcPr>
          <w:p>
            <w:pPr>
              <w:spacing w:line="400" w:lineRule="exact"/>
              <w:jc w:val="center"/>
              <w:rPr>
                <w:rFonts w:ascii="仿宋_GB2312" w:hAnsi="仿宋_GB2312" w:eastAsia="仿宋_GB2312" w:cs="仿宋_GB2312"/>
                <w:szCs w:val="21"/>
              </w:rPr>
            </w:pPr>
          </w:p>
        </w:tc>
        <w:tc>
          <w:tcPr>
            <w:tcW w:w="1668" w:type="dxa"/>
            <w:gridSpan w:val="4"/>
            <w:noWrap/>
            <w:vAlign w:val="center"/>
          </w:tcPr>
          <w:p>
            <w:pPr>
              <w:spacing w:line="400" w:lineRule="exact"/>
              <w:jc w:val="center"/>
              <w:rPr>
                <w:rFonts w:ascii="仿宋_GB2312" w:hAnsi="仿宋_GB2312" w:eastAsia="仿宋_GB2312" w:cs="仿宋_GB2312"/>
                <w:szCs w:val="21"/>
              </w:rPr>
            </w:pPr>
          </w:p>
        </w:tc>
        <w:tc>
          <w:tcPr>
            <w:tcW w:w="1528" w:type="dxa"/>
            <w:noWrap/>
            <w:vAlign w:val="center"/>
          </w:tcPr>
          <w:p>
            <w:pPr>
              <w:spacing w:line="400" w:lineRule="exact"/>
              <w:rPr>
                <w:rFonts w:ascii="仿宋_GB2312" w:hAnsi="仿宋_GB2312" w:eastAsia="仿宋_GB2312" w:cs="仿宋_GB2312"/>
                <w:szCs w:val="21"/>
              </w:rPr>
            </w:pPr>
          </w:p>
        </w:tc>
      </w:tr>
      <w:tr>
        <w:tblPrEx>
          <w:tblBorders>
            <w:top w:val="single" w:color="auto" w:sz="4" w:space="0"/>
            <w:left w:val="single" w:color="auto" w:sz="4" w:space="0"/>
            <w:bottom w:val="none" w:color="auto" w:sz="0"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8" w:hRule="atLeast"/>
        </w:trPr>
        <w:tc>
          <w:tcPr>
            <w:tcW w:w="809" w:type="dxa"/>
            <w:vMerge w:val="continue"/>
            <w:noWrap/>
            <w:vAlign w:val="center"/>
          </w:tcPr>
          <w:p>
            <w:pPr>
              <w:spacing w:line="400" w:lineRule="exact"/>
              <w:jc w:val="center"/>
              <w:rPr>
                <w:rFonts w:ascii="仿宋_GB2312" w:hAnsi="仿宋_GB2312" w:eastAsia="仿宋_GB2312" w:cs="仿宋_GB2312"/>
                <w:szCs w:val="21"/>
              </w:rPr>
            </w:pPr>
          </w:p>
        </w:tc>
        <w:tc>
          <w:tcPr>
            <w:tcW w:w="1245" w:type="dxa"/>
            <w:gridSpan w:val="2"/>
            <w:noWrap/>
            <w:vAlign w:val="center"/>
          </w:tcPr>
          <w:p>
            <w:pPr>
              <w:spacing w:line="400" w:lineRule="exact"/>
              <w:jc w:val="center"/>
              <w:rPr>
                <w:rFonts w:ascii="仿宋_GB2312" w:hAnsi="仿宋_GB2312" w:eastAsia="仿宋_GB2312" w:cs="仿宋_GB2312"/>
                <w:szCs w:val="21"/>
              </w:rPr>
            </w:pPr>
          </w:p>
        </w:tc>
        <w:tc>
          <w:tcPr>
            <w:tcW w:w="2609" w:type="dxa"/>
            <w:gridSpan w:val="5"/>
            <w:noWrap/>
            <w:vAlign w:val="center"/>
          </w:tcPr>
          <w:p>
            <w:pPr>
              <w:spacing w:line="400" w:lineRule="exact"/>
              <w:jc w:val="center"/>
              <w:rPr>
                <w:rFonts w:ascii="仿宋_GB2312" w:hAnsi="仿宋_GB2312" w:eastAsia="仿宋_GB2312" w:cs="仿宋_GB2312"/>
                <w:szCs w:val="21"/>
              </w:rPr>
            </w:pPr>
          </w:p>
        </w:tc>
        <w:tc>
          <w:tcPr>
            <w:tcW w:w="1366" w:type="dxa"/>
            <w:gridSpan w:val="2"/>
            <w:noWrap/>
            <w:vAlign w:val="center"/>
          </w:tcPr>
          <w:p>
            <w:pPr>
              <w:spacing w:line="400" w:lineRule="exact"/>
              <w:jc w:val="center"/>
              <w:rPr>
                <w:rFonts w:ascii="仿宋_GB2312" w:hAnsi="仿宋_GB2312" w:eastAsia="仿宋_GB2312" w:cs="仿宋_GB2312"/>
                <w:szCs w:val="21"/>
              </w:rPr>
            </w:pPr>
          </w:p>
        </w:tc>
        <w:tc>
          <w:tcPr>
            <w:tcW w:w="1668" w:type="dxa"/>
            <w:gridSpan w:val="4"/>
            <w:noWrap/>
            <w:vAlign w:val="center"/>
          </w:tcPr>
          <w:p>
            <w:pPr>
              <w:spacing w:line="400" w:lineRule="exact"/>
              <w:jc w:val="center"/>
              <w:rPr>
                <w:rFonts w:ascii="仿宋_GB2312" w:hAnsi="仿宋_GB2312" w:eastAsia="仿宋_GB2312" w:cs="仿宋_GB2312"/>
                <w:szCs w:val="21"/>
              </w:rPr>
            </w:pPr>
          </w:p>
        </w:tc>
        <w:tc>
          <w:tcPr>
            <w:tcW w:w="1528" w:type="dxa"/>
            <w:noWrap/>
            <w:vAlign w:val="center"/>
          </w:tcPr>
          <w:p>
            <w:pPr>
              <w:spacing w:line="400" w:lineRule="exact"/>
              <w:rPr>
                <w:rFonts w:ascii="仿宋_GB2312" w:hAnsi="仿宋_GB2312" w:eastAsia="仿宋_GB2312" w:cs="仿宋_GB2312"/>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exact"/>
        </w:trPr>
        <w:tc>
          <w:tcPr>
            <w:tcW w:w="809" w:type="dxa"/>
            <w:vMerge w:val="restart"/>
            <w:noWrap/>
          </w:tcPr>
          <w:p>
            <w:pPr>
              <w:spacing w:line="360" w:lineRule="auto"/>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培训经历</w:t>
            </w:r>
          </w:p>
        </w:tc>
        <w:tc>
          <w:tcPr>
            <w:tcW w:w="1245" w:type="dxa"/>
            <w:gridSpan w:val="2"/>
            <w:noWrap/>
            <w:vAlign w:val="center"/>
          </w:tcPr>
          <w:p>
            <w:pPr>
              <w:spacing w:line="400" w:lineRule="exact"/>
              <w:ind w:firstLine="105" w:firstLineChars="50"/>
              <w:rPr>
                <w:rFonts w:ascii="仿宋_GB2312" w:hAnsi="仿宋_GB2312" w:eastAsia="仿宋_GB2312" w:cs="仿宋_GB2312"/>
                <w:kern w:val="0"/>
                <w:szCs w:val="21"/>
              </w:rPr>
            </w:pPr>
            <w:r>
              <w:rPr>
                <w:rFonts w:hint="eastAsia" w:ascii="仿宋_GB2312" w:hAnsi="仿宋_GB2312" w:eastAsia="仿宋_GB2312" w:cs="仿宋_GB2312"/>
                <w:kern w:val="0"/>
                <w:szCs w:val="21"/>
              </w:rPr>
              <w:t>起止年月</w:t>
            </w:r>
          </w:p>
        </w:tc>
        <w:tc>
          <w:tcPr>
            <w:tcW w:w="2609" w:type="dxa"/>
            <w:gridSpan w:val="5"/>
            <w:noWrap/>
            <w:vAlign w:val="center"/>
          </w:tcPr>
          <w:p>
            <w:pPr>
              <w:spacing w:line="400" w:lineRule="exact"/>
              <w:ind w:firstLine="630" w:firstLineChars="300"/>
              <w:rPr>
                <w:rFonts w:ascii="仿宋_GB2312" w:hAnsi="仿宋_GB2312" w:eastAsia="仿宋_GB2312" w:cs="仿宋_GB2312"/>
                <w:kern w:val="0"/>
                <w:szCs w:val="21"/>
              </w:rPr>
            </w:pPr>
            <w:r>
              <w:rPr>
                <w:rFonts w:hint="eastAsia" w:ascii="仿宋_GB2312" w:hAnsi="仿宋_GB2312" w:eastAsia="仿宋_GB2312" w:cs="仿宋_GB2312"/>
                <w:kern w:val="0"/>
                <w:szCs w:val="21"/>
              </w:rPr>
              <w:t>举办单位</w:t>
            </w:r>
          </w:p>
        </w:tc>
        <w:tc>
          <w:tcPr>
            <w:tcW w:w="1366" w:type="dxa"/>
            <w:gridSpan w:val="2"/>
            <w:noWrap/>
            <w:vAlign w:val="center"/>
          </w:tcPr>
          <w:p>
            <w:pPr>
              <w:spacing w:line="400" w:lineRule="exact"/>
              <w:ind w:firstLine="105" w:firstLineChars="50"/>
              <w:rPr>
                <w:rFonts w:ascii="仿宋_GB2312" w:hAnsi="仿宋_GB2312" w:eastAsia="仿宋_GB2312" w:cs="仿宋_GB2312"/>
                <w:kern w:val="0"/>
                <w:szCs w:val="21"/>
              </w:rPr>
            </w:pPr>
            <w:r>
              <w:rPr>
                <w:rFonts w:hint="eastAsia" w:ascii="仿宋_GB2312" w:hAnsi="仿宋_GB2312" w:eastAsia="仿宋_GB2312" w:cs="仿宋_GB2312"/>
                <w:kern w:val="0"/>
                <w:szCs w:val="21"/>
              </w:rPr>
              <w:t>培训内容</w:t>
            </w:r>
          </w:p>
        </w:tc>
        <w:tc>
          <w:tcPr>
            <w:tcW w:w="3196" w:type="dxa"/>
            <w:gridSpan w:val="5"/>
            <w:noWrap/>
            <w:vAlign w:val="center"/>
          </w:tcPr>
          <w:p>
            <w:pPr>
              <w:spacing w:line="400" w:lineRule="exact"/>
              <w:ind w:firstLine="525" w:firstLineChars="250"/>
              <w:rPr>
                <w:rFonts w:ascii="仿宋_GB2312" w:hAnsi="仿宋_GB2312" w:eastAsia="仿宋_GB2312" w:cs="仿宋_GB2312"/>
                <w:kern w:val="0"/>
                <w:szCs w:val="21"/>
              </w:rPr>
            </w:pPr>
            <w:r>
              <w:rPr>
                <w:rFonts w:hint="eastAsia" w:ascii="仿宋_GB2312" w:hAnsi="仿宋_GB2312" w:eastAsia="仿宋_GB2312" w:cs="仿宋_GB2312"/>
                <w:kern w:val="0"/>
                <w:szCs w:val="21"/>
              </w:rPr>
              <w:t>证书名称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2" w:hRule="exact"/>
        </w:trPr>
        <w:tc>
          <w:tcPr>
            <w:tcW w:w="809" w:type="dxa"/>
            <w:vMerge w:val="continue"/>
            <w:noWrap/>
          </w:tcPr>
          <w:p>
            <w:pPr>
              <w:spacing w:line="300" w:lineRule="exact"/>
              <w:jc w:val="center"/>
              <w:rPr>
                <w:rFonts w:ascii="仿宋_GB2312" w:hAnsi="仿宋_GB2312" w:eastAsia="仿宋_GB2312" w:cs="仿宋_GB2312"/>
                <w:kern w:val="0"/>
                <w:szCs w:val="21"/>
              </w:rPr>
            </w:pPr>
          </w:p>
        </w:tc>
        <w:tc>
          <w:tcPr>
            <w:tcW w:w="1245" w:type="dxa"/>
            <w:gridSpan w:val="2"/>
            <w:noWrap/>
            <w:vAlign w:val="center"/>
          </w:tcPr>
          <w:p>
            <w:pPr>
              <w:spacing w:line="400" w:lineRule="exact"/>
              <w:jc w:val="center"/>
              <w:rPr>
                <w:rFonts w:ascii="仿宋_GB2312" w:hAnsi="仿宋_GB2312" w:eastAsia="仿宋_GB2312" w:cs="仿宋_GB2312"/>
                <w:kern w:val="0"/>
                <w:szCs w:val="21"/>
              </w:rPr>
            </w:pPr>
          </w:p>
        </w:tc>
        <w:tc>
          <w:tcPr>
            <w:tcW w:w="2609" w:type="dxa"/>
            <w:gridSpan w:val="5"/>
            <w:noWrap/>
            <w:vAlign w:val="center"/>
          </w:tcPr>
          <w:p>
            <w:pPr>
              <w:spacing w:line="400" w:lineRule="exact"/>
              <w:jc w:val="center"/>
              <w:rPr>
                <w:rFonts w:ascii="仿宋_GB2312" w:hAnsi="仿宋_GB2312" w:eastAsia="仿宋_GB2312" w:cs="仿宋_GB2312"/>
                <w:kern w:val="0"/>
                <w:szCs w:val="21"/>
              </w:rPr>
            </w:pPr>
          </w:p>
        </w:tc>
        <w:tc>
          <w:tcPr>
            <w:tcW w:w="1366" w:type="dxa"/>
            <w:gridSpan w:val="2"/>
            <w:noWrap/>
            <w:vAlign w:val="center"/>
          </w:tcPr>
          <w:p>
            <w:pPr>
              <w:spacing w:line="400" w:lineRule="exact"/>
              <w:jc w:val="center"/>
              <w:rPr>
                <w:rFonts w:ascii="仿宋_GB2312" w:hAnsi="仿宋_GB2312" w:eastAsia="仿宋_GB2312" w:cs="仿宋_GB2312"/>
                <w:kern w:val="0"/>
                <w:szCs w:val="21"/>
              </w:rPr>
            </w:pPr>
          </w:p>
        </w:tc>
        <w:tc>
          <w:tcPr>
            <w:tcW w:w="3196" w:type="dxa"/>
            <w:gridSpan w:val="5"/>
            <w:noWrap/>
            <w:vAlign w:val="center"/>
          </w:tcPr>
          <w:p>
            <w:pPr>
              <w:spacing w:line="400" w:lineRule="exact"/>
              <w:jc w:val="center"/>
              <w:rPr>
                <w:rFonts w:ascii="仿宋_GB2312" w:hAnsi="仿宋_GB2312" w:eastAsia="仿宋_GB2312" w:cs="仿宋_GB2312"/>
                <w:kern w:val="0"/>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2" w:hRule="exact"/>
        </w:trPr>
        <w:tc>
          <w:tcPr>
            <w:tcW w:w="809" w:type="dxa"/>
            <w:vMerge w:val="continue"/>
            <w:noWrap/>
          </w:tcPr>
          <w:p>
            <w:pPr>
              <w:spacing w:line="300" w:lineRule="exact"/>
              <w:jc w:val="center"/>
              <w:rPr>
                <w:rFonts w:ascii="仿宋_GB2312" w:hAnsi="仿宋_GB2312" w:eastAsia="仿宋_GB2312" w:cs="仿宋_GB2312"/>
                <w:kern w:val="0"/>
                <w:szCs w:val="21"/>
              </w:rPr>
            </w:pPr>
          </w:p>
        </w:tc>
        <w:tc>
          <w:tcPr>
            <w:tcW w:w="1245" w:type="dxa"/>
            <w:gridSpan w:val="2"/>
            <w:noWrap/>
            <w:vAlign w:val="center"/>
          </w:tcPr>
          <w:p>
            <w:pPr>
              <w:spacing w:line="400" w:lineRule="exact"/>
              <w:jc w:val="center"/>
              <w:rPr>
                <w:rFonts w:ascii="仿宋_GB2312" w:hAnsi="仿宋_GB2312" w:eastAsia="仿宋_GB2312" w:cs="仿宋_GB2312"/>
                <w:kern w:val="0"/>
                <w:szCs w:val="21"/>
              </w:rPr>
            </w:pPr>
          </w:p>
        </w:tc>
        <w:tc>
          <w:tcPr>
            <w:tcW w:w="2609" w:type="dxa"/>
            <w:gridSpan w:val="5"/>
            <w:noWrap/>
            <w:vAlign w:val="center"/>
          </w:tcPr>
          <w:p>
            <w:pPr>
              <w:spacing w:line="400" w:lineRule="exact"/>
              <w:jc w:val="center"/>
              <w:rPr>
                <w:rFonts w:ascii="仿宋_GB2312" w:hAnsi="仿宋_GB2312" w:eastAsia="仿宋_GB2312" w:cs="仿宋_GB2312"/>
                <w:kern w:val="0"/>
                <w:szCs w:val="21"/>
              </w:rPr>
            </w:pPr>
          </w:p>
        </w:tc>
        <w:tc>
          <w:tcPr>
            <w:tcW w:w="1366" w:type="dxa"/>
            <w:gridSpan w:val="2"/>
            <w:noWrap/>
            <w:vAlign w:val="center"/>
          </w:tcPr>
          <w:p>
            <w:pPr>
              <w:spacing w:line="400" w:lineRule="exact"/>
              <w:jc w:val="center"/>
              <w:rPr>
                <w:rFonts w:ascii="仿宋_GB2312" w:hAnsi="仿宋_GB2312" w:eastAsia="仿宋_GB2312" w:cs="仿宋_GB2312"/>
                <w:kern w:val="0"/>
                <w:szCs w:val="21"/>
              </w:rPr>
            </w:pPr>
          </w:p>
        </w:tc>
        <w:tc>
          <w:tcPr>
            <w:tcW w:w="3196" w:type="dxa"/>
            <w:gridSpan w:val="5"/>
            <w:noWrap/>
            <w:vAlign w:val="center"/>
          </w:tcPr>
          <w:p>
            <w:pPr>
              <w:spacing w:line="400" w:lineRule="exact"/>
              <w:jc w:val="center"/>
              <w:rPr>
                <w:rFonts w:ascii="仿宋_GB2312" w:hAnsi="仿宋_GB2312" w:eastAsia="仿宋_GB2312" w:cs="仿宋_GB2312"/>
                <w:kern w:val="0"/>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7" w:hRule="exact"/>
        </w:trPr>
        <w:tc>
          <w:tcPr>
            <w:tcW w:w="809" w:type="dxa"/>
            <w:vMerge w:val="restart"/>
            <w:noWrap/>
          </w:tcPr>
          <w:p>
            <w:pPr>
              <w:spacing w:line="360" w:lineRule="auto"/>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工作经历</w:t>
            </w:r>
          </w:p>
        </w:tc>
        <w:tc>
          <w:tcPr>
            <w:tcW w:w="1245" w:type="dxa"/>
            <w:gridSpan w:val="2"/>
            <w:noWrap/>
            <w:vAlign w:val="center"/>
          </w:tcPr>
          <w:p>
            <w:pPr>
              <w:spacing w:line="40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起止年月</w:t>
            </w:r>
          </w:p>
        </w:tc>
        <w:tc>
          <w:tcPr>
            <w:tcW w:w="3975" w:type="dxa"/>
            <w:gridSpan w:val="7"/>
            <w:noWrap/>
            <w:vAlign w:val="center"/>
          </w:tcPr>
          <w:p>
            <w:pPr>
              <w:spacing w:line="40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工作单位、部门</w:t>
            </w:r>
          </w:p>
        </w:tc>
        <w:tc>
          <w:tcPr>
            <w:tcW w:w="3196" w:type="dxa"/>
            <w:gridSpan w:val="5"/>
            <w:noWrap/>
            <w:vAlign w:val="center"/>
          </w:tcPr>
          <w:p>
            <w:pPr>
              <w:spacing w:line="40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职   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8" w:hRule="exact"/>
        </w:trPr>
        <w:tc>
          <w:tcPr>
            <w:tcW w:w="809" w:type="dxa"/>
            <w:vMerge w:val="continue"/>
            <w:noWrap/>
          </w:tcPr>
          <w:p>
            <w:pPr>
              <w:spacing w:line="400" w:lineRule="exact"/>
              <w:jc w:val="center"/>
              <w:rPr>
                <w:rFonts w:ascii="仿宋_GB2312" w:hAnsi="仿宋_GB2312" w:eastAsia="仿宋_GB2312" w:cs="仿宋_GB2312"/>
                <w:kern w:val="0"/>
                <w:szCs w:val="21"/>
              </w:rPr>
            </w:pPr>
          </w:p>
        </w:tc>
        <w:tc>
          <w:tcPr>
            <w:tcW w:w="1245" w:type="dxa"/>
            <w:gridSpan w:val="2"/>
            <w:noWrap/>
            <w:vAlign w:val="center"/>
          </w:tcPr>
          <w:p>
            <w:pPr>
              <w:spacing w:line="400" w:lineRule="exact"/>
              <w:jc w:val="center"/>
              <w:rPr>
                <w:rFonts w:ascii="仿宋_GB2312" w:hAnsi="仿宋_GB2312" w:eastAsia="仿宋_GB2312" w:cs="仿宋_GB2312"/>
                <w:kern w:val="0"/>
                <w:szCs w:val="21"/>
              </w:rPr>
            </w:pPr>
          </w:p>
        </w:tc>
        <w:tc>
          <w:tcPr>
            <w:tcW w:w="3975" w:type="dxa"/>
            <w:gridSpan w:val="7"/>
            <w:noWrap/>
            <w:vAlign w:val="center"/>
          </w:tcPr>
          <w:p>
            <w:pPr>
              <w:spacing w:line="400" w:lineRule="exact"/>
              <w:jc w:val="center"/>
              <w:rPr>
                <w:rFonts w:ascii="仿宋_GB2312" w:hAnsi="仿宋_GB2312" w:eastAsia="仿宋_GB2312" w:cs="仿宋_GB2312"/>
                <w:b/>
                <w:kern w:val="0"/>
                <w:szCs w:val="21"/>
              </w:rPr>
            </w:pPr>
          </w:p>
        </w:tc>
        <w:tc>
          <w:tcPr>
            <w:tcW w:w="3196" w:type="dxa"/>
            <w:gridSpan w:val="5"/>
            <w:noWrap/>
            <w:vAlign w:val="center"/>
          </w:tcPr>
          <w:p>
            <w:pPr>
              <w:spacing w:line="400" w:lineRule="exact"/>
              <w:jc w:val="center"/>
              <w:rPr>
                <w:rFonts w:ascii="仿宋_GB2312" w:hAnsi="仿宋_GB2312" w:eastAsia="仿宋_GB2312" w:cs="仿宋_GB2312"/>
                <w:kern w:val="0"/>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8" w:hRule="exact"/>
        </w:trPr>
        <w:tc>
          <w:tcPr>
            <w:tcW w:w="809" w:type="dxa"/>
            <w:vMerge w:val="continue"/>
            <w:noWrap/>
          </w:tcPr>
          <w:p>
            <w:pPr>
              <w:spacing w:line="400" w:lineRule="exact"/>
              <w:jc w:val="center"/>
              <w:rPr>
                <w:rFonts w:ascii="仿宋_GB2312" w:hAnsi="仿宋_GB2312" w:eastAsia="仿宋_GB2312" w:cs="仿宋_GB2312"/>
                <w:kern w:val="0"/>
                <w:szCs w:val="21"/>
              </w:rPr>
            </w:pPr>
          </w:p>
        </w:tc>
        <w:tc>
          <w:tcPr>
            <w:tcW w:w="1245" w:type="dxa"/>
            <w:gridSpan w:val="2"/>
            <w:noWrap/>
            <w:vAlign w:val="center"/>
          </w:tcPr>
          <w:p>
            <w:pPr>
              <w:spacing w:line="400" w:lineRule="exact"/>
              <w:jc w:val="center"/>
              <w:rPr>
                <w:rFonts w:ascii="仿宋_GB2312" w:hAnsi="仿宋_GB2312" w:eastAsia="仿宋_GB2312" w:cs="仿宋_GB2312"/>
                <w:kern w:val="0"/>
                <w:szCs w:val="21"/>
              </w:rPr>
            </w:pPr>
          </w:p>
        </w:tc>
        <w:tc>
          <w:tcPr>
            <w:tcW w:w="3975" w:type="dxa"/>
            <w:gridSpan w:val="7"/>
            <w:noWrap/>
            <w:vAlign w:val="center"/>
          </w:tcPr>
          <w:p>
            <w:pPr>
              <w:spacing w:line="400" w:lineRule="exact"/>
              <w:jc w:val="center"/>
              <w:rPr>
                <w:rFonts w:ascii="仿宋_GB2312" w:hAnsi="仿宋_GB2312" w:eastAsia="仿宋_GB2312" w:cs="仿宋_GB2312"/>
                <w:b/>
                <w:kern w:val="0"/>
                <w:szCs w:val="21"/>
              </w:rPr>
            </w:pPr>
          </w:p>
        </w:tc>
        <w:tc>
          <w:tcPr>
            <w:tcW w:w="3196" w:type="dxa"/>
            <w:gridSpan w:val="5"/>
            <w:noWrap/>
            <w:vAlign w:val="center"/>
          </w:tcPr>
          <w:p>
            <w:pPr>
              <w:spacing w:line="400" w:lineRule="exact"/>
              <w:jc w:val="center"/>
              <w:rPr>
                <w:rFonts w:ascii="仿宋_GB2312" w:hAnsi="仿宋_GB2312" w:eastAsia="仿宋_GB2312" w:cs="仿宋_GB2312"/>
                <w:kern w:val="0"/>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8" w:hRule="exact"/>
        </w:trPr>
        <w:tc>
          <w:tcPr>
            <w:tcW w:w="2054" w:type="dxa"/>
            <w:gridSpan w:val="3"/>
            <w:noWrap/>
            <w:vAlign w:val="center"/>
          </w:tcPr>
          <w:p>
            <w:pPr>
              <w:spacing w:line="40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兼职情况</w:t>
            </w:r>
          </w:p>
        </w:tc>
        <w:tc>
          <w:tcPr>
            <w:tcW w:w="7171" w:type="dxa"/>
            <w:gridSpan w:val="12"/>
            <w:noWrap/>
            <w:vAlign w:val="center"/>
          </w:tcPr>
          <w:p>
            <w:pPr>
              <w:spacing w:line="400" w:lineRule="exact"/>
              <w:jc w:val="center"/>
              <w:rPr>
                <w:rFonts w:ascii="仿宋_GB2312" w:hAnsi="仿宋_GB2312" w:eastAsia="仿宋_GB2312" w:cs="仿宋_GB2312"/>
                <w:b/>
                <w:kern w:val="0"/>
                <w:szCs w:val="21"/>
              </w:rPr>
            </w:pP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3" w:hRule="atLeast"/>
        </w:trPr>
        <w:tc>
          <w:tcPr>
            <w:tcW w:w="9225" w:type="dxa"/>
            <w:gridSpan w:val="15"/>
            <w:noWrap/>
            <w:vAlign w:val="center"/>
          </w:tcPr>
          <w:p>
            <w:pPr>
              <w:spacing w:line="40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本公司保证：本次任职资格核准申请提交的所有材料及本表格提供的所有信息为真实信息，不存在违反有关法律法规的情形，并对以上材料及信息的真实性承担相应的法律责任。</w:t>
            </w:r>
          </w:p>
          <w:p>
            <w:pPr>
              <w:spacing w:line="400" w:lineRule="exact"/>
              <w:ind w:firstLine="420" w:firstLineChars="200"/>
              <w:rPr>
                <w:rFonts w:ascii="仿宋_GB2312" w:hAnsi="仿宋_GB2312" w:eastAsia="仿宋_GB2312" w:cs="仿宋_GB2312"/>
                <w:szCs w:val="21"/>
              </w:rPr>
            </w:pPr>
          </w:p>
          <w:p>
            <w:pPr>
              <w:spacing w:line="400" w:lineRule="exact"/>
              <w:ind w:firstLine="420" w:firstLineChars="200"/>
              <w:rPr>
                <w:rFonts w:ascii="仿宋_GB2312" w:hAnsi="仿宋_GB2312" w:eastAsia="仿宋_GB2312" w:cs="仿宋_GB2312"/>
                <w:szCs w:val="21"/>
              </w:rPr>
            </w:pPr>
          </w:p>
          <w:p>
            <w:pPr>
              <w:spacing w:line="400" w:lineRule="exact"/>
              <w:rPr>
                <w:rFonts w:ascii="仿宋" w:hAnsi="仿宋" w:eastAsia="仿宋" w:cs="Times New Roman"/>
              </w:rPr>
            </w:pPr>
            <w:r>
              <w:rPr>
                <w:rFonts w:hint="eastAsia" w:ascii="仿宋_GB2312" w:hAnsi="仿宋_GB2312" w:eastAsia="仿宋_GB2312" w:cs="仿宋_GB2312"/>
                <w:szCs w:val="21"/>
              </w:rPr>
              <w:t>申请人签名：          法定代表人签名：              公司盖章   年　月　日</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2474" w:type="dxa"/>
            <w:gridSpan w:val="5"/>
            <w:noWrap/>
            <w:vAlign w:val="center"/>
          </w:tcPr>
          <w:p>
            <w:pPr>
              <w:spacing w:line="40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档案所在部门</w:t>
            </w:r>
          </w:p>
          <w:p>
            <w:pPr>
              <w:spacing w:line="40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审核意见</w:t>
            </w:r>
          </w:p>
        </w:tc>
        <w:tc>
          <w:tcPr>
            <w:tcW w:w="6751" w:type="dxa"/>
            <w:gridSpan w:val="10"/>
            <w:noWrap/>
            <w:vAlign w:val="center"/>
          </w:tcPr>
          <w:p>
            <w:pPr>
              <w:spacing w:line="400" w:lineRule="exact"/>
              <w:ind w:firstLine="420" w:firstLineChars="200"/>
              <w:rPr>
                <w:rFonts w:ascii="仿宋_GB2312" w:hAnsi="仿宋_GB2312" w:eastAsia="仿宋_GB2312" w:cs="仿宋_GB2312"/>
                <w:szCs w:val="21"/>
              </w:rPr>
            </w:pPr>
          </w:p>
          <w:p>
            <w:pPr>
              <w:spacing w:line="400" w:lineRule="exact"/>
              <w:ind w:firstLine="420" w:firstLineChars="200"/>
              <w:rPr>
                <w:rFonts w:ascii="仿宋_GB2312" w:hAnsi="仿宋_GB2312" w:eastAsia="仿宋_GB2312" w:cs="仿宋_GB2312"/>
                <w:szCs w:val="21"/>
              </w:rPr>
            </w:pPr>
          </w:p>
          <w:p>
            <w:pPr>
              <w:spacing w:line="400" w:lineRule="exact"/>
              <w:ind w:firstLine="420" w:firstLineChars="200"/>
              <w:rPr>
                <w:rFonts w:ascii="仿宋_GB2312" w:hAnsi="仿宋_GB2312" w:eastAsia="仿宋_GB2312" w:cs="仿宋_GB2312"/>
                <w:szCs w:val="21"/>
              </w:rPr>
            </w:pPr>
          </w:p>
        </w:tc>
      </w:tr>
    </w:tbl>
    <w:p>
      <w:pPr>
        <w:ind w:firstLine="360" w:firstLineChars="200"/>
        <w:rPr>
          <w:rFonts w:ascii="仿宋_GB2312" w:hAnsi="仿宋_GB2312" w:eastAsia="仿宋_GB2312" w:cs="仿宋_GB2312"/>
          <w:sz w:val="32"/>
          <w:szCs w:val="32"/>
        </w:rPr>
      </w:pPr>
      <w:r>
        <w:rPr>
          <w:rFonts w:hint="eastAsia" w:ascii="仿宋_GB2312" w:hAnsi="仿宋_GB2312" w:eastAsia="仿宋_GB2312" w:cs="仿宋_GB2312"/>
          <w:sz w:val="18"/>
          <w:szCs w:val="18"/>
        </w:rPr>
        <w:t>注：在银行等金融机构、担保机构、典当行、小额贷款公司工作过的人员应有原单位的意见和离职证明。</w:t>
      </w:r>
    </w:p>
    <w:p>
      <w:pPr>
        <w:rPr>
          <w:spacing w:val="-20"/>
          <w:sz w:val="44"/>
          <w:szCs w:val="44"/>
        </w:rPr>
      </w:pPr>
      <w:bookmarkStart w:id="50" w:name="_Toc2364"/>
      <w:r>
        <w:rPr>
          <w:spacing w:val="-20"/>
          <w:sz w:val="44"/>
          <w:szCs w:val="44"/>
        </w:rPr>
        <w:br w:type="page"/>
      </w:r>
    </w:p>
    <w:p>
      <w:pPr>
        <w:pStyle w:val="3"/>
        <w:jc w:val="center"/>
        <w:rPr>
          <w:spacing w:val="-20"/>
          <w:sz w:val="44"/>
          <w:szCs w:val="44"/>
        </w:rPr>
      </w:pPr>
      <w:r>
        <w:rPr>
          <w:spacing w:val="-20"/>
          <w:sz w:val="44"/>
          <w:szCs w:val="44"/>
        </w:rPr>
        <w:t>十六、河南省小额贷款公司日常监管工作指引</w:t>
      </w:r>
      <w:bookmarkEnd w:id="50"/>
    </w:p>
    <w:p>
      <w:pPr>
        <w:keepNext/>
        <w:keepLines/>
        <w:spacing w:line="560" w:lineRule="exact"/>
        <w:ind w:firstLine="640" w:firstLineChars="200"/>
        <w:jc w:val="center"/>
        <w:rPr>
          <w:rStyle w:val="19"/>
          <w:rFonts w:hint="eastAsia" w:ascii="楷体" w:hAnsi="楷体" w:eastAsia="楷体" w:cs="楷体"/>
          <w:color w:val="000000"/>
          <w:sz w:val="24"/>
          <w:szCs w:val="24"/>
        </w:rPr>
      </w:pPr>
      <w:r>
        <w:rPr>
          <w:rFonts w:hint="eastAsia" w:ascii="仿宋_GB2312" w:hAnsi="仿宋_GB2312" w:eastAsia="仿宋_GB2312" w:cs="仿宋_GB2312"/>
          <w:sz w:val="32"/>
          <w:szCs w:val="32"/>
        </w:rPr>
        <w:t>　</w:t>
      </w:r>
      <w:r>
        <w:rPr>
          <w:rStyle w:val="19"/>
          <w:rFonts w:hint="eastAsia" w:ascii="楷体" w:hAnsi="楷体" w:eastAsia="楷体" w:cs="楷体"/>
          <w:color w:val="000000"/>
          <w:sz w:val="24"/>
          <w:szCs w:val="24"/>
          <w:lang w:eastAsia="zh-CN"/>
        </w:rPr>
        <w:t>河南省人民政府金融服务办公室文件</w:t>
      </w:r>
      <w:r>
        <w:rPr>
          <w:rStyle w:val="19"/>
          <w:rFonts w:hint="eastAsia" w:ascii="楷体" w:hAnsi="楷体" w:eastAsia="楷体" w:cs="楷体"/>
          <w:color w:val="000000"/>
          <w:sz w:val="24"/>
          <w:szCs w:val="24"/>
          <w:lang w:val="en-US" w:eastAsia="zh-CN"/>
        </w:rPr>
        <w:t xml:space="preserve"> </w:t>
      </w:r>
      <w:r>
        <w:rPr>
          <w:rStyle w:val="19"/>
          <w:rFonts w:hint="eastAsia" w:ascii="楷体" w:hAnsi="楷体" w:eastAsia="楷体" w:cs="楷体"/>
          <w:color w:val="000000"/>
          <w:sz w:val="24"/>
          <w:szCs w:val="24"/>
          <w:lang w:eastAsia="zh-CN"/>
        </w:rPr>
        <w:t>豫政金</w:t>
      </w:r>
      <w:r>
        <w:rPr>
          <w:rStyle w:val="19"/>
          <w:rFonts w:hint="eastAsia" w:ascii="楷体" w:hAnsi="楷体" w:eastAsia="楷体" w:cs="楷体"/>
          <w:color w:val="000000"/>
          <w:sz w:val="24"/>
          <w:szCs w:val="24"/>
        </w:rPr>
        <w:t>〔20</w:t>
      </w:r>
      <w:r>
        <w:rPr>
          <w:rStyle w:val="19"/>
          <w:rFonts w:hint="eastAsia" w:ascii="楷体" w:hAnsi="楷体" w:eastAsia="楷体" w:cs="楷体"/>
          <w:color w:val="000000"/>
          <w:sz w:val="24"/>
          <w:szCs w:val="24"/>
          <w:lang w:val="en-US" w:eastAsia="zh-CN"/>
        </w:rPr>
        <w:t>17</w:t>
      </w:r>
      <w:r>
        <w:rPr>
          <w:rStyle w:val="19"/>
          <w:rFonts w:hint="eastAsia" w:ascii="楷体" w:hAnsi="楷体" w:eastAsia="楷体" w:cs="楷体"/>
          <w:color w:val="000000"/>
          <w:sz w:val="24"/>
          <w:szCs w:val="24"/>
        </w:rPr>
        <w:t>〕</w:t>
      </w:r>
      <w:r>
        <w:rPr>
          <w:rStyle w:val="19"/>
          <w:rFonts w:hint="eastAsia" w:ascii="楷体" w:hAnsi="楷体" w:eastAsia="楷体" w:cs="楷体"/>
          <w:color w:val="000000"/>
          <w:sz w:val="24"/>
          <w:szCs w:val="24"/>
          <w:lang w:val="en-US" w:eastAsia="zh-CN"/>
        </w:rPr>
        <w:t>311</w:t>
      </w:r>
      <w:r>
        <w:rPr>
          <w:rStyle w:val="19"/>
          <w:rFonts w:hint="eastAsia" w:ascii="楷体" w:hAnsi="楷体" w:eastAsia="楷体" w:cs="楷体"/>
          <w:color w:val="000000"/>
          <w:sz w:val="24"/>
          <w:szCs w:val="24"/>
        </w:rPr>
        <w:t>号</w:t>
      </w:r>
    </w:p>
    <w:p>
      <w:pPr>
        <w:keepNext/>
        <w:keepLines/>
        <w:spacing w:line="560" w:lineRule="exact"/>
        <w:ind w:firstLine="480" w:firstLineChars="200"/>
        <w:jc w:val="center"/>
        <w:rPr>
          <w:rFonts w:hint="eastAsia" w:ascii="楷体" w:hAnsi="楷体" w:eastAsia="楷体" w:cs="楷体"/>
          <w:bCs/>
          <w:sz w:val="32"/>
          <w:szCs w:val="32"/>
        </w:rPr>
      </w:pPr>
      <w:r>
        <w:rPr>
          <w:rStyle w:val="19"/>
          <w:rFonts w:hint="eastAsia" w:ascii="楷体" w:hAnsi="楷体" w:eastAsia="楷体" w:cs="楷体"/>
          <w:color w:val="000000"/>
          <w:sz w:val="24"/>
          <w:szCs w:val="24"/>
        </w:rPr>
        <w:t>20</w:t>
      </w:r>
      <w:r>
        <w:rPr>
          <w:rStyle w:val="19"/>
          <w:rFonts w:hint="eastAsia" w:ascii="楷体" w:hAnsi="楷体" w:eastAsia="楷体" w:cs="楷体"/>
          <w:color w:val="000000"/>
          <w:sz w:val="24"/>
          <w:szCs w:val="24"/>
          <w:lang w:val="en-US" w:eastAsia="zh-CN"/>
        </w:rPr>
        <w:t>17</w:t>
      </w:r>
      <w:r>
        <w:rPr>
          <w:rStyle w:val="19"/>
          <w:rFonts w:hint="eastAsia" w:ascii="楷体" w:hAnsi="楷体" w:eastAsia="楷体" w:cs="楷体"/>
          <w:color w:val="000000"/>
          <w:sz w:val="24"/>
          <w:szCs w:val="24"/>
        </w:rPr>
        <w:t>年</w:t>
      </w:r>
      <w:r>
        <w:rPr>
          <w:rStyle w:val="19"/>
          <w:rFonts w:hint="eastAsia" w:ascii="楷体" w:hAnsi="楷体" w:eastAsia="楷体" w:cs="楷体"/>
          <w:color w:val="000000"/>
          <w:sz w:val="24"/>
          <w:szCs w:val="24"/>
          <w:lang w:val="en-US" w:eastAsia="zh-CN"/>
        </w:rPr>
        <w:t>12</w:t>
      </w:r>
      <w:r>
        <w:rPr>
          <w:rStyle w:val="19"/>
          <w:rFonts w:hint="eastAsia" w:ascii="楷体" w:hAnsi="楷体" w:eastAsia="楷体" w:cs="楷体"/>
          <w:color w:val="000000"/>
          <w:sz w:val="24"/>
          <w:szCs w:val="24"/>
        </w:rPr>
        <w:t>月</w:t>
      </w:r>
      <w:r>
        <w:rPr>
          <w:rStyle w:val="19"/>
          <w:rFonts w:hint="eastAsia" w:ascii="楷体" w:hAnsi="楷体" w:eastAsia="楷体" w:cs="楷体"/>
          <w:color w:val="000000"/>
          <w:sz w:val="24"/>
          <w:szCs w:val="24"/>
          <w:lang w:val="en-US" w:eastAsia="zh-CN"/>
        </w:rPr>
        <w:t>28</w:t>
      </w:r>
      <w:r>
        <w:rPr>
          <w:rStyle w:val="19"/>
          <w:rFonts w:hint="eastAsia" w:ascii="楷体" w:hAnsi="楷体" w:eastAsia="楷体" w:cs="楷体"/>
          <w:color w:val="000000"/>
          <w:sz w:val="24"/>
          <w:szCs w:val="24"/>
        </w:rPr>
        <w:t>日印发</w:t>
      </w:r>
    </w:p>
    <w:p>
      <w:pPr>
        <w:rPr>
          <w:rFonts w:hint="eastAsia" w:ascii="仿宋_GB2312" w:hAnsi="仿宋_GB2312" w:eastAsia="仿宋_GB2312" w:cs="仿宋_GB2312"/>
          <w:sz w:val="32"/>
          <w:szCs w:val="32"/>
        </w:rPr>
      </w:pP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第一章 总 则</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第一条 为加强小额贷款公司监督管理，促进依法合规经营和健康发展，根据《中国银行业监督管理委员会、中国人民银行关于小额贷款公司试点的指导意见》、《河南省小额贷款公司试点管理暂行办法》、《河南省人民政府办公厅关于促进小额贷款公司健康发展的意见》等有关规定和规范性文件，制定本指引。</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第二条 本指引适用于在河南省境内、经监管部门批准设立、并在工商部门依法登记注册的小额贷款公司，以及各级政府金融办或政府指定的小额贷款公司监管部门（以下简称“监管部门”）对各自辖区内小额贷款公司的监督管理。任何单位和个人未经监管部门批准不得经营小额贷款业务。</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第三条 小额贷款公司监管工作按照“分级负责，属地监管”的原则落实监管责任。各级监管部门负责对各自辖区内小额贷款公司的监督管理和风险处置。省直管小额贷款公司主发起人的行政主管单位是其监督管理和风险处置的第一责任人。</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第四条 各级监管部门工作人员，应依法办事，公正廉洁，不得利用职务牟取不正当利益，并有义务为小额贷款公司及其高级管理人员、客户保守商业秘密和个人隐私。</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第五条 小额贷款公司从事经营活动,应当遵守法律、法规和政策规定,不得损害国家利益、社会公共利益和他人合法权益，其合法经营活动受法律保护。</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第二章　审批事项监管</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第六条 小额贷款公司审批事项分为设立、变更和终止。按照本章各节明确的审核事项及要求落实审核责任。</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第一节 设立</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第七条 小额贷款公司设立，由监管部门逐级审核，上报省政府金融办审批。县（市、区）、省辖市或省直管县（市）监管部门分别负责本辖区小额贷款公司设立事项的初审、复审工作，对符合条件的出具审核意见报省政府金融办。</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第八条 设立小额贷款公司，除符合《河南省小额贷款公司试点管理暂行办法》等规定的条件外，还应具备以下条件：</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（一）应取得县级或以上人民政府出具的风险防范承诺书和风险处置工作预案。设立省直管小额贷款公司，须取得主发起人行政主管单位出具的风险防范承诺书和风险处置工作预案。</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二）在国家级贫困县设立小额贷款公司，注册资本不低于人民币1亿元（含）；在省级贫困县设立小额贷款公司，注册资本不低于人民币1.5亿元（含）；在其他县（市）设立小额贷款公司，注册资本不低于人民币2亿元（含）；在省辖市各区设立小额贷款公司，注册资本不低于人民币3亿元（含）。</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（三）出资主体须符合下列要求：</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1.主发起人（第一大股东）须为企业法人：（1）其投资比例应为小额贷款公司注册资本的30%-65%。（2）管理规范、实力雄厚，原则上持续经营三年以上，在工商、税务、银行业金融机构等没有重大不良信用记录。（3）有充足的货币资金和可持续出资能力，货币资金足以满足出资需要。净资产不低于3亿元人民币，资产负债率不高于65%，最近连续三个会计年度年净利润在1000万元人民币以上，权益性投资余额不超过净资产50%，投资本项目后长期投资额不得超过净资产的60%，大型企业集团在净资产、资产负债率等指标上允许突破限制。</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2.主发起人（第一大股东）为政府财政或事业法人、社团组织的，对本项目出资不得低于本项目注册资本的30%。</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3.主发起人（第一大股东）为国（境）外法人的，除满足主发起人（第一大股东）的规定外，申请前一年的净资产总额须符合国家对外商投资的有关规定。</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4.支持境内外金融机构、国内知名大型企业、行业龙头企业、上市公司、著名互联网公司作为主发起人发起设立小额贷款公司、网络小额贷款公司，持股比例允许突破规定的上限。上述企业以全资子公司作为小额贷款公司主发起人的，可以根据穿透式原则，主要考察母公司的存续时间、财务指标和实际出资能力。</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5.其他法人股东须管理规范、经营良好，有充足的货币资金和可持续的出资能力，货币资金足以覆盖出资额；近两年内在工商、税务、银行业金融机构等无重大不良信用记录。</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6.自然人股东须具有完全民事行为能力，近两年内无重大不良信用记录；有充足的货币资金和可持续的出资能力，入股资金为自有货币资金，不得以他人委托资金或借贷资金入股；自然人股东以共有财产出资应征得其财产共有人同意。</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第九条 申请设立小额贷款公司，应当按照《河南省小额贷款公司设立审批工作指引（暂行）》的规定提交申请材料，县及省辖市监管部门应对申请材料的完备性、真实性、合法性进行审核并出具审核意见。</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第十条 设立小额贷款公司申报材料的审查要点。</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一）可行性研究报告的审核。重点审核和评估当地经济发展水平、金融生态环境、市场客户状况对设立小额贷款公司是否需求，目标客户是否真实可靠，市场定位是否准确，专业化特色是否突出,可行性论证分析是否切实可行，筹建理由是否充分、基本条件是否具备。</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（二）公司章程的审核。章程合规、股权设置合理、组织机构健全、治理与风险控制机制科学等。章程中应有《小额贷款公司禁止行为十不准》规定的条款。</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（三）注册资本的审核。注册资本为实缴货币资本,且一次性到位；验资报告在有效期内，带有验证码或其他有效证明，在登陆河南省注册会计师网查询后，查询信息与该验资报告内容一致。</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（四）股东资金来源出资能力的审核。重点审核股东资金来源、财务状况、资本补充能力和诚信状况等，确保入股资金来源合法、权属清晰，没有借贷资金和他人委托资金入股情况。</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1.法人股东材料的审查。要有同意出资的股东会或董事会决议（省级行政部门出具的同意出资的决议），决议入股金额和实际入股金额一致，股东或董事签字人数要符合该公司章程中规定决议生效人数；非主发起人最近年度审计报告中的自有或流动货币资金须超过拟出资额(不含抵押、存货、担保类等资产)，且短期借款、长期借款金额不宜过大，防止出现借贷资金入股情况；结合企业法人提交的证照、审计报告等材料，登陆全国企业信用信息公示系统、河南省注册会计师网及其它相关网站进行查证，确保提交的材料、证照、股东信息等与实际相符。</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2.自然人股东的审查。自然人股东的资金主要来源于股权投资或所兴办经济实体的，需对其提供的工商注册登记信息材料、会计师事务所出具的近两年的年度财务审计报告等有关证明材料进行审查，应登陆国家企业信用信息公示系统进行查证。</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（五）董事、监事和高级管理人员的审核。</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1.任职资格。应符合《河南省小额贷款公司试点管理暂行办法》的有关规定。</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2.工作经历。高级管理人员应从事小额贷款或金融工作3年以上，或从事相关行业工作5年以上。相关行业主要包括保险公司、证券公司、基金公司、投资公司、担保公司、信托公司、财务公司、典当公司、期货公司和资产管理公司等。</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3.学历及职称证明。董事、监事、高级管理人员应提供大专以上学历证明，其中财务负责人应具有会计、财务或者审计等相关领域中级以上职称。</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4.小额贷款公司的董事、监事、高级管理人员原则上不得由国家机关工作人员兼职（任职），特殊情况确需兼职的，应当经有关部门批准。</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（六）营业场所的审核。县（市、区）监管部门应对营业场所的房产证、租赁合同等相关材料进行审查并进行现场核实。</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（七）公司管理和风险控制制度的审核。公司管理、贷款评审、决策流程、信息披露、应急管理、财务、统计、内审、风控等公司制度合法、合规、齐全、完整。</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第十一条 监管部门应按照小额贷款公司设立条件严格把关。</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一）县（市、区）监管部门负责受理小额贷款公司设立申请。依规进行实质审查，考察主发起人及股东企业，审查资金来源、财务状况和诚信状况；组织监管谈话，查看董事、监事和高级管理人相关证件的原件，审查任职资格了解其从业背景，落实股东面签；对营业地址进行实地核实。对审查合格的，在当地新闻媒体、其门户网站或同级政府门户网站公示，公示无异议后上报省辖市监管部门。省直管县（市）监管部门上报省政府金融办。</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（二）省辖市监管部门对县（市、区）监管部门上报的小额贷款公司设立材料复查审核后，在当地新闻媒体或监管部门门户网站公示无异议后，上报省政府金融办。</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（三）省政府金融办受理各省辖市、省直管县(市)监管部门和省直单位上报的设立申请材料后，经处室联审、专家评审、主任办公会审议、媒体公示等程序后，对无异议的下达设立批复。</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四）属地监管部门应督促小额贷款公司自批复文件之日起30日内，到工商行政管理部门办理登记手续，同时到省小额贷款公司账户归口管理的主办银行属地支行（以下简称“主办银行”）开设信贷专用账户和基本账户并报监管部门备案。小额贷款公司未开业前，其注册资本可在其主办银行定期存款或购买银行短期理财产品，可用于筹备期间的运营支出，但不允许发放贷款。</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第十二条 小额贷款公司的开业。小额贷款公司应当在领取营业执照3个月内开业。开业前应按照《河南省小额贷款公司设立审批工作指引》向属地监管部门提出开业申请，市、县监管部门出具审核意见报省政府金融办。省政府金融办会同属地监管部门组织开业验收：听取小额贷款公司筹建及开业情况汇报，检查银行账户开立与资本金在位情况，检查营业场所设置与内控制度建设情况，组织董事、监事和高级管理人员履行职责相关知识考核，符合条件的下达开业批复。小额贷款公司因故不能按时开业的，应提前15日向监管部门提出延期开业申请。无故逾期开业达到3个月的取消小额贷款公司试点资格。</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第十三条 设立网络小额贷款公司，按照《河南省网络小额贷款公司监管指引（试行）》执行。</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第二节 变更</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第十四条 小额贷款公司变更事项审核工作，实行分工负责、分级审批。审核工作按照《河南省小额贷款公司变更审批工作指引（暂行）》的规定执行，小额贷款公司持批复文件到工商行政管理部门办理变更登记。</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（一）以下变更事项由省辖市、省直管县（市）监管部门审批，报省政府金融办备案。</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1.变更公司名称（公司组织形式变更除外）；</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2.变更公司住所（非同一县〔市、区〕行政区域除外）；</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3.变更股权结构（不涉及第一大股东且变更比例低于第一大股东现有股份）；</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4.变更董事、监事、高级管理人员（公司法定代表人、董事长、执行董事、总经理除外）；</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5.上述变更事项涉及的章程变更。</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（二）以下变更事项经省辖市、省直管县（市）监管部门审核后，报省政府金融办审批。</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1.变更公司组织形式；</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2.变更注册资本；</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3.变更股权结构（涉及第一大股东或其他一致行动人股东合计持股变更比例高于第一大股东现有股份）；</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4.变更业务经营范围；</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5.跨县（市、区）行政区域变更公司住所；</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6.变更公司法人、董事长、执行董事、总经理；</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7.上述变更事项涉及的章程变更。</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8.省政府金融办按照审慎性原则要求上报审批的其他变更事项。</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第十五条 省辖市、省直管县（市）监管部门负责审批的变更事项，应自变更批复文件下发之日起5个工作日内将变更批复文件上报省政府金融办备案；属地监管部门应督促小额贷款公司30日内完成工商变更登记并向河南省小额贷款公司业务信息监管系统报送变更情况。市、县监管部门应按文书类档案管理要求，对企业变更材料、审核工作底单、呈报审批手续及批复文件等建档存放。</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第十六条 原则上不进行小额贷款公司跨行政区域住所变更。确因特殊原因需要同城跨行政区域变更住所的，应经迁入地县（市、区）政府同意并出具履行监管和风险处置责任的意见，逐级报省政府金融办审核批准。</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第十七条 监管部门应严格变更事项审核，可采取材料审查和外部调查相结合、股东面签和高管约谈相结合、行政审核和专业审查相结合等方式，依法开展变更事项核查审批工作。通过国家企业信用信息公示系统、河南省注册会计师网等信息平台，对变更事项涉及信息进行查证；组织股东面签，核对股权结构、章程约定、相关证件、证照等；对拟任董事、监事及高级管理人员进行约谈和相关知识考试；对新股东公司治理和经营情况等进行实地考察。</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第十八条 监管部门在变更审核中，对变更申请材料不齐全或不符合规定的，应一次性告知需要补正的全部内容，并要求其限期予以补正。对小额贷款公司存在一般性违规经营情况的要及时督促其改正；对存在较大违规经营问题的应及时中止变更，提出监管意见并监督其改正；对提供虚假材料、隐瞒真实情况或通过其他方式骗取变更审批的，监管部门应立即核查其风险隐患，采取停止变更审核或停业整顿等措施，并上报省政府金融办。</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第三节 终止</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十九条小额贷款公司的解散。小额贷款公司因分立、合并或出现章程规定的解散事由需要解散的,或自愿申请退出的，由小额贷款公司提出申请，属地监管部门收缴开展小额贷款公司试点批复文件并公示无异议后上报省政府金融办。省政府金融办批准后，属地监管部门应督促小额贷款公司持批复文件及时到工商行政管理部门办理注销事宜。</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第二十条 小额贷款公司试点资格的撤销（取消）。小额贷款公司因发生严重违法违规行为，需要强制性撤销或取消试点资格的，属地监管部门应调查核实，在新闻媒体或门户网站公示后，逐级上报省政府金融办。被撤销（取消）试点资格的小额贷款公司，其法人主体资格依然存在，继续承担相应债务。被撤销（取消）试点资格且债务清偿完毕的小额贷款公司，县（市、区）监管部门应当督促其及时办理注销登记。对不配合注销登记的，属地监管部门应告知其录入国家企业信用信息公示系统对各股东及高级管理人员信用信息可能的影响与后果，并及时启动化解风险应急预案，会同有关部门做好风险处置和化解工作。</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第二十一条 小额贷款公司的破产。小额贷款公司被人民法院依法宣布解散的，按法院判决执行。小额贷款公司不能清偿到期债务,并且资产不足以清偿全部债务或者明显缺乏清偿能力的，应当依法实施破产。小额贷款公司申请破产的，自申请破产之日起，停止开展相关业务。破产程序依照《中华人民共和国企业破产法》的规定执行。</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第三章 股东、管理人员和账户资金监管</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第一节 股东管理</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第二十二条 加强股东资质管理。监管部门应按照设立小额贷款公司出资主体的规定，加强对小额贷款公司股东出资能力、资金来源、信用状况等情况的审查，确保入股资金来源合法，不以借贷资金入股，不以他人委托资金入股，不以非法集资入股。小额贷款公司股东应当按照监管要求，出具入股资金来源真实合法、依法合规经营等书面承诺等。监管部门和小额贷款公司应当加强股东信息披露，将股东声明、承诺事项及股东履约情况作为重大事项纳入信息披露范围，加强市场约束，提高透明度。</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第二十三条 延伸股东管理。监管部门认为必要时应当要求小额贷款公司股东通过持股小额贷款公司及时报送下列信息：经审计的企业年度财务会计报告；企业注册资本变更和分立合并事项；5%（含）以上股权变更、实际控制方变更和引进战略投资者等情况；关联方变更情况；重大诉讼、纠纷和重大风险隐患、重大经营变化事项；监管部门要求报送的其他信息。</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第二十四条 加强股权管理。监管部门和小额贷款公司应当规范股东持股行为。小额贷款公司主发起人（第一大股东）持有的股权自公司成立之日起3年内原则上不得转让，其他股东持有的股权自公司成立之日起2年内原则上不得转让，法定代表人和高级管理人员持有的股权，在任期内原则上不得转让。确因特殊情况，主发起人（第一大股东）需要股权转让的，由属地政府或省级主管部门出具风险防范与处置责任意见后按程序报批。其他股东股权转让的，按本指引变更审批程序办理。依法被责令转让或者由人民法院判决转让的除外。小额贷款公司向银行业金融机构融资时需要抵（质）押物的，可以将公司股权用于抵（质）押担保或反担保。小额贷款公司股东不能将其股权用于其他项目抵（质）押。</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第二节 董事、监事和高级管理人员监管</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第二十五条 本指引所称董事是指小额贷款公司的董事长、副董事长、独立董事和其他董事会成员。监事是指小额贷款公司的监事长、执行监事、副监事长和其他监事会成员。高级管理人员是指小额贷款公司的总经理、副总经理、首席风险官、财务负责人以及其他对公司经营管理具有决策权或者对公司风险控制起重要作用的人员（含未担任上述所列职务或虽称谓不同，但实际履行董事、监事、高级管理人员职责的人员）。</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第二十六条 小额贷款公司董事、监事、高级管理人员的任职资格应符合《河南省小额贷款公司试点管理暂行办法》的规定，有下列情况之一的禁止担任小额贷款公司董事、监事、高级管理人员：</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（一）有故意犯罪或重大过失犯罪记录的；</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（二）因违反职业操守或者工作严重失职给所任职的机构造成重大损失或者恶劣影响的；</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（三）最近五年担任因违法经营而被撤销、接管、合并、宣告破产或者吊销营业执照的机构的董事、监事、高级管理人员，并负有个人责任的；</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（四）曾在履行工作职责时有提供虚假信息等违反诚信原则行为，或指使、参与所任职机构对抗依法监管或案件查处，情节严重的；</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（五）被禁止从事担保或金融行业工作的年限未满的；个人或配偶有数额较大的到期未偿还债务的；</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（六）法律、法规规定的其他情形。</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第二十七条 严格任职资格审查。市、县监管部门应采取资料审查、从业调查、平台查询、约谈面签等形式，加强对拟任小额贷款公司董事、监事、高级管理人员任职资格的审查。拟任董事、监事及高级管理人员在任职资格被核准前不得实际履职。</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第二十八条 加强履行职责情况监管。监管部门应通过监管约谈、风险提示、法律法规学习、业务培训、警示教育等形式，加强对小额贷款公司董事、监事和高级管理人员履行依法合规经营职责情况的监管，对其履行职责情况进行综合评价。小额贷款公司董事、监事、高级管理人员在任职期间出现下列情形之一的，监管部门应将其认定为不适当人选，并要求公司进行变更：</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（一）向监管部门提供虚假信息或者隐瞒重大事项的；</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（二）拒绝或不配合监管部门履行监管职责的；</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（三）因个人原因一年内累计两次被监管部门进行监管谈话的；</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（四）对小额贷款公司违法违规行为或者重大风险负有主要责任的；</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（五）监管部门认定的其他情形。</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第三节 账户及资金运用监管</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第二十九条 小额贷款公司账户监管。小额贷款公司账户管理实行主办银行制，小额贷款公司应在主办银行开设信贷专用账户和基本账户。信贷专用账户用于发放和回收贷款、收取利息、与基本账户资金往来，不得办理其他业务。基本账户主要用于公司日常经营支取、人员薪酬发放、缴纳税金社保、与信贷专用账户的资金往来等。主办银行应将小额贷款公司开立银行账户情况报属地监管部门备案，同时每月5日前向属地监管部门提供小额贷款公司上月银行对账单明细。小额贷款公司原则上不得在主办银行外开立账户。</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小额贷款公司通过银行融入资金时，若融资银行和主办银行不是同一家银行，融资银行对小额贷款公司的融资有封闭运行监管要求的，可以在融资银行开立一个专用账户，专项用于小额贷款公司融资贷款的发放和本息收回，不得办理其他业务。该账户在融资期限届满后撤销。</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第三十条 注册资本金监管。小额贷款公司的注册资本金来源应真实合法、权属明晰、无法律瑕疵，全部为实收货币资本，由出资人一次足额缴纳,且不得以借贷资金或他人委托资金出资。</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第三十一条 运营资金监管。小额贷款公司运营资金来源于本公司的注册资本金，以及按本省规定的融资方式融入的资金及捐赠资金。小额贷款公司各类债务性融资余额总计不得超过公司资本净额的200%。监管部门应加强对小额贷款公司资金运用情况的管理和分析，确保合法合规使用。</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第三十二条 风险准备金监管。小额贷款公司应按照《金融企业准备金计提管理办法》（财金〔2012〕20）有关规定，于每年年终按照风险资产余额的1.5%提取一般（风险）准备金。同时，小额贷款公司要建立完备的风险拨备制度，在税前按季计提贷款损失准备。贷款损失准备包括贷款损失一般准备、贷款损失专项准备。贷款损失一般准备应按不低于贷款余额的1%计提。贷款损失专项准备应按五级分类原则计提：对于正常类贷款，计提比例为1.5%；对于关注类贷款，计提比例为3%；对于次级类贷款，计提比例为30%；对于可疑类贷款，计提比例为60%；对于损失类贷款，计提比例为100%。</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第三十三条 小额贷款公司应按照《金融企业财务规则》要求，建立健全财务会计制度、风险控制管理制度、资产分类制度和拨备制度，准确进行资产分类，充分计提呆账准备金。严格遵守《现金管理暂行条例》，信贷业务主要采用转账方式支付，减少现金交易，库存现金不得高于《现金管理暂行条例》规定的限额，并于每月10日前向监管部门提供上月末各银行账户对账单。</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第四章 经营活动监管</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第一节 经营业务监管</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第三十四条 禁止性行为监管。小额贷款公司应严格依法合规经营，严禁以下行为：</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（一）严禁非法吸存。小额贷款公司不得进行任何形式的内部集资，不得吸收或变相吸收社会公众存款。</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（二）严禁账外经营。小额贷款公司各项经营活动核算必须按会计制度记账、登记，所有经营收入及支出必须列入会计账册，不得在小额贷款公司运作资金以外筹集资金搞账外放贷、账外借款、账外拆借等。</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（三）严禁高利放贷。小额贷款公司必须严格执行贷款利率政策，贷款综合利率不得高于司法部门规定的上限。</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四）严禁财务弄虚作假和抽逃注册资本。小额贷款公司财务会计报告必须如实地反映经营情况，保证财务数据的真实性，不得凭空捏造、修饰财务报表和数据。会计核算必须根据经营情况填制凭证、根据凭证登记账簿、根据账簿编制财务会计报告，做到内容真实、数字准确、资料可靠。</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五）严禁采用不法手段收贷。小额贷款公司须按照合同约定或相关法律法规的规定，通过催收、扣收、处理变卖抵押物、加罚利息等合法手段依法收贷，不得采用利诱、恐吓、人身威胁等不法手段进行恶意收贷或暴力追偿行为。</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（六）严禁投资基金类、投资类、担保类、典当类、拍卖类、寄售类公司和网络借贷信息中介机构。</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（七）严禁开展担保业务和为民间借贷提供中介服务。</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（八）严禁对外担保。</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（九）严禁设立分支机构或向其他组织、机构和经营场所派驻业务人员从事贷款业务，以及委托其他单位和个人代办贷款业务。</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（十）严禁违法违规宣传。</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第三十五条 经营范围监管。小额贷款公司经属地监管部门审核，省政府金融办批准可经营下列业务：</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（一）办理各项小额贷款；</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（二）办理中小企业发展、管理、财务等咨询业务；</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（三）经省政府金融办批准的其他业务。</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（四）小额贷款公司开展创新业务，按照豫政金〔2017〕143号文件规定执行。</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第三十六条 经营区域监管。小额贷款公司不得在监管部门核定的经营区域外开展业务。小额贷款公司申请扩大经营区域的，须符合省政府金融办《关于贯彻落实豫政办〔2017〕30号文件精神做好小额贷款公司发展与监管工作的通知》（豫政金〔2017〕143号）规定。</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第三十七条 业务内容监管。对小额贷款公司的经营业务监督管理主要包括但不限于以下内容：</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一）贷款投向。小额贷款公司对外贷款须坚持“小额、分散”的原则和“支农、支小”的主业导向；单一客户贷款余额不得超过公司资本净额的5%；不得拆分资金向同一客户或关联客户发放贷款以规避比例管理；不得向公司股东及其关联方等发放贷款。</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（二）融资情况。向银行业金融机构和其他金融机构融资、向主要法人股东定向借款和其他融资方式融入的资金总额不得超过规定比例。</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（三）股权结构及注册资金。未经批准，不得变更股权结构或注册资本金；不得抽逃注册资本、虚假出资。</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（四）以自有资金进行对外投资，应符合省政府金融办《关于贯彻落实豫政办〔2017〕30号文件精神做好小额贷款公司发展与监管工作的通知》（豫政金〔2017〕143号）规定。</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（五）经营范围监管。小额贷款公司应在核准的经营范围内从事经营活动，未经批准不得开展新业务、扩大业务范围，不得对外担保、发放委托贷款等。</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六）贷款合同监管。小额贷款公司应建立贷款合同档案管理制度；贷款合同应具备以下要素：合同编号；贷款金额、利率、期限、用途等相关信息；借款人及担保人身份信息、联系方式；贷款支付及还款方式、违约责任等。贷款合同的监管检查，对于发现有虚假贷款业务的公司，应会同有关部门依法进行查处。</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七）财务监管。小额贷款公司应执行《金融企业财务规则》等相关金融财务管理制度，建立健全企业财务会计制度，建立审慎规范的资产分类制度、拨备制度和内控机制；参照《金融企业准备金计提管理办法》（财金〔2012〕20号）计提风险准备金，资产损失准备充足率始终保持100%以上。账户管理应符合监管要求，不得多头开立账户、现金收取本金和利息、库存大额现金、通过一般账户开展贷款业务。</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八）信息披露。小额贷款公司应及时向河南省小额贷款公司业务信息监管系统报送信息，并保证各项数据真实、准确、完整；应建立信息披露制度，按要求向相关部门、公司股东、融资银行等披露财务报告和年度经营情况、融资情况、重大事项等信息。</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（九）非法吸储行为。小额贷款公司不得开展内部集资、非法集资和变相吸收公众存款行为等。</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（十）账外经营行为。各项经营活动应按会计制度记账、登记，所有经营收入及支出须列入会计账册，不得账外借款、账外放款、账外拆借等。</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（十一）高利放贷行为。小额贷款公司应严格执行贷款利率政策规定，除正常的利息收入外，不得向客户收取或变相收取其他费用等，贷款综合费率不得高于司法部门规定的上限。</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（十二）财务弄虚作假行为。小额贷款公司财务会计报告应如实反映经营情况，应根据经营情况填制凭证、根据凭证登记账簿、根据账薄编制财务会计报告。</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（十三）不法手段收贷行为。小额贷款公司收贷应符合合同约定及相关法律法规规定，不得以不法手段恶意收贷或暴力追债。</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（十四）其他监管内容。</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第二节 公司治理和内部控制监督</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第三十八条 公司治理和内部控制的监督。</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一）小额贷款公司应按照《公司法》要求，建立和完善“三会一层”的议事规则和决策程序，明确股东会、董事会、监事会和经营层之间的权责关系，制定稳健有效的议事规则、决策程序和内审制度，提高公司治理的有效性。</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二）小额贷款公司应建立健全贷前调查、贷中审查和贷后检查等贷款管理制度，防范信贷风险。小额贷款公司应按照相关规定建立审慎规范的资产分类制度，完善贷款损失准备计提制度，确保资产损失准备充足率始终保持在100%以上，全面覆盖风险。</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（三）小额贷款公司应加强内部控制，建立健全企业财务会计制度，真实全面反映企业业务和财务活动。</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（四）小额贷款公司须有独立设置的风险管理部门；须有贷款项目的完善审批流程；须有标准、规范的贷款合同；须有规范的财务核算、会计账簿、报表；须有管理规范的贷款业务档案。</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第三节 经营场所监管</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第三十九条 小额贷款公司经营场所布置应符合要求，在其经营场所醒目位置悬挂下列标示：</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（一）省级监管部门批复的设立文件、工商部门颁发的营业执照、税务部门颁发的税务登记证；</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（二）不参与非法集资、不吸收公众存款的警示牌；</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（三）监管部门统一制作的小额贷款公司规范经营公告牌；</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（四）属地监管部门和处置非法集资部门的举报电话；</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（五）小额贷款公司合规经营自律承诺标识牌（合规经营承诺应包括不参与非法集资、不吸收或变相吸收公众存款、不超过规定利率区间发放贷款、不超范围经营和不超区域开展业务等内容）；</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（六）小额贷款办理程序指引、贷款流程和办理贷款所需提供的资料。</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第四章 监管方式</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第一节 非现场监管</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第四十条 本指引所称的非现场监管，是指各级监管部门按照审慎监管原则，全面、持续地收集、监测和分析小额贷款公司的经营管理信息，报表数据及其他内外部资料等信息，对小额贷款公司风险状况和运营情况进行分析评价，并采取相应措施的持续性监管过程。</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第四十一条 非现场监管要坚持以风险监管为核心，重点关注合规经营和风险状况。主要内容包括监管信息采集与核实、日常监管分析与使用、举报信息核查与处理、监管重大事项报告、风险预警与提示、约见谈话、监管档案整理和归档等。</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第四十二条 监管部门应按照监管要求全面采集辖区内小额贷款公司经营和风险状况的动态信息，依托河南省小额贷款公司业务信息监管系统、河南省企业信用信息公示警示系统、裁判文书网、河南注册会计师网、公众举报、中介机构、新闻媒体以及要求小额贷款公司报送情况等途径采集信息。</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第四十三条 严格统计报送制度。小额贷款公司应将自身经营情况完整、准确、及时地录入河南省小额贷款公司业务信息监管系统，明确专人负责统计报送工作，在每月5日前报送上月业务统计报表，每季度后5日前报送上季度业务统计报表，在设立或变更登记完成后10个工作日内报送相关信息。监管部门应将小额贷款公司落实数据采集报送制度情况列入监管评价和考核内容。</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第四十四条 加强非现场监管信息监测分析。市、县监管部门应根据持续监管的要求，及时对非现场监管信息进行监测分析和处理，每月10日前省辖市监管部门向省政府金融办报送上月辖区内小额贷款公司业务统计汇总报表，每季度后10日前报送上季度辖区小额贷款公司业务统计汇总报表和《季度日常监管分析报告》，全面深入揭示小额贷款公司风险状况，判断小额贷款公司的风险变化趋势，提出下一阶段监管工作计划。每年2月底前逐级以书面形式上报《小额贷款行业年度发展与监管情况报告》。</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第四十五条 加强针对性监管。监管部门应根据非现场监测中反映的小额贷款公司可能存在的问题，及时予以调查核实。核实的方式包括询问、要求提供材料、约见会谈和现场调研。对存在风险隐患的，应及时向小额贷款公司进行风险预警提示，要求其关注风险，进行整改并及时跟进整改落实情况。对存在严重违规问题和风险隐患整改不力或未能有效控制风险的，监管部门应召集小额贷款公司董事、高管约谈，督促其严格执行监管意见的各项要求，严格按时整改。对涉及重大违规违法经营行为或已形成重大风险的，应立即采取停业整顿、取消试点资格或移交司法机关处理等措施。</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第四十六条 监管部门应建立非现场监管档案管理制度。非现场监管档案包括小额贷款公司报送的各类信息资料、通过中介机构等渠道采集的信息;日常监管分析报告及附表；采取各类监管措施的文件、法律文书和书面记录（包括风险预警提示书、监管意见书、举报电话记录、约见谈话通知书、会谈纪要、监管日志、工作底稿）等。每年度结束后，监管部门应将非现场监管信息资料进行整理、分类、归档并装订成册，立卷保存。</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第二节 现场检查</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第四十七条 现场检查是指各级监管部门根据年度工作安排以及日常监管监测发现的问题，按照规定程序进入小额贷款公司进行的年审、专项性和临时性现场检查。</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第四十八条 小额贷款公司年审，是由各级监管部门按照《河南省小额贷款公司年审办法》的规定，对小额贷款公司上一经营年度的经营情况开展的年度常规性检查。县级监管部门负责本辖区小额贷款公司年审的现场检查和初审工作，省辖市监管部门负责本辖区小额贷款公司年审的复核工作，省政府金融办负责省直管小额贷款公司年审工作和现场检查，并对省辖市和省直管县（市）上报的年审情况进行审核。</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第四十九条 专项性现场检查是指各级监管部门根据年度安排和本地监管工作实际，针对小额贷款公司业务运行情况专项组织开展现场检查。临时性现场检查由各级监管部门针对非现场监管、举报等途径发现的问题，突击性组织的现场检查。县级监管部门对辖区内小额贷款公司的专项性现场检查每季度至少一次；市级监管部门每年对所辖县（市、区）小额贷款公司专项性现场检查至少一次；省政府金融办每年对全省小额贷款公司的专项性现场检查应不低于5%的比例。</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第五十条 监管部门进行现场检查，可以采取下列措施：</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（一）深入小额贷款公司营业场所进行检查；</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（二）询问小额贷款公司的董事、监事和高级管理人员，要求其对有关检查事项作出说明；</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（三）查阅、复制小额贷款公司与检查事项有关的文件、资料等；</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（四）电话核实贷款台账有关信息等；</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（五）拷贝电子业务台账，财务电脑相关财务数据资料等。</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现场检查时，检查人员不得少于2人，并向小额贷款公司出示检查通知书和相关证件，必要时可以从会计师事务所、律师事务所、专业评级机构等聘请专业技术人员协助检查。</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每次现场检查应形成书面报告，针对相关问题，应有监管整改要求和处理决定等内容，书面送达被检查对象，并报上级监管部门，作为年度概览编写的重要依据。检查结束后，监管部门应将现场检查的全部文书和相关底稿资料制作成检查案卷，存档保存，以备查考。</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五十一条现场检查的重点。包括但不限于以下内容：管理薄弱、风险较高或风险呈明显上升趋势的领域；非现场监管数据指标出现重大异常变化，可能存在问题或有问题需要进一步查证核实的领域；非现场监管中难以获得充分信息、需要通过现场检查深入了解的领域；发展战略、风险管理和内部控制架构等发生重大变化的。</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五十二条现场检查的实施。实施现场检查前，监管部门应制定《现场检查方案》，明确检查范围、检查目标、检查内容和重点、预定的检查工作起止时间、检查组成员分工等，根据需要可开展现场检查培训，并提前下发《现场检查通知书》。</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实施现场检查时，应召开进点会，向小额贷款公司宣读《现场检查通知书》，告知检查目的、范围、内容、方式、时间以及小额贷款公司的权利和义务等，听取小额贷款公司相关汇报，向小额贷款公司提出配合检查工作的要求事项，并确定具体的联络人员。</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第五十三条 检查人员根据《现场检查方案》灵活运用抽样、核对、审阅、账户分析、实地观察、询问调查等检查技术和方法进行现场检查，有针对性地收集包括书面材料、实物、电子数据资料、口头证据、鉴定结论和勘验笔录等相关的材料，整理形成现场检查材料，并由小额贷款公司主要负责人签名或者盖章;不能取得小额贷款公司主要负责人签名或者盖章而由其他负责人签名或者盖章的，检查人员应当注明原因。</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第五十四条 检查组应根据检查发现的问题，作出评价，提出处置建议、整改意见和监管要求，形成《现场检查报告》。对于不涉及监管处置的，由监管部门出具《现场检查意见书》;对于涉及监管处置的，在出具《现场检查意见书》的同时，还应依照相应规定进行风险处置，涉及非法吸储等行为应依法依规移交相关部门处理。监管部门应及时跟进小额贷款公司的具体整改情况并及时组织整改验收。</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第五十五条 检查人员必须依法办事，不得干预检查对象正常经营活动，不得利用职务便利牟取不正当利益，不得泄露所知悉的检查对象的商业秘密。检查人员应对《现场检查工作底稿》和《现场检查报告》的真实性和完整性负责;对未执行《现场检查实施方案》导致重大问题未发现的、检查过程中发现问题隐瞒不报或者未如实反映的以及检查查出的问题严重失实的要承担责任。</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第五十六条 年审、专项现场检查和临时现场检查结束后，监管部门应收集整理和检查相关的所有材料，建立档案保存。现场检查档案包括：企业年审材料、现场检查通知书;现场检查方案;现场检查会谈记录;现场检查工作底稿及取证材料等附件;现场检查报告;现场检查意见书;监管处置资料;其他材料。</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第三节 投诉查处</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第五十七条 监管部门要建立渠道畅通、反应迅速的监管举报制度，在小额贷款公司营业场所公布投诉举报电话。根据举报人提供的情况或线索，当地监管部门负责核实情况并及时作出处理。</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（一）受理。监管部门对有明确的投诉举报对象及违法行为，被投诉举报的对象或违法行为在本投诉举报机构所辖区域内，且为实名投诉举报的应予受理。</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（二）转办。按照属地管理原则，上级监管部门向承办的监管部门下发督查通知，提出督办要求。承办的监管部门应在要求的期限内形成监管报告，上报上级监管部门，并按时向投诉举报人反馈。</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（三）督办。监管部门对已受理的投诉举报应跟踪了解办理情况，必要时可采取听取汇报、查阅资料、实地察看、专访调查或座谈等方式了解情况。</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第五十八条 下列情形者不在受理范围：</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（一）属于各级人民代表大会以及县级以上（含县级）人民代表大会常务委员会、人民法院、人民检察院职权范围内处理的；</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（二）已进入司法程序、行政复议程序、劳动仲裁程序或已作出司法、复议、仲裁裁定（决）的；</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（三）依法应当进入诉讼、复议、仲裁程序解决的；</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（四）涉法涉诉案件应由政法部门处理的；</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（五）依法进入改制程序或已经改制终结的国有、集体企业涉及的；</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（六）已经进入复查复核程序的信访事项，正在法定办理期限内又要求进入的；</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（七）没有法规政策依据的或法律政策有明确规定的其他不予受理情形；</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（八）信访事项已经复核终结的；</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（九）不属于监管办法规定的监管事项。</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第五章 风险防范与处置</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第五十九条 各级监管部门应当协调有关部门，建立小额贷款公司重大风险预警机制、重大风险报告机制和重大风险协调处置机制，制定辖区小额贷款公司重大风险突发事件应急管理预案，妥善处理小额贷款公司重大风险事件。在发现辖区小额贷款公司重大风险后，要及时向同级政府报告情况，并依规依法采取处置措施。同时要在重大风险或风险事件发现24小时内、处理后2个工作日内向省政府金融办书面报告情况，报告内容包括重大风险事件的情况、可能产生的风险、已采取和拟采取的应急措施。</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第六十条 小额贷款公司重大风险包括以下情形：</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（一）小额贷款公司发生本指引第三十四条各款禁止性行为可能造成重大影响的；</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（二）未经监管部门批准私自变更股权、高管人员等审批事项或设立分支机构、超范围超区域经营的；</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（三）为规避监管，提供虚假或者隐瞒重要事实的财务信息、业务合同、统计报表、报告文件等资料的；</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（四）拒绝、阻扰非现场监管或者现场检查，或拒不接受风险提示、拒不整改风险隐患、拒不落实监管指令，以及在监管部门的行政告诫、警告、责令改正的期限内因主观原因不及时进行整改的；</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（五）小额贷款公司发生重大贷款诈骗、重大逾期、重大不良或投资损失，可能引发破产、解散或长期停业失联的；</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（六）因小额贷款公司原因引发群体事件的；</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（七）小额贷款公司因涉嫌违法违规被行政机关、司法机关立案调查的：</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（八）3个月内，小额贷款公司董事会、监事会或高级管理层中有二分之一以上辞职的；</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（九）小额贷款公司负责人失踪、非正常死亡或丧失民事行为能力的，或被司法机关依法采取强制措施的；</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（十）存在其他违反法律、法规规定行为可能影响社会稳定或引发风险事件的；</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（十一）监管部门要求报告的其他情况。</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第六十一条 各级监管部门应加强对辖区小额贷款公司的风险监测、风险评估和风险排查，重点排查小额贷款公司的信用风险、流动性风险、市场风险、操作风险、合规风险、逾期风险和法律风险，以及有风险苗头、群众举报或经营异常的小额贷款公司。</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第六十二条 各级监管部门要建立完善小额贷款公司风险监管与处置。发现小额贷款公司存在违法违规行为的，视性质、情节及对社会危害程度，可采取诫勉谈话、风险提示等方式，责令其限期改正。对拒不接受风险提示、拒不整改风险隐患、拒不落实监管指令的，属地监管部门可采取责令停业整顿、停止批准或取消已开办新业务、取消有关财政税收等优惠政策、建议银行等金融机构取消融资及其他合作业务、撤销试点资格、提请吊销营业执照、提请司法机关冻结账户，提请列入全国法院系统失信被执行人，将公司参与违规经营股东及高级管理人员列入行业“黑名单”,并将其违规违法行为录入河南省企业信用信息警示系统等监管措施。对涉嫌犯罪的,及时移交司法机关依法查处。</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第六十三条 建立小额贷款公司监管工作问责制度，对故意迟报、瞒报、谎报真实情况酿成风险事件的，以及对风险事件未及时报告并妥善处置，导致损失扩大或风险蔓延的，按规定严格追究相关人员的责任。监管部门在履行日常监管职责过程中滥用职权、玩忽职守、徇私舞弊，或者泄露国家秘密、商业秘密的，依法依规进行处理。</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第六十四条 小额贷款公司违反法律、法规及本办法规定，有关法律、法规有处罚规定的，依照其规定给予处罚；有关法律、法规未作处罚规定的，由监管部门按照相关监管规定处理；涉嫌违法犯罪的，由有关部门依法追究刑事责任。监管部门在依法依规实施日常监督中，对不属于本部门职责范围的事项，应当及时移送相关管理部门。</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第六章 附则</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第六十五条 网络小额贷款公司监管工作按照《河南省网络小额贷款贷款公司监管指引》和本指引执行。</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第六十六条 有关法律、法规对本指引有关条款另有规定的，从其规定。</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第六十七条 本指引由省政府金融办负责解释，自发布之日起施行。</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pStyle w:val="3"/>
        <w:numPr>
          <w:ilvl w:val="0"/>
          <w:numId w:val="6"/>
        </w:numPr>
        <w:jc w:val="center"/>
        <w:rPr>
          <w:rFonts w:hint="eastAsia"/>
          <w:spacing w:val="-20"/>
          <w:sz w:val="44"/>
          <w:szCs w:val="44"/>
        </w:rPr>
      </w:pPr>
      <w:bookmarkStart w:id="51" w:name="_Toc26398"/>
      <w:r>
        <w:rPr>
          <w:rFonts w:hint="eastAsia"/>
          <w:spacing w:val="-20"/>
          <w:sz w:val="44"/>
          <w:szCs w:val="44"/>
        </w:rPr>
        <w:t>河南省小额贷款公司年审办法</w:t>
      </w:r>
      <w:bookmarkEnd w:id="51"/>
    </w:p>
    <w:p>
      <w:pPr>
        <w:keepNext/>
        <w:keepLines/>
        <w:spacing w:line="560" w:lineRule="exact"/>
        <w:ind w:firstLine="480" w:firstLineChars="200"/>
        <w:jc w:val="center"/>
        <w:rPr>
          <w:rStyle w:val="19"/>
          <w:rFonts w:hint="eastAsia" w:ascii="楷体" w:hAnsi="楷体" w:eastAsia="楷体" w:cs="楷体"/>
          <w:color w:val="000000"/>
          <w:sz w:val="24"/>
          <w:szCs w:val="24"/>
        </w:rPr>
      </w:pPr>
      <w:r>
        <w:rPr>
          <w:rStyle w:val="19"/>
          <w:rFonts w:hint="eastAsia" w:ascii="楷体" w:hAnsi="楷体" w:eastAsia="楷体" w:cs="楷体"/>
          <w:color w:val="000000"/>
          <w:sz w:val="24"/>
          <w:szCs w:val="24"/>
          <w:lang w:eastAsia="zh-CN"/>
        </w:rPr>
        <w:t>河南省人民政府金融服务办公室文件</w:t>
      </w:r>
      <w:r>
        <w:rPr>
          <w:rStyle w:val="19"/>
          <w:rFonts w:hint="eastAsia" w:ascii="楷体" w:hAnsi="楷体" w:eastAsia="楷体" w:cs="楷体"/>
          <w:color w:val="000000"/>
          <w:sz w:val="24"/>
          <w:szCs w:val="24"/>
          <w:lang w:val="en-US" w:eastAsia="zh-CN"/>
        </w:rPr>
        <w:t xml:space="preserve"> </w:t>
      </w:r>
      <w:r>
        <w:rPr>
          <w:rStyle w:val="19"/>
          <w:rFonts w:hint="eastAsia" w:ascii="楷体" w:hAnsi="楷体" w:eastAsia="楷体" w:cs="楷体"/>
          <w:color w:val="000000"/>
          <w:sz w:val="24"/>
          <w:szCs w:val="24"/>
          <w:lang w:eastAsia="zh-CN"/>
        </w:rPr>
        <w:t>豫政金</w:t>
      </w:r>
      <w:r>
        <w:rPr>
          <w:rStyle w:val="19"/>
          <w:rFonts w:hint="eastAsia" w:ascii="楷体" w:hAnsi="楷体" w:eastAsia="楷体" w:cs="楷体"/>
          <w:color w:val="000000"/>
          <w:sz w:val="24"/>
          <w:szCs w:val="24"/>
        </w:rPr>
        <w:t>〔20</w:t>
      </w:r>
      <w:r>
        <w:rPr>
          <w:rStyle w:val="19"/>
          <w:rFonts w:hint="eastAsia" w:ascii="楷体" w:hAnsi="楷体" w:eastAsia="楷体" w:cs="楷体"/>
          <w:color w:val="000000"/>
          <w:sz w:val="24"/>
          <w:szCs w:val="24"/>
          <w:lang w:val="en-US" w:eastAsia="zh-CN"/>
        </w:rPr>
        <w:t>15</w:t>
      </w:r>
      <w:r>
        <w:rPr>
          <w:rStyle w:val="19"/>
          <w:rFonts w:hint="eastAsia" w:ascii="楷体" w:hAnsi="楷体" w:eastAsia="楷体" w:cs="楷体"/>
          <w:color w:val="000000"/>
          <w:sz w:val="24"/>
          <w:szCs w:val="24"/>
        </w:rPr>
        <w:t>〕</w:t>
      </w:r>
      <w:r>
        <w:rPr>
          <w:rStyle w:val="19"/>
          <w:rFonts w:hint="eastAsia" w:ascii="楷体" w:hAnsi="楷体" w:eastAsia="楷体" w:cs="楷体"/>
          <w:color w:val="000000"/>
          <w:sz w:val="24"/>
          <w:szCs w:val="24"/>
          <w:lang w:val="en-US" w:eastAsia="zh-CN"/>
        </w:rPr>
        <w:t>141</w:t>
      </w:r>
      <w:r>
        <w:rPr>
          <w:rStyle w:val="19"/>
          <w:rFonts w:hint="eastAsia" w:ascii="楷体" w:hAnsi="楷体" w:eastAsia="楷体" w:cs="楷体"/>
          <w:color w:val="000000"/>
          <w:sz w:val="24"/>
          <w:szCs w:val="24"/>
        </w:rPr>
        <w:t>号</w:t>
      </w:r>
    </w:p>
    <w:p>
      <w:pPr>
        <w:keepNext/>
        <w:keepLines/>
        <w:spacing w:line="560" w:lineRule="exact"/>
        <w:ind w:firstLine="480" w:firstLineChars="200"/>
        <w:jc w:val="center"/>
        <w:rPr>
          <w:rFonts w:hint="eastAsia" w:ascii="楷体" w:hAnsi="楷体" w:eastAsia="楷体" w:cs="楷体"/>
          <w:bCs/>
          <w:sz w:val="32"/>
          <w:szCs w:val="32"/>
        </w:rPr>
      </w:pPr>
      <w:r>
        <w:rPr>
          <w:rStyle w:val="19"/>
          <w:rFonts w:hint="eastAsia" w:ascii="楷体" w:hAnsi="楷体" w:eastAsia="楷体" w:cs="楷体"/>
          <w:color w:val="000000"/>
          <w:sz w:val="24"/>
          <w:szCs w:val="24"/>
        </w:rPr>
        <w:t>20</w:t>
      </w:r>
      <w:r>
        <w:rPr>
          <w:rStyle w:val="19"/>
          <w:rFonts w:hint="eastAsia" w:ascii="楷体" w:hAnsi="楷体" w:eastAsia="楷体" w:cs="楷体"/>
          <w:color w:val="000000"/>
          <w:sz w:val="24"/>
          <w:szCs w:val="24"/>
          <w:lang w:val="en-US" w:eastAsia="zh-CN"/>
        </w:rPr>
        <w:t>15</w:t>
      </w:r>
      <w:r>
        <w:rPr>
          <w:rStyle w:val="19"/>
          <w:rFonts w:hint="eastAsia" w:ascii="楷体" w:hAnsi="楷体" w:eastAsia="楷体" w:cs="楷体"/>
          <w:color w:val="000000"/>
          <w:sz w:val="24"/>
          <w:szCs w:val="24"/>
        </w:rPr>
        <w:t>年</w:t>
      </w:r>
      <w:r>
        <w:rPr>
          <w:rStyle w:val="19"/>
          <w:rFonts w:hint="eastAsia" w:ascii="楷体" w:hAnsi="楷体" w:eastAsia="楷体" w:cs="楷体"/>
          <w:color w:val="000000"/>
          <w:sz w:val="24"/>
          <w:szCs w:val="24"/>
          <w:lang w:val="en-US" w:eastAsia="zh-CN"/>
        </w:rPr>
        <w:t>7</w:t>
      </w:r>
      <w:r>
        <w:rPr>
          <w:rStyle w:val="19"/>
          <w:rFonts w:hint="eastAsia" w:ascii="楷体" w:hAnsi="楷体" w:eastAsia="楷体" w:cs="楷体"/>
          <w:color w:val="000000"/>
          <w:sz w:val="24"/>
          <w:szCs w:val="24"/>
        </w:rPr>
        <w:t>月</w:t>
      </w:r>
      <w:r>
        <w:rPr>
          <w:rStyle w:val="19"/>
          <w:rFonts w:hint="eastAsia" w:ascii="楷体" w:hAnsi="楷体" w:eastAsia="楷体" w:cs="楷体"/>
          <w:color w:val="000000"/>
          <w:sz w:val="24"/>
          <w:szCs w:val="24"/>
          <w:lang w:val="en-US" w:eastAsia="zh-CN"/>
        </w:rPr>
        <w:t>6</w:t>
      </w:r>
      <w:r>
        <w:rPr>
          <w:rStyle w:val="19"/>
          <w:rFonts w:hint="eastAsia" w:ascii="楷体" w:hAnsi="楷体" w:eastAsia="楷体" w:cs="楷体"/>
          <w:color w:val="000000"/>
          <w:sz w:val="24"/>
          <w:szCs w:val="24"/>
        </w:rPr>
        <w:t>日印发</w:t>
      </w:r>
    </w:p>
    <w:p>
      <w:pPr>
        <w:numPr>
          <w:numId w:val="0"/>
        </w:numPr>
      </w:pP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第一章  总   则</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第一条  为加强对小额贷款公司的监督管理，促进行业规范发展，根据《中国银监会中国人民银行关于小额贷款公司试点的指导意见》（银监发〔2008〕23号）、《河南省人民政府办公厅关于开展小额贷款公司试点工作的意见》（豫政办〔2008〕100号）等有关规定，制定本办法。</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第二条  小额贷款公司年审，是指监管部门依据相关法律法规和政策规定，对小额贷款公司年度经营情况进行检查和审核。</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第三条  本办法适用于在河南省境内，经监管部门批准获得小额贷款公司试点资格，并在工商行政管理部门依法登记注册的小额贷款公司。</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第四条  县（市、区）监管部门负责辖区内小额贷款公司年审的初审工作，省辖市、省直管县（市）监管部门负责辖区内小额贷款公司年审的复核工作，省政府金融办负责省直管小额贷款公司年审工作，并对省辖市和省直管县（市）上报的年审情况进行审核。</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第五条  小额贷款公司年审时间为每年的2月1日至5月31日，省辖市、省直管县（市）监管部门应在此期间完成年审工作，省政府金融办于每年6月1日至8月31日完成全省小额贷款公司年审工作。</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第二章  申报材料</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第六条  小额贷款公司年审材料应包括但不限于以下内容：</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（一）《小额贷款公司年审报告书》（见附件1）。</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（二）小额贷款公司营业执照、机构代码证、税务登记证复印件以及全国企业信用信息公示系统中的相关查询信息（包括登记信息和备案信息），均需加盖公司公章。</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（三）年度经营报告，包括但不限于以下内容：</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 公司概况。包括公司治理、内部控制、风险管理制度建设、公司股东和董事、监事、高级管理人员基本情况，以及年度变更或重大事项说明。</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 年度经营情况。主要是资金使用情况、支持“三农”和小微企业发展方面的情况。包括小额贷款公司全部账户、货币资金余额、年度贷款余额情况、新增贷款情况、开业以来累计发生额及户数。对贷款单笔额度、贷款对象、贷款期限、贷款利率区间、贷款形式等业务情况进行分类分析。对贷款不良率、贷款质量进行分类，对准备金提取、资产负债与盈利等情况进行详细说明。</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 内部控制情况。按照《河南省小额贷款公司试点管理暂行办法》第三章“组织机构与经营管理”的规定，逐项自查说明内部制度的建立和实施情况。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 重点说明合规经营情况，是否有超范围经营，特别是有无非法集资、高息放贷、关联交易等情况。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以上四项内容需采用表格或单独说明形式的，可作为年度经营报告的附件。</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（四）1—12月份银行账户明细汇总表，并附完整的银行对账单复印件（加盖公司公章）。</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（五）年度专项审计报告。</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（六）材料真实性承诺书。</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（七）监管部门认为需要提交的其他材料。</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（九）年审各项数据起止日期为：年审年度1月1日—12月31日。</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第七条  年度专项审计报告包括但不限于以下内容：</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 实收资本情况。包括公司运营资金额及其构成，货币资金余额资产构成；全部股东名称、出资额、占总股本的比例；注册资本金实际在位情况，资本金完整性及使用情况，是否存在对外投资，挪用、抽逃资本金等。</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 开立账户情况。小额贷款公司基本账户与信贷业务专用账户开设、使用情况。列明所有发生信贷业务的账户情况。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 贷款业务情况。同一借款人的贷款余额是否超过小额贷款公司资本净额的5%；贷款发放和回收是否主要通过转账或银行卡等结算渠道；贷款利率是否符合法律规定，是否控制在央行公布的同期同档次贷款基准利率4倍以内；利息收入、手续费及佣金收入、其他收入等应分别列明；列明单笔发放最大金额，按年计算的最高贷款利率，按年计算的最低贷款利率，按年末贷款余额大小列出前10名贷款客户。</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 从银行融入资金情况。包括融入额、融入比例、融入资金成本，按融入银行分别列出明细。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 逾期贷款情况。列出逾期贷款明细，逾期贷款金额分别占贷额余额、运营资金和注册资本的比率；列明期末贷款余额、逾期贷款的账龄，以及逾期贷款的担保形式和抵押资产情况等。</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 拨备提取情况。贷款损失准备金、盈余公积金、一般风险准备金等各项准备金提取情况，是否按规定足额提取，有无占用或挪用情况。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 应收款项情况。应收款项的构成，应收账款的范围，应收款项与业务相关情况，是否存在与经营范围无关情况等。</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（八） 关联方交易情况。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（九） 利润分配情况。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 固定资产按大类列出明细，并分别列明标准、类别、计价方法、固定资产折旧年限等。</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（十一） 其他需说明的事项。</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小额贷款公司年度专项审计报告应按照附件模板样式出具，须带验证码或验证标识，并逐页加盖会计师事务所公章。</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第八条 出具小额贷款公司年度专项审计报告的会计师事务所，应对审计报告的真实性、合法性、合规性承担相关的法律责任。审计中，如发现小额贷款公司有违法违规行为，应当在出具的报告中提出。</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对于年度专项审计报告中意见为“无法发表意见”或“有保留意见”等含糊不确定的报告，属地监管部门组织专项检查。</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第九条 监管部门受理材料后，对年审材料不齐全或者不符合法定形式的，应一次性告知小额贷款公司需要补正的全部内容。小额贷款公司逾期不补正或经补正仍不齐全的，监管部门可不予受理。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第三章  审查重点</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第十条  审查重点包括但不限于以下内容：</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（一）基本证照情况。是否存在未经审批私自变更的情况，营业执照与设立、变更批准文件的内容是否一致，营业执照是否在有效期限内。</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（二）账户开立和使用情况。是否开设信贷业务专用账户，并专户专用。贷款业务专用账户是否违规发生其他业务，交易信息摘要是否准确、清楚。</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（三）资本状况。是否存在挪用、抽逃资本金等问题。</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经营情况。是否有超业务范围及区域经营的情况；是否有超比例或变相超比例发放贷款的情况；是否存在非法集资，非法吸收或变相吸收公众存款；是否发放高息贷款，变相提高贷款利率；是否向公司股东、董事、监事和高级管理人员及其关联方发放或变相发放贷款；逾期贷款和贷款损失准备提取情况，贷款损失准备金当年提取额与年末余额，盈余公积、一般风险准备是否按规定足额提取。</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（五）公司治理与内部控制情况。公司股东会、董事会、监事会、管理层等“三会一层”组织架构的建立情况，公司股东基本情况及变动情况，公司重大事项变动情况，公司内部控制制度建设和执行情况等。</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（六）信息报送情况。是否按照相关规定和要求，按时、真实地向监管部门填报公司业务信息、经营情况报告和财务数据。</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（七）重大风险事件报告情况。是否按规定向监管部门报告重大风险事件。</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八）董事、监事、高级管理人员履职尽责情况。包括小额贷款公司的董事、监事和高级管理人员调整变化情况，是否按照《河南省小额贷款公司试点管理暂行办法》和《公司章程》的相关规定履职尽责、依法依规经营。其中，财务负责人是否严格执行国家财务会计制度的规定，风控负责人是否严格执行公司的风控制度，从业人员是否熟悉小额贷款公司的相关管理规定。</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（九）各级监管部门需要审核的其他情况。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第四章  年审程序</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第十一条  小额贷款公司年审程序：</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 小额贷款公司按照本办法有关要求准备材料，开展年审自查，向属地监管部门报送年审材料。</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 县（市、区）监管部门对小额贷款公司年审材料进行初审，审查结果在当地主要新闻媒体、监管部门或县（市、区）政府门户网站公示无异议后，上报省辖市监管部门。</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 省辖市监管部门对市直管小额贷款公司和县（市、区）监管部门上报的年审材料进行复核，审查结果在当地主要新闻媒体、监管部门或省辖市政府门户网站公示无异议后，年审结果文件报省政府金融办，并报同级人民政府、本级小额贷款公司联席会议成员单位。</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 省直管县（市）小额贷款公司的年审工作由属地监管部门负责。审核结果在当地主要新闻媒体、监管部门或县（市、区）政府门户网站公示无异议后，年审结果文件报省政府金融办，并报同级人民政府、本级小额贷款公司联席会议成员单位。</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省政府金融办对省直管小额贷款公司的年审材料进行审查，对省辖市和省直管县（市）监管部门的年审情况进行审核。审查结果在省级新闻媒体和河南省政府金融网站公告，同时抄送河南省金融工作领导小组成员单位。</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第五章  年审结果</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第十二条  小额贷款公司的年审结果分别为“通过”、“不通过”。</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（一）通过。按时参加年审并且年审事项符合规定，年审结果为“通过”。</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（二）不通过。小额贷款公司有下列情形之一者，年审结果为“不通过”。</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1．不参加行业年审的。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2．以虚假材料、虚假出资或通过其他方式骗取设立、变更等审批事项的。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3．提供虚假业务信息或拒不报送统计报表的。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4．被各级打击和处置非法集资领导小组办公室或司法机关认定存在严重违法经营行为的。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5．存在受托发放贷款、抽逃注册资本、非法吸收存款、暴力收贷、金融诈骗、账外经营等违法经营行为的。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6．发生重大风险状况，被列为高风险企业的。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7．拒不配合监管部门日常监管或不按监管要求进行整改且情节严重的。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8．连续半年未开展贷款业务的。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9．监管部门规定的其他情形。</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（三）存在下列情形的，监管部门应指出存在问题、提出整改要求、明确整改期限、监督整改落实。经整改符合规定的，年审结果可为“通过”，但年审公示中须注明为“整改后通过”。</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1．未经监管部门批准，变更有关事项或跨区域开展贷款业务情节较轻的。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2．经营许可证载明内容与工商营业执照不一致；公司外部标识、宣传资料等与经营许可证载明内容不一致；未在明显位置对外悬挂合法经营公告和举报电话的。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3．未按规定报送有关数据及财务报表的。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4．超比例发放贷款，高息发放贷款的，向公司股东、董事、监事和高级管理人员及其关联方发放或变相发放贷款的。</w:t>
      </w:r>
    </w:p>
    <w:p>
      <w:pPr>
        <w:ind w:firstLine="640" w:firstLineChars="200"/>
        <w:rPr>
          <w:rFonts w:ascii="仿宋_GB2312" w:hAnsi="仿宋_GB2312" w:eastAsia="仿宋_GB2312" w:cs="仿宋_GB2312"/>
          <w:sz w:val="32"/>
          <w:szCs w:val="32"/>
        </w:rPr>
      </w:pP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5．未按规定提取各项准备金的。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6．董事、监事、高级管理人员存在不符合《河南省小额贷款公司试点管理暂行办法》相关规定的。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7．小额贷款公司发生风险状况，未按规定报告或经过有效处置尚未造成影响的。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8．监管部门规定的其他情形。</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第六章 结果运用</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第十三条  对年审通过的小额贷款公司，监管部门应重点支持其提升发展，积极争取各级政策予以扶持。</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第十三条 对整改后通过年审的小额贷款公司，属地监管部门应区分情况，采取针对性的监管措施，加大现场检查和非现场监管频率，强化企业依法合规意识，引导企业规范经营。对这类小额贷款公司原则上一年内不得提出变更事项，情节较为严重的，可限制其享受财政性政策支持。</w:t>
      </w:r>
    </w:p>
    <w:p>
      <w:pPr>
        <w:ind w:firstLine="640" w:firstLineChars="200"/>
        <w:rPr>
          <w:rFonts w:ascii="仿宋_GB2312" w:hAnsi="仿宋_GB2312" w:eastAsia="仿宋_GB2312" w:cs="仿宋_GB2312"/>
          <w:sz w:val="32"/>
          <w:szCs w:val="32"/>
        </w:rPr>
      </w:pP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第十四条 对年审不通过的小额贷款公司，监管部门应责令其暂停营业，可视情况采取以下措施并将情况报告省政府金融办。</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终止资格。省辖市或省直管县（市）监管部门责令其停止业务，将有关情况报告属地人民政府，通报本级小额贷款公司联席会议成员单位，属地监管部门按照《中华人民共和国公司法》的有关要求，做好其终止工作。</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风险防范。属地监管部门应将小额贷款公司存在的风险情况及时报送同级人民政府和本级小额贷款公司业务监管联席会议成员单位。根据风险情况，启动应急预案，会同有关部门实施重点监控，做好风险处置和化解工作，维护社会稳定。</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（三）查处移交。对于小额贷款公司违反法律法规的，属地监管部门应按照职责权限依法查处，构成犯罪的移交司法部门追究刑事责任。</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第十五条 对小额贷款公司故意提供虚假材料、隐瞒真实情况或通过其他方式骗取通过年审的，监管部门应自发现之日起，立即终止其小额贷款公司试点资格，逐级上报至省政府金融办。</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第七章  附  则</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第十六条 监管部门在对小额贷款公司年审时，不得妨碍其正常的经营活动。负责年审的工作人员要严格遵守廉政规定，依法依纪开展工作，并对年审评价结果负责。</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第十七条 各省辖市、省直管县（市）监管部门可根据本办法制定本辖区内小额贷款公司年审实施细则，并报省政府金融办备案。</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第十八条 本办法由省政府金融办负责解释和修订。</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第十九条 本办法自发布之日起施行。</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pStyle w:val="3"/>
        <w:numPr>
          <w:ilvl w:val="0"/>
          <w:numId w:val="6"/>
        </w:numPr>
        <w:spacing w:line="560" w:lineRule="exact"/>
        <w:ind w:left="0" w:leftChars="0" w:firstLine="0" w:firstLineChars="0"/>
        <w:jc w:val="center"/>
        <w:rPr>
          <w:rFonts w:hint="eastAsia" w:ascii="仿宋_GB2312" w:hAnsi="仿宋_GB2312" w:eastAsia="仿宋_GB2312" w:cs="仿宋_GB2312"/>
          <w:b w:val="0"/>
          <w:bCs w:val="0"/>
        </w:rPr>
      </w:pPr>
      <w:bookmarkStart w:id="52" w:name="_Toc5084"/>
      <w:r>
        <w:rPr>
          <w:rStyle w:val="27"/>
          <w:rFonts w:hint="eastAsia"/>
          <w:b/>
          <w:bCs/>
          <w:sz w:val="44"/>
          <w:szCs w:val="44"/>
        </w:rPr>
        <w:t>中国银保监会办公厅关于加强小额贷款公司监督管理的通知</w:t>
      </w:r>
      <w:bookmarkEnd w:id="52"/>
    </w:p>
    <w:p>
      <w:pPr>
        <w:keepNext/>
        <w:keepLines/>
        <w:spacing w:line="560" w:lineRule="exact"/>
        <w:ind w:firstLine="480" w:firstLineChars="200"/>
        <w:jc w:val="center"/>
        <w:rPr>
          <w:rStyle w:val="19"/>
          <w:rFonts w:hint="eastAsia" w:ascii="楷体" w:hAnsi="楷体" w:eastAsia="楷体" w:cs="楷体"/>
          <w:color w:val="000000"/>
          <w:sz w:val="24"/>
          <w:szCs w:val="24"/>
          <w:lang w:val="en-US" w:eastAsia="zh-CN"/>
        </w:rPr>
      </w:pPr>
      <w:r>
        <w:rPr>
          <w:rStyle w:val="19"/>
          <w:rFonts w:hint="eastAsia" w:ascii="楷体" w:hAnsi="楷体" w:eastAsia="楷体" w:cs="楷体"/>
          <w:color w:val="000000"/>
          <w:sz w:val="24"/>
          <w:szCs w:val="24"/>
          <w:lang w:eastAsia="zh-CN"/>
        </w:rPr>
        <w:t>中国银保监会办公厅文件</w:t>
      </w:r>
      <w:r>
        <w:rPr>
          <w:rStyle w:val="19"/>
          <w:rFonts w:hint="eastAsia" w:ascii="楷体" w:hAnsi="楷体" w:eastAsia="楷体" w:cs="楷体"/>
          <w:color w:val="000000"/>
          <w:sz w:val="24"/>
          <w:szCs w:val="24"/>
          <w:lang w:val="en-US" w:eastAsia="zh-CN"/>
        </w:rPr>
        <w:t xml:space="preserve"> </w:t>
      </w:r>
      <w:r>
        <w:rPr>
          <w:rStyle w:val="19"/>
          <w:rFonts w:hint="eastAsia" w:ascii="楷体" w:hAnsi="楷体" w:eastAsia="楷体" w:cs="楷体"/>
          <w:color w:val="000000"/>
          <w:sz w:val="24"/>
          <w:szCs w:val="24"/>
          <w:lang w:eastAsia="zh-CN"/>
        </w:rPr>
        <w:t>银保监办发〔2020〕86号</w:t>
      </w:r>
      <w:r>
        <w:rPr>
          <w:rStyle w:val="19"/>
          <w:rFonts w:hint="eastAsia" w:ascii="楷体" w:hAnsi="楷体" w:eastAsia="楷体" w:cs="楷体"/>
          <w:color w:val="000000"/>
          <w:sz w:val="24"/>
          <w:szCs w:val="24"/>
          <w:lang w:val="en-US" w:eastAsia="zh-CN"/>
        </w:rPr>
        <w:t xml:space="preserve"> </w:t>
      </w:r>
    </w:p>
    <w:p>
      <w:pPr>
        <w:keepNext/>
        <w:keepLines/>
        <w:spacing w:line="560" w:lineRule="exact"/>
        <w:ind w:firstLine="480" w:firstLineChars="200"/>
        <w:jc w:val="center"/>
        <w:rPr>
          <w:rFonts w:hint="eastAsia" w:ascii="楷体" w:hAnsi="楷体" w:eastAsia="楷体" w:cs="楷体"/>
          <w:bCs/>
          <w:sz w:val="32"/>
          <w:szCs w:val="32"/>
        </w:rPr>
      </w:pPr>
      <w:r>
        <w:rPr>
          <w:rStyle w:val="19"/>
          <w:rFonts w:hint="eastAsia" w:ascii="楷体" w:hAnsi="楷体" w:eastAsia="楷体" w:cs="楷体"/>
          <w:color w:val="000000"/>
          <w:sz w:val="24"/>
          <w:szCs w:val="24"/>
        </w:rPr>
        <w:t>20</w:t>
      </w:r>
      <w:r>
        <w:rPr>
          <w:rStyle w:val="19"/>
          <w:rFonts w:hint="eastAsia" w:ascii="楷体" w:hAnsi="楷体" w:eastAsia="楷体" w:cs="楷体"/>
          <w:color w:val="000000"/>
          <w:sz w:val="24"/>
          <w:szCs w:val="24"/>
          <w:lang w:val="en-US" w:eastAsia="zh-CN"/>
        </w:rPr>
        <w:t>20</w:t>
      </w:r>
      <w:r>
        <w:rPr>
          <w:rStyle w:val="19"/>
          <w:rFonts w:hint="eastAsia" w:ascii="楷体" w:hAnsi="楷体" w:eastAsia="楷体" w:cs="楷体"/>
          <w:color w:val="000000"/>
          <w:sz w:val="24"/>
          <w:szCs w:val="24"/>
        </w:rPr>
        <w:t>年</w:t>
      </w:r>
      <w:r>
        <w:rPr>
          <w:rStyle w:val="19"/>
          <w:rFonts w:hint="eastAsia" w:ascii="楷体" w:hAnsi="楷体" w:eastAsia="楷体" w:cs="楷体"/>
          <w:color w:val="000000"/>
          <w:sz w:val="24"/>
          <w:szCs w:val="24"/>
          <w:lang w:val="en-US" w:eastAsia="zh-CN"/>
        </w:rPr>
        <w:t>9</w:t>
      </w:r>
      <w:r>
        <w:rPr>
          <w:rStyle w:val="19"/>
          <w:rFonts w:hint="eastAsia" w:ascii="楷体" w:hAnsi="楷体" w:eastAsia="楷体" w:cs="楷体"/>
          <w:color w:val="000000"/>
          <w:sz w:val="24"/>
          <w:szCs w:val="24"/>
        </w:rPr>
        <w:t>月</w:t>
      </w:r>
      <w:r>
        <w:rPr>
          <w:rStyle w:val="19"/>
          <w:rFonts w:hint="eastAsia" w:ascii="楷体" w:hAnsi="楷体" w:eastAsia="楷体" w:cs="楷体"/>
          <w:color w:val="000000"/>
          <w:sz w:val="24"/>
          <w:szCs w:val="24"/>
          <w:lang w:val="en-US" w:eastAsia="zh-CN"/>
        </w:rPr>
        <w:t>7</w:t>
      </w:r>
      <w:r>
        <w:rPr>
          <w:rStyle w:val="19"/>
          <w:rFonts w:hint="eastAsia" w:ascii="楷体" w:hAnsi="楷体" w:eastAsia="楷体" w:cs="楷体"/>
          <w:color w:val="000000"/>
          <w:sz w:val="24"/>
          <w:szCs w:val="24"/>
        </w:rPr>
        <w:t>日印发</w:t>
      </w:r>
    </w:p>
    <w:p>
      <w:pPr>
        <w:numPr>
          <w:numId w:val="0"/>
        </w:numPr>
        <w:ind w:leftChars="0"/>
      </w:pP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各省（自治区、直辖市、计划单列市）、新疆生产建设兵团地方金融监督管理局:</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为进一步加强监督管理、规范经营行为、防范化解风险，促进小额贷款公司行业规范健康发展，现就有关事项通知如下：</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一、规范业务经营，提高服务能力</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（一）改善金融服务。小额贷款公司应当依法合规开展业务，提高对小微企业、农民、城镇低收入人群等普惠金融重点服务对象的服务水平，践行普惠金融理念，支持实体经济发展。</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坚守放贷主业。小额贷款公司应当主要经营放贷业务。经营管理较好、风控能力较强、监管评价良好的小额贷款公司，经地方金融监管部门批准可依法开展发行债券、以本公司发放的贷款为基础资产发行资产证券化产品、股东借款等业务。</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适度对外融资。小额贷款公司通过银行借款、股东借款等非标准化融资形式融入资金的余额不得超过其净资产的1倍；通过发行债券、资产证券化产品等标准化债权类资产形式融入资金的余额不得超过其净资产的4倍。地方金融监管部门根据监管需要，可以下调前述对外融资余额与净资产比例的最高限额。</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坚持小额分散。小额贷款公司发放贷款应当遵循小额、分散的原则，根据借款人收入水平、总体负债、资产状况、实际需求等因素，合理确定贷款金额和期限，使借款人还款额不超过其还款能力。小额贷款公司对同一借款人的贷款余额不得超过小额贷款公司净资产的10%；对同一借款人及其关联方的贷款余额不得超过小额贷款公司净资产的15%。地方金融监管部门根据监管需要，可以下调前述贷款余额最高限额。</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监控贷款用途。小额贷款公司应当与借款人明确约定贷款用途，并且按照合同约定监控贷款用途，贷款用途应当符合法律法规、国家宏观调控和产业政策。小额贷款公司贷款不得用于以下事项：股票、金融衍生品等投资；房地产市场违规融资；法律法规、银保监会和地方金融监管部门禁止的其他用途。</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注重服务当地。小额贷款公司原则上应当在公司住所所属县级行政区域内开展业务。对于经营管理较好、风控能力较强、监管评价良好的小额贷款公司，经地方金融监管部门同意，可以放宽经营区域限制，但不得超出公司住所所属省级行政区域。经营网络小额贷款业务等另有规定的除外。</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合理确定利率。小额贷款公司不得从贷款本金中先行扣除利息、手续费、管理费、保证金等，违规预先扣除的，应当按照扣除后的实际借款金额还款和计算利率。鼓励小额贷款公司降低贷款利率，降低实体经济融资成本。</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八）严守行为底线。小额贷款公司不得有下列行为：吸收或者变相吸收公众存款；通过互联网平台或者地方各类交易场所销售、转让本公司除不良信贷资产以外的其他信贷资产；发行或者代理销售理财、信托计划等资产管理产品；法律法规、银保监会和地方金融监管部门禁止的其他行为。</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二、改善经营管理，促进健康发展</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九）强化资金管理。小额贷款公司应当强化资金管理，对放贷资金（含自有资金及外部融入资金）实施专户管理，所有资金必须进入放贷专户方可放贷。放贷专户需具备支撑小额贷款业务的出入金能力，应当向地方金融监管部门报备，并按地方金融监管部门要求定期提供放贷专户运营报告和开户银行出具的放贷专户资金流水明细。地方金融监管部门根据监管需要，可以限定放贷专户数量。</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完善经营制度。小额贷款公司应当按照稳健经营原则制定符合本公司业务特点的经营制度，包含贷款“三查”、审贷分离、贷款风险分类制度等。贷款风险分类应当划分为正常、关注、次级、可疑和损失五类，后三类合称不良贷款。</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一）规范债务催收。小额贷款公司应当按照法律法规和地方金融监管部门的要求，规范债务催收程序和方式。小额贷款公司及其委托的第三方催收机构，不得以暴力或者威胁使用暴力，故意伤害他人身体，侵犯人身自由，非法占有被催收人的财产，侮辱、诽谤、骚扰等方式干扰他人正常生活，违规散布他人隐私等非法手段进行债务催收。</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二）加强信息披露。小额贷款公司应当充分履行告知义务，使借款人明确了解贷款金额、期限、利率、还款方式等内容。小额贷款公司应当在债务到期前的合理时间内，告知借款人应当偿还本金及利息的金额、时间、方式以及未到期偿还的责任。</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（十三）保管客户信息。小额贷款公司应当妥善保管依法获取的客户信息，不得未经授权或者同意收集、存储、使用客户信息，不得非法买卖或者泄露客户信息。</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四）积极配合监管。小额贷款公司应当按监管要求报送数据信息、经营报告、财务报告等资料；配合地方金融监管部门依法进行的监督检查，提供有关情况和文件、资料，并如实就业务活动和风险管理的重大事项作出说明。</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三、加强监督管理，整顿行业秩序</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五）明确监管责任。省（自治区、直辖市）人民政府负责对辖内小额贷款公司进行监管和风险处置，地方金融监管部门具体落实。除设立、终止等重大事项外，省级地方金融监管部门可以委托地级、县级地方金融监管部门开展非现场监管、现场检查、违法违规行为查处等部分监管工作。</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六）完善准入管理。地方金融监管部门应当按照现有规定，严格标准、规范流程，加强与市场监管部门的沟通协调，严把小额贷款公司准入关，对股东资信水平、入股资金来源、风险管控能力等加强审查，促进行业高质量发展；同时，寓监管于服务、提高审核效率，为市场主体减负。</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七）实施非现场监管。地方金融监管部门应当加强对小额贷款公司的非现场监管，依法收集小额贷款公司财务报表、经营管理资料、审计报告等数据信息，定期向银保监会报送监管数据信息；对小额贷款公司的业务活动及风险状况进行监管分析和评估。</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八）开展现场检查。地方金融监管部门应当依法对小额贷款公司开展现场检查，采取进入小额贷款公司的办公场所或者营业场所进行检查，询问与被检查事项有关的人员，查阅、复制与被检查事项有关的文件、资料，复制业务系统有关数据资料等措施，深入了解公司运营状况，查清违法违规行为。</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九）加大监管力度。地方金融监管部门应当按照现有规定，暂停新增小额贷款公司从事网络小额贷款业务及其他跨省（自治区、直辖市）业务。对依照《关于网络借贷信息中介机构转型为小额贷款公司试点的指导意见》（整治办函〔2019〕83号）转型的机构，要严格审查资质，加强事中事后监管。</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（二十）建设监管队伍。地方金融监管部门应当加强监管队伍建设，提高监管专业化水平，按照监管要求和职责配备专职监管员，专职监管员的人数、能力应当与监管对象数量、业务规模相匹配。</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十一）实施分类监管。地方金融监管部门应当建立小额贷款公司监管评价制度，根据小额贷款公司的经营规模、管理水平、合规情况、风险状况等对小额贷款公司进行监管评级，并根据评级结果对小额贷款公司实施分类监督管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十二）加大处罚力度。小额贷款公司违法违规经营，有关法律法规有处罚规定的，地方金融监管部门应当协调有关部门依照规定给予处罚；有关法律法规未作处罚规定及未达到处罚标准的，地方金融监管部门可以采取监管谈话、出具警示函、责令改正、通报批评、将其违法违规情况记入违法违规经营行为信息库并公布等监管措施；涉嫌犯罪的，移交公安机关查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十三）净化行业环境。对“失联”或者“空壳”公司，地方金融监管部门应当协调市场监管等部门将其列入经营异常名录、依法吊销其营业执照，劝导其申请变更企业名称和业务范围、自愿注销，或以其他方式引导其退出小额贷款公司行业。</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满足以下条件之一的公司，应当认定为“失联”公司：无法取得联系；在公司住所实地排查无法找到；虽然可以联系到公司工作人员，但其并不知情也不能联系到公司实际控制人；连续3个月未按监管要求报送数据信息。</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满足以下条件之一的公司，应当认定为“空壳”公司：近6个月无正当理由自行停业（未开展发放贷款等业务）；近6个月无纳税记录或“零申报”（享受国家税收优惠政策免税的除外）；近6个月无社保缴纳记录。</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（二十四）开展风险处置。针对信用风险高企、资本及拨备严重不足、经营持续恶化等存在重大经营风险的小额贷款公司，地方金融监管部门应当依法组织开展风险处置。</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十五）依法市场退出。小额贷款公司解散或被依法宣告破产的，应当依法进行清算并注销，清算过程接受地方金融监管部门监督。针对存在严重违法违规行为的小额贷款公司，地方金融监管部门可以依据有关法律法规和监管规定取消其小额贷款公司试点资格，并协调市场监管部门变更其名称、业务范围或者注销。</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四、加大支持力度，营造良好环境</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（二十六）加强政策扶持。鼓励各地通过风险补偿、风险分担、专项补贴等方式，引导和支持小额贷款公司加大对小微企业和“三农”等领域的信贷支持力度，降低贷款成本，改善金融服务。</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（二十七）银行合作支持。银行可以与小额贷款公司依法合规开展合作，按照平等、自愿、公平、诚实信用原则提供融资。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（二十八）加强行业自律。中国小额贷款公司协会等小额贷款公司行业自律组织应当积极发挥作用，加强行业自律管理，提高从业人员素质，加大行业宣传力度，维护行业合法权益，促进行业规范健康发展。</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本通知印发前有关规定与本通知不一致的，以本通知为准。</w:t>
      </w:r>
    </w:p>
    <w:p>
      <w:pPr>
        <w:ind w:firstLine="640" w:firstLineChars="200"/>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2020年9月7日</w:t>
      </w:r>
    </w:p>
    <w:p>
      <w:pPr>
        <w:ind w:firstLine="640" w:firstLineChars="200"/>
        <w:rPr>
          <w:rFonts w:ascii="仿宋_GB2312" w:hAnsi="仿宋_GB2312" w:eastAsia="仿宋_GB2312" w:cs="仿宋_GB2312"/>
          <w:sz w:val="32"/>
          <w:szCs w:val="32"/>
        </w:rPr>
      </w:pPr>
    </w:p>
    <w:p>
      <w:pPr>
        <w:ind w:firstLine="640" w:firstLineChars="200"/>
        <w:rPr>
          <w:rFonts w:ascii="仿宋_GB2312" w:hAnsi="仿宋_GB2312" w:eastAsia="仿宋_GB2312" w:cs="仿宋_GB2312"/>
          <w:sz w:val="32"/>
          <w:szCs w:val="32"/>
        </w:rPr>
      </w:pPr>
    </w:p>
    <w:p>
      <w:pPr>
        <w:ind w:firstLine="640" w:firstLineChars="200"/>
        <w:rPr>
          <w:rFonts w:ascii="仿宋_GB2312" w:hAnsi="仿宋_GB2312" w:eastAsia="仿宋_GB2312" w:cs="仿宋_GB2312"/>
          <w:sz w:val="32"/>
          <w:szCs w:val="32"/>
        </w:rPr>
      </w:pPr>
    </w:p>
    <w:p>
      <w:pPr>
        <w:ind w:firstLine="640" w:firstLineChars="200"/>
        <w:rPr>
          <w:rFonts w:ascii="仿宋_GB2312" w:hAnsi="仿宋_GB2312" w:eastAsia="仿宋_GB2312" w:cs="仿宋_GB2312"/>
          <w:sz w:val="32"/>
          <w:szCs w:val="32"/>
        </w:rPr>
      </w:pPr>
    </w:p>
    <w:p>
      <w:pPr>
        <w:ind w:firstLine="640" w:firstLineChars="200"/>
        <w:rPr>
          <w:rFonts w:ascii="仿宋_GB2312" w:hAnsi="仿宋_GB2312" w:eastAsia="仿宋_GB2312" w:cs="仿宋_GB2312"/>
          <w:sz w:val="32"/>
          <w:szCs w:val="32"/>
        </w:rPr>
      </w:pPr>
    </w:p>
    <w:p>
      <w:pPr>
        <w:ind w:firstLine="640" w:firstLineChars="200"/>
        <w:rPr>
          <w:rFonts w:ascii="仿宋_GB2312" w:hAnsi="仿宋_GB2312" w:eastAsia="仿宋_GB2312" w:cs="仿宋_GB2312"/>
          <w:sz w:val="32"/>
          <w:szCs w:val="32"/>
        </w:rPr>
      </w:pPr>
    </w:p>
    <w:p>
      <w:pPr>
        <w:ind w:firstLine="640" w:firstLineChars="200"/>
        <w:rPr>
          <w:rFonts w:ascii="仿宋_GB2312" w:hAnsi="仿宋_GB2312" w:eastAsia="仿宋_GB2312" w:cs="仿宋_GB2312"/>
          <w:sz w:val="32"/>
          <w:szCs w:val="32"/>
        </w:rPr>
      </w:pPr>
    </w:p>
    <w:p>
      <w:pPr>
        <w:ind w:firstLine="640" w:firstLineChars="200"/>
        <w:rPr>
          <w:rFonts w:ascii="仿宋_GB2312" w:hAnsi="仿宋_GB2312" w:eastAsia="仿宋_GB2312" w:cs="仿宋_GB2312"/>
          <w:sz w:val="32"/>
          <w:szCs w:val="32"/>
        </w:rPr>
      </w:pPr>
    </w:p>
    <w:p>
      <w:pPr>
        <w:ind w:firstLine="640" w:firstLineChars="200"/>
        <w:rPr>
          <w:rFonts w:ascii="仿宋_GB2312" w:hAnsi="仿宋_GB2312" w:eastAsia="仿宋_GB2312" w:cs="仿宋_GB2312"/>
          <w:sz w:val="32"/>
          <w:szCs w:val="32"/>
        </w:rPr>
      </w:pPr>
    </w:p>
    <w:p>
      <w:pPr>
        <w:ind w:firstLine="640" w:firstLineChars="200"/>
        <w:rPr>
          <w:rFonts w:ascii="仿宋_GB2312" w:hAnsi="仿宋_GB2312" w:eastAsia="仿宋_GB2312" w:cs="仿宋_GB2312"/>
          <w:sz w:val="32"/>
          <w:szCs w:val="32"/>
        </w:rPr>
      </w:pPr>
    </w:p>
    <w:p>
      <w:pPr>
        <w:ind w:firstLine="640" w:firstLineChars="200"/>
        <w:rPr>
          <w:rFonts w:ascii="仿宋_GB2312" w:hAnsi="仿宋_GB2312" w:eastAsia="仿宋_GB2312" w:cs="仿宋_GB2312"/>
          <w:sz w:val="32"/>
          <w:szCs w:val="32"/>
        </w:rPr>
      </w:pPr>
    </w:p>
    <w:p>
      <w:pPr>
        <w:ind w:firstLine="640" w:firstLineChars="200"/>
        <w:rPr>
          <w:rFonts w:ascii="仿宋_GB2312" w:hAnsi="仿宋_GB2312" w:eastAsia="仿宋_GB2312" w:cs="仿宋_GB2312"/>
          <w:sz w:val="32"/>
          <w:szCs w:val="32"/>
        </w:rPr>
      </w:pPr>
    </w:p>
    <w:p>
      <w:pPr>
        <w:ind w:firstLine="640" w:firstLineChars="200"/>
        <w:rPr>
          <w:rFonts w:ascii="仿宋_GB2312" w:hAnsi="仿宋_GB2312" w:eastAsia="仿宋_GB2312" w:cs="仿宋_GB2312"/>
          <w:sz w:val="32"/>
          <w:szCs w:val="32"/>
        </w:rPr>
      </w:pPr>
    </w:p>
    <w:p>
      <w:pPr>
        <w:pStyle w:val="3"/>
        <w:numPr>
          <w:ilvl w:val="0"/>
          <w:numId w:val="6"/>
        </w:numPr>
        <w:spacing w:line="560" w:lineRule="exact"/>
        <w:ind w:left="0" w:leftChars="0" w:firstLine="0" w:firstLineChars="0"/>
        <w:jc w:val="center"/>
        <w:rPr>
          <w:rFonts w:hint="eastAsia"/>
          <w:sz w:val="44"/>
          <w:szCs w:val="44"/>
        </w:rPr>
      </w:pPr>
      <w:bookmarkStart w:id="53" w:name="_Toc23077"/>
      <w:r>
        <w:rPr>
          <w:rFonts w:hint="eastAsia"/>
          <w:sz w:val="44"/>
          <w:szCs w:val="44"/>
        </w:rPr>
        <w:t>河南省地方金融监督管理局关于进一步深化放管服改革优化营商环境更好服务地方金融组织的通知</w:t>
      </w:r>
      <w:bookmarkEnd w:id="53"/>
    </w:p>
    <w:p>
      <w:pPr>
        <w:keepNext/>
        <w:keepLines/>
        <w:spacing w:line="560" w:lineRule="exact"/>
        <w:ind w:firstLine="480" w:firstLineChars="200"/>
        <w:jc w:val="center"/>
        <w:rPr>
          <w:rStyle w:val="19"/>
          <w:rFonts w:hint="eastAsia" w:ascii="楷体" w:hAnsi="楷体" w:eastAsia="楷体" w:cs="楷体"/>
          <w:color w:val="000000"/>
          <w:sz w:val="24"/>
          <w:szCs w:val="24"/>
          <w:lang w:val="en-US" w:eastAsia="zh-CN"/>
        </w:rPr>
      </w:pPr>
      <w:r>
        <w:rPr>
          <w:rStyle w:val="19"/>
          <w:rFonts w:hint="eastAsia" w:ascii="楷体" w:hAnsi="楷体" w:eastAsia="楷体" w:cs="楷体"/>
          <w:color w:val="000000"/>
          <w:sz w:val="24"/>
          <w:szCs w:val="24"/>
          <w:lang w:eastAsia="zh-CN"/>
        </w:rPr>
        <w:t>河南省地方金融监督管理局文件</w:t>
      </w:r>
      <w:r>
        <w:rPr>
          <w:rStyle w:val="19"/>
          <w:rFonts w:hint="eastAsia" w:ascii="楷体" w:hAnsi="楷体" w:eastAsia="楷体" w:cs="楷体"/>
          <w:color w:val="000000"/>
          <w:sz w:val="24"/>
          <w:szCs w:val="24"/>
          <w:lang w:val="en-US" w:eastAsia="zh-CN"/>
        </w:rPr>
        <w:t xml:space="preserve"> </w:t>
      </w:r>
      <w:r>
        <w:rPr>
          <w:rStyle w:val="19"/>
          <w:rFonts w:hint="eastAsia" w:ascii="楷体" w:hAnsi="楷体" w:eastAsia="楷体" w:cs="楷体"/>
          <w:color w:val="000000"/>
          <w:sz w:val="24"/>
          <w:szCs w:val="24"/>
          <w:lang w:eastAsia="zh-CN"/>
        </w:rPr>
        <w:t>豫金发〔2020〕</w:t>
      </w:r>
      <w:r>
        <w:rPr>
          <w:rStyle w:val="19"/>
          <w:rFonts w:hint="eastAsia" w:ascii="楷体" w:hAnsi="楷体" w:eastAsia="楷体" w:cs="楷体"/>
          <w:color w:val="000000"/>
          <w:sz w:val="24"/>
          <w:szCs w:val="24"/>
          <w:lang w:val="en-US" w:eastAsia="zh-CN"/>
        </w:rPr>
        <w:t>187</w:t>
      </w:r>
      <w:r>
        <w:rPr>
          <w:rStyle w:val="19"/>
          <w:rFonts w:hint="eastAsia" w:ascii="楷体" w:hAnsi="楷体" w:eastAsia="楷体" w:cs="楷体"/>
          <w:color w:val="000000"/>
          <w:sz w:val="24"/>
          <w:szCs w:val="24"/>
          <w:lang w:eastAsia="zh-CN"/>
        </w:rPr>
        <w:t>号</w:t>
      </w:r>
      <w:r>
        <w:rPr>
          <w:rStyle w:val="19"/>
          <w:rFonts w:hint="eastAsia" w:ascii="楷体" w:hAnsi="楷体" w:eastAsia="楷体" w:cs="楷体"/>
          <w:color w:val="000000"/>
          <w:sz w:val="24"/>
          <w:szCs w:val="24"/>
          <w:lang w:val="en-US" w:eastAsia="zh-CN"/>
        </w:rPr>
        <w:t xml:space="preserve"> </w:t>
      </w:r>
    </w:p>
    <w:p>
      <w:pPr>
        <w:keepNext/>
        <w:keepLines/>
        <w:spacing w:line="560" w:lineRule="exact"/>
        <w:ind w:firstLine="480" w:firstLineChars="200"/>
        <w:jc w:val="center"/>
        <w:rPr>
          <w:rFonts w:hint="eastAsia" w:ascii="楷体" w:hAnsi="楷体" w:eastAsia="楷体" w:cs="楷体"/>
          <w:bCs/>
          <w:sz w:val="32"/>
          <w:szCs w:val="32"/>
        </w:rPr>
      </w:pPr>
      <w:r>
        <w:rPr>
          <w:rStyle w:val="19"/>
          <w:rFonts w:hint="eastAsia" w:ascii="楷体" w:hAnsi="楷体" w:eastAsia="楷体" w:cs="楷体"/>
          <w:color w:val="000000"/>
          <w:sz w:val="24"/>
          <w:szCs w:val="24"/>
        </w:rPr>
        <w:t>20</w:t>
      </w:r>
      <w:r>
        <w:rPr>
          <w:rStyle w:val="19"/>
          <w:rFonts w:hint="eastAsia" w:ascii="楷体" w:hAnsi="楷体" w:eastAsia="楷体" w:cs="楷体"/>
          <w:color w:val="000000"/>
          <w:sz w:val="24"/>
          <w:szCs w:val="24"/>
          <w:lang w:val="en-US" w:eastAsia="zh-CN"/>
        </w:rPr>
        <w:t>20</w:t>
      </w:r>
      <w:r>
        <w:rPr>
          <w:rStyle w:val="19"/>
          <w:rFonts w:hint="eastAsia" w:ascii="楷体" w:hAnsi="楷体" w:eastAsia="楷体" w:cs="楷体"/>
          <w:color w:val="000000"/>
          <w:sz w:val="24"/>
          <w:szCs w:val="24"/>
        </w:rPr>
        <w:t>年</w:t>
      </w:r>
      <w:r>
        <w:rPr>
          <w:rStyle w:val="19"/>
          <w:rFonts w:hint="eastAsia" w:ascii="楷体" w:hAnsi="楷体" w:eastAsia="楷体" w:cs="楷体"/>
          <w:color w:val="000000"/>
          <w:sz w:val="24"/>
          <w:szCs w:val="24"/>
          <w:lang w:val="en-US" w:eastAsia="zh-CN"/>
        </w:rPr>
        <w:t>11</w:t>
      </w:r>
      <w:r>
        <w:rPr>
          <w:rStyle w:val="19"/>
          <w:rFonts w:hint="eastAsia" w:ascii="楷体" w:hAnsi="楷体" w:eastAsia="楷体" w:cs="楷体"/>
          <w:color w:val="000000"/>
          <w:sz w:val="24"/>
          <w:szCs w:val="24"/>
        </w:rPr>
        <w:t>月</w:t>
      </w:r>
      <w:r>
        <w:rPr>
          <w:rStyle w:val="19"/>
          <w:rFonts w:hint="eastAsia" w:ascii="楷体" w:hAnsi="楷体" w:eastAsia="楷体" w:cs="楷体"/>
          <w:color w:val="000000"/>
          <w:sz w:val="24"/>
          <w:szCs w:val="24"/>
          <w:lang w:val="en-US" w:eastAsia="zh-CN"/>
        </w:rPr>
        <w:t>30</w:t>
      </w:r>
      <w:r>
        <w:rPr>
          <w:rStyle w:val="19"/>
          <w:rFonts w:hint="eastAsia" w:ascii="楷体" w:hAnsi="楷体" w:eastAsia="楷体" w:cs="楷体"/>
          <w:color w:val="000000"/>
          <w:sz w:val="24"/>
          <w:szCs w:val="24"/>
        </w:rPr>
        <w:t>日印发</w:t>
      </w:r>
    </w:p>
    <w:p>
      <w:pPr>
        <w:numPr>
          <w:numId w:val="0"/>
        </w:numPr>
        <w:ind w:leftChars="0"/>
      </w:pP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各省辖市、济源示范区金融局，省直管县（市）金融工作部门，省直管地方金融组织：</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深入贯彻落实党中央、国务院和省委、省政府关于深化“放管服”改革、优化营商环境的部署要求，进一步减环节、减材料、减时间、减成本，推动全省地方金融工作部门转作风、强服务、促发展，激发小额贷款公司、融资担保公司、典当行、融资租赁公司、商业保理公司（以下统称地方金融组织）经营活力，提高服务实体经济能力，现就有关事项通知如下：</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推进政务服务公开透明。2020年底前，完成《河南省地方金融组织政务服务事项办事指南》《河南省地方金融组织政务服务事项二维码》编制工作，对地方金融组织政务服务事项申请条件、申请方式、设定依据、申请材料、办理时限、办理层级、联络方式、办理流程等进行统一规范修订，并通过河南政务服务网以及宣传折页等形式面向社会公布。建立健全政务服务事项和监管制度 “立改废”动态调整制度，实施动态管理并向社会公布。</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全面实行“一网通办”。依托省政务服务统一受理体系，实现地方金融组织政务服务事项线上线下多渠道受理和网上办理。2020年底前，各级地方金融工作部门依法依规对政务服务事项进行梳理，落实“一网通办、全程网办、不见面审批（审核）”的要求。</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三、进一步压缩办结时限。2021年起，各级地方金融工作部门办理地方金融组织政务服务事项的时限，均压缩到法定办结时限的35%以内，进一步提高服务效率。</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降低企业开办成本。各级地方金融工作部门实施容缺受理，允许申请设立地方金融组织时的验资报告材料，在省地方金融监管局接收申请材料后3日内补充提交。取消地方金融组织设立、退出申请环节在当地主流报纸刊登公告的要求，由省地方金融监管局在官方网站免费公告其承诺内容。取消地方金融组织设立、变更审核时需提交的住所（经营场所）权属证明和租赁协议等场所证明材料，实行自主申报承诺制。取消新设地方金融组织的内部制度申报材料，将制度建设情况纳入事中事后监管事项。取消新设地方金融组织可行性研究报告申报材料。省地方金融监管局统一印制《当票领购簿》、当票、续当凭证并免费发放。</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减少行政审核环节。取消省级以下地方金融工作部门对地方金融组织行政审核中的公示环节。取消小额贷款公司在省辖市行政区域内跨区变更住所行政审核流程中的迁入地政府审核环节。典当行及分支机构申请设立、变更和自愿退出时的申请材料直接报省辖市、济源示范区金融局。取消典当行行政审核流程中的县（市、区）地方金融工作部门的核实（核查）环节。取消申请设立融资担保公司、小额贷款公司、典当行和融资租赁公司时股东提交的《资金来源说明》。取消融资租赁公司和商业保理公司行政审核中的县（市、区）地方金融工作部门受理环节。落实减环节不减责任，审核环节减少后，各级地方金融工作部门要继续履行属地监管服务职责，切实加强事中事后监管。</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加强事中事后监管。建立健全综合监管机制，不断完善以“双随机、一公开”监管和“互联网+监管”为基本手段，以信用监管为基础，以非现场监管为常规，以重点监管为补充的新型事中事后监管方式，把现场检查、非现场监管、行业年审、监管评级、信用约束等监管手段有机融合，实现审核依标准、企业作承诺、过程强监管、失信严惩戒。对同一市场主体的多个日常监管事项，按照能减尽减、能合尽合的原则，纳入“双随机、一公开”抽查，实施“守信联合激励、失信联合惩戒”。将小额贷款公司、融资担保公司、典当行年审工作下放至省辖市、济源示范区金融局组织实施，每年选取1/3、三年内实现监管对象全覆盖，年审情况每年10月底前报省地方金融监管局。对小额贷款公司开展的中小微企业贷款应急转贷业务和典当行开展的动产质押业务，按照支持经营、加强规范的原则实施分类监管。将小额贷款公司向大股东借款的核准职权下放至省辖市、济源示范区金融局，核准文件抄报省地方金融监管局。</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鼓励支持创新发展。支持地方金融组织以市场需求为导向，顺应实体经济发展的新业态新模式和居民消费升级趋势，创新业态应用场景，创新反担保方式、放宽反担保要求，推动技术、管理、业务产品、商业模式和服务方式创新。允许设立在市辖区注册资本金3亿元（含）以上的小额贷款公司在其省辖市行政区域内开展业务，允许注册资本金2亿元（含）以上的小额贷款公司在其所在省辖市行政区域内跨区不跨县（市）开展业务。小额贷款公司监管评级A级的，可适当放宽信贷账户限制，可在其所在省辖市行政区域内跨县（市、区）开展支农小额贷款业务。</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八、建立健全常态化服务机制。实施首问负责制，对地方金融组织提出的政策咨询和业务申请应明确专人指导、专人解答、一次性告知。建立首席服务官制度，为地方金融组织提供主动服务、靠前服务和精准服务，2021年1月底前实现对各类地方金融组织全覆盖。依托省政务服务“好差评”系统，建立完善全省地方金融组织行政服务“好差评”评价跟踪反馈机制。加强全省地方金融工作系统行风建设，坚决纠正门难进、脸难看、事难办和慢作为、不作为、乱作为现象，对群众和企业反映的庸懒散拖、推诿扯皮、敷衍塞责等问题进行严肃处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九、推动各项政策措施落地落细。省地方金融监管局成立深化“放管服”改革、优化营商环境工作领导小组，加强统筹协调，指导督促各级地方金融工作部门落实落细各项政策措施。各级地方金融工作部门要认真履行职责，扎实做好日常监管、管理服务、风险防控、行风建设等工作，把深化“放管服”改革、优化营商环境的各项措施落到实处，进一步提升全省地方金融工作部门的行政效率和服务水平。</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w:t>
      </w:r>
    </w:p>
    <w:p>
      <w:pPr>
        <w:ind w:firstLine="4480" w:firstLineChars="1400"/>
        <w:rPr>
          <w:rFonts w:ascii="仿宋_GB2312" w:hAnsi="仿宋_GB2312" w:eastAsia="仿宋_GB2312" w:cs="仿宋_GB2312"/>
          <w:sz w:val="32"/>
          <w:szCs w:val="32"/>
        </w:rPr>
      </w:pPr>
      <w:r>
        <w:rPr>
          <w:rFonts w:hint="eastAsia" w:ascii="仿宋_GB2312" w:hAnsi="仿宋_GB2312" w:eastAsia="仿宋_GB2312" w:cs="仿宋_GB2312"/>
          <w:sz w:val="32"/>
          <w:szCs w:val="32"/>
        </w:rPr>
        <w:t>2020年11月30日</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pStyle w:val="3"/>
        <w:spacing w:line="560" w:lineRule="exact"/>
        <w:jc w:val="center"/>
        <w:rPr>
          <w:rFonts w:asciiTheme="majorEastAsia" w:hAnsiTheme="majorEastAsia" w:cstheme="majorEastAsia"/>
          <w:spacing w:val="-20"/>
          <w:sz w:val="44"/>
        </w:rPr>
      </w:pPr>
      <w:bookmarkStart w:id="54" w:name="_Toc686"/>
      <w:r>
        <w:rPr>
          <w:rFonts w:hint="eastAsia" w:asciiTheme="majorEastAsia" w:hAnsiTheme="majorEastAsia" w:cstheme="majorEastAsia"/>
          <w:spacing w:val="-20"/>
          <w:sz w:val="44"/>
        </w:rPr>
        <w:t>二十、优化营商环境、推动经济发展</w:t>
      </w:r>
      <w:bookmarkEnd w:id="54"/>
    </w:p>
    <w:p>
      <w:pPr>
        <w:widowControl/>
        <w:jc w:val="center"/>
      </w:pPr>
      <w:r>
        <w:rPr>
          <w:rFonts w:hint="eastAsia" w:ascii="方正小标宋_GBK" w:hAnsi="方正小标宋_GBK" w:eastAsia="方正小标宋_GBK" w:cs="方正小标宋_GBK"/>
          <w:color w:val="000000"/>
          <w:kern w:val="0"/>
          <w:sz w:val="39"/>
          <w:szCs w:val="39"/>
        </w:rPr>
        <w:t>第一篇：</w:t>
      </w:r>
      <w:r>
        <w:rPr>
          <w:rFonts w:ascii="方正小标宋_GBK" w:hAnsi="方正小标宋_GBK" w:eastAsia="方正小标宋_GBK" w:cs="方正小标宋_GBK"/>
          <w:color w:val="000000"/>
          <w:kern w:val="0"/>
          <w:sz w:val="39"/>
          <w:szCs w:val="39"/>
        </w:rPr>
        <w:t>河南省地方金融监督管理局</w:t>
      </w:r>
    </w:p>
    <w:p>
      <w:pPr>
        <w:widowControl/>
        <w:jc w:val="center"/>
        <w:rPr>
          <w:rFonts w:hint="eastAsia" w:ascii="方正小标宋_GBK" w:hAnsi="方正小标宋_GBK" w:eastAsia="方正小标宋_GBK" w:cs="方正小标宋_GBK"/>
          <w:color w:val="000000"/>
          <w:kern w:val="0"/>
          <w:sz w:val="39"/>
          <w:szCs w:val="39"/>
        </w:rPr>
      </w:pPr>
      <w:r>
        <w:rPr>
          <w:rFonts w:hint="eastAsia" w:ascii="方正小标宋_GBK" w:hAnsi="方正小标宋_GBK" w:eastAsia="方正小标宋_GBK" w:cs="方正小标宋_GBK"/>
          <w:color w:val="000000"/>
          <w:kern w:val="0"/>
          <w:sz w:val="39"/>
          <w:szCs w:val="39"/>
        </w:rPr>
        <w:t>关于推动信用承诺优化行政审批的通知</w:t>
      </w:r>
    </w:p>
    <w:p>
      <w:pPr>
        <w:keepNext/>
        <w:keepLines/>
        <w:spacing w:line="560" w:lineRule="exact"/>
        <w:ind w:firstLine="480" w:firstLineChars="200"/>
        <w:jc w:val="center"/>
        <w:rPr>
          <w:rStyle w:val="19"/>
          <w:rFonts w:hint="eastAsia" w:ascii="楷体" w:hAnsi="楷体" w:eastAsia="楷体" w:cs="楷体"/>
          <w:color w:val="000000"/>
          <w:sz w:val="24"/>
          <w:szCs w:val="24"/>
          <w:lang w:val="en-US" w:eastAsia="zh-CN"/>
        </w:rPr>
      </w:pPr>
      <w:r>
        <w:rPr>
          <w:rStyle w:val="19"/>
          <w:rFonts w:hint="eastAsia" w:ascii="楷体" w:hAnsi="楷体" w:eastAsia="楷体" w:cs="楷体"/>
          <w:color w:val="000000"/>
          <w:sz w:val="24"/>
          <w:szCs w:val="24"/>
          <w:lang w:eastAsia="zh-CN"/>
        </w:rPr>
        <w:t>河南省地方金融监督管理局文件</w:t>
      </w:r>
      <w:r>
        <w:rPr>
          <w:rStyle w:val="19"/>
          <w:rFonts w:hint="eastAsia" w:ascii="楷体" w:hAnsi="楷体" w:eastAsia="楷体" w:cs="楷体"/>
          <w:color w:val="000000"/>
          <w:sz w:val="24"/>
          <w:szCs w:val="24"/>
          <w:lang w:val="en-US" w:eastAsia="zh-CN"/>
        </w:rPr>
        <w:t xml:space="preserve"> 豫金监</w:t>
      </w:r>
      <w:r>
        <w:rPr>
          <w:rStyle w:val="19"/>
          <w:rFonts w:hint="eastAsia" w:ascii="楷体" w:hAnsi="楷体" w:eastAsia="楷体" w:cs="楷体"/>
          <w:color w:val="000000"/>
          <w:sz w:val="24"/>
          <w:szCs w:val="24"/>
          <w:lang w:eastAsia="zh-CN"/>
        </w:rPr>
        <w:t>〔20</w:t>
      </w:r>
      <w:r>
        <w:rPr>
          <w:rStyle w:val="19"/>
          <w:rFonts w:hint="eastAsia" w:ascii="楷体" w:hAnsi="楷体" w:eastAsia="楷体" w:cs="楷体"/>
          <w:color w:val="000000"/>
          <w:sz w:val="24"/>
          <w:szCs w:val="24"/>
          <w:lang w:val="en-US" w:eastAsia="zh-CN"/>
        </w:rPr>
        <w:t>21</w:t>
      </w:r>
      <w:r>
        <w:rPr>
          <w:rStyle w:val="19"/>
          <w:rFonts w:hint="eastAsia" w:ascii="楷体" w:hAnsi="楷体" w:eastAsia="楷体" w:cs="楷体"/>
          <w:color w:val="000000"/>
          <w:sz w:val="24"/>
          <w:szCs w:val="24"/>
          <w:lang w:eastAsia="zh-CN"/>
        </w:rPr>
        <w:t>〕</w:t>
      </w:r>
      <w:r>
        <w:rPr>
          <w:rStyle w:val="19"/>
          <w:rFonts w:hint="eastAsia" w:ascii="楷体" w:hAnsi="楷体" w:eastAsia="楷体" w:cs="楷体"/>
          <w:color w:val="000000"/>
          <w:sz w:val="24"/>
          <w:szCs w:val="24"/>
          <w:lang w:val="en-US" w:eastAsia="zh-CN"/>
        </w:rPr>
        <w:t>52</w:t>
      </w:r>
      <w:r>
        <w:rPr>
          <w:rStyle w:val="19"/>
          <w:rFonts w:hint="eastAsia" w:ascii="楷体" w:hAnsi="楷体" w:eastAsia="楷体" w:cs="楷体"/>
          <w:color w:val="000000"/>
          <w:sz w:val="24"/>
          <w:szCs w:val="24"/>
          <w:lang w:eastAsia="zh-CN"/>
        </w:rPr>
        <w:t>号</w:t>
      </w:r>
      <w:r>
        <w:rPr>
          <w:rStyle w:val="19"/>
          <w:rFonts w:hint="eastAsia" w:ascii="楷体" w:hAnsi="楷体" w:eastAsia="楷体" w:cs="楷体"/>
          <w:color w:val="000000"/>
          <w:sz w:val="24"/>
          <w:szCs w:val="24"/>
          <w:lang w:val="en-US" w:eastAsia="zh-CN"/>
        </w:rPr>
        <w:t xml:space="preserve"> </w:t>
      </w:r>
    </w:p>
    <w:p>
      <w:pPr>
        <w:keepNext/>
        <w:keepLines/>
        <w:spacing w:line="560" w:lineRule="exact"/>
        <w:ind w:firstLine="480" w:firstLineChars="200"/>
        <w:jc w:val="center"/>
        <w:rPr>
          <w:rFonts w:hint="eastAsia" w:ascii="方正小标宋_GBK" w:hAnsi="方正小标宋_GBK" w:eastAsia="方正小标宋_GBK" w:cs="方正小标宋_GBK"/>
          <w:color w:val="000000"/>
          <w:kern w:val="0"/>
          <w:sz w:val="39"/>
          <w:szCs w:val="39"/>
        </w:rPr>
      </w:pPr>
      <w:r>
        <w:rPr>
          <w:rStyle w:val="19"/>
          <w:rFonts w:hint="eastAsia" w:ascii="楷体" w:hAnsi="楷体" w:eastAsia="楷体" w:cs="楷体"/>
          <w:color w:val="000000"/>
          <w:sz w:val="24"/>
          <w:szCs w:val="24"/>
        </w:rPr>
        <w:t>20</w:t>
      </w:r>
      <w:r>
        <w:rPr>
          <w:rStyle w:val="19"/>
          <w:rFonts w:hint="eastAsia" w:ascii="楷体" w:hAnsi="楷体" w:eastAsia="楷体" w:cs="楷体"/>
          <w:color w:val="000000"/>
          <w:sz w:val="24"/>
          <w:szCs w:val="24"/>
          <w:lang w:val="en-US" w:eastAsia="zh-CN"/>
        </w:rPr>
        <w:t>21</w:t>
      </w:r>
      <w:r>
        <w:rPr>
          <w:rStyle w:val="19"/>
          <w:rFonts w:hint="eastAsia" w:ascii="楷体" w:hAnsi="楷体" w:eastAsia="楷体" w:cs="楷体"/>
          <w:color w:val="000000"/>
          <w:sz w:val="24"/>
          <w:szCs w:val="24"/>
        </w:rPr>
        <w:t>年</w:t>
      </w:r>
      <w:r>
        <w:rPr>
          <w:rStyle w:val="19"/>
          <w:rFonts w:hint="eastAsia" w:ascii="楷体" w:hAnsi="楷体" w:eastAsia="楷体" w:cs="楷体"/>
          <w:color w:val="000000"/>
          <w:sz w:val="24"/>
          <w:szCs w:val="24"/>
          <w:lang w:val="en-US" w:eastAsia="zh-CN"/>
        </w:rPr>
        <w:t>8</w:t>
      </w:r>
      <w:r>
        <w:rPr>
          <w:rStyle w:val="19"/>
          <w:rFonts w:hint="eastAsia" w:ascii="楷体" w:hAnsi="楷体" w:eastAsia="楷体" w:cs="楷体"/>
          <w:color w:val="000000"/>
          <w:sz w:val="24"/>
          <w:szCs w:val="24"/>
        </w:rPr>
        <w:t>月</w:t>
      </w:r>
      <w:r>
        <w:rPr>
          <w:rStyle w:val="19"/>
          <w:rFonts w:hint="eastAsia" w:ascii="楷体" w:hAnsi="楷体" w:eastAsia="楷体" w:cs="楷体"/>
          <w:color w:val="000000"/>
          <w:sz w:val="24"/>
          <w:szCs w:val="24"/>
          <w:lang w:val="en-US" w:eastAsia="zh-CN"/>
        </w:rPr>
        <w:t>11</w:t>
      </w:r>
      <w:r>
        <w:rPr>
          <w:rStyle w:val="19"/>
          <w:rFonts w:hint="eastAsia" w:ascii="楷体" w:hAnsi="楷体" w:eastAsia="楷体" w:cs="楷体"/>
          <w:color w:val="000000"/>
          <w:sz w:val="24"/>
          <w:szCs w:val="24"/>
        </w:rPr>
        <w:t>日印发</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各省辖市金融工作局,</w:t>
      </w:r>
      <w:r>
        <w:rPr>
          <w:rFonts w:ascii="仿宋_GB2312" w:hAnsi="仿宋_GB2312" w:eastAsia="仿宋_GB2312" w:cs="仿宋_GB2312"/>
          <w:sz w:val="32"/>
          <w:szCs w:val="32"/>
        </w:rPr>
        <w:t xml:space="preserve">济源示范区财政金融局: </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 xml:space="preserve">为深入贯彻 “放管服”改革决策部署,根据 《河南省社会信用条例》《河南省地方金融监督管理局关于进一步深化放管服改革优化营商环境更好服务地方金融组织的通知》等有关规定,进一步营造典当行、融资租赁公司和商业保理公司 (以下简称地方金融组织)良好的营商环境,推动我省地方金融系统信用体系建设,经研究,决定对 《河南省地方金融监督管理局关于印发典当行设立变更和退出三项审批制度的通知》《河南省地方金融监督管理局国家税务总局河南省税务局关于做好融资租赁企业有关工作的通知》《河南省地方金融监督管理局关于做好商业保理行业有关工作的通知》等文件中的有关申请材料进行精简优化,现就有关事宜通知如下。 </w:t>
      </w:r>
    </w:p>
    <w:p>
      <w:pPr>
        <w:ind w:firstLine="640" w:firstLineChars="200"/>
        <w:rPr>
          <w:rFonts w:ascii="黑体" w:hAnsi="黑体" w:eastAsia="黑体" w:cs="黑体"/>
          <w:sz w:val="32"/>
          <w:szCs w:val="32"/>
        </w:rPr>
      </w:pPr>
      <w:r>
        <w:rPr>
          <w:rFonts w:hint="eastAsia" w:ascii="黑体" w:hAnsi="黑体" w:eastAsia="黑体" w:cs="黑体"/>
          <w:sz w:val="32"/>
          <w:szCs w:val="32"/>
        </w:rPr>
        <w:t xml:space="preserve">一、建立健全信用承诺制度 </w:t>
      </w:r>
    </w:p>
    <w:p>
      <w:pPr>
        <w:ind w:firstLine="640" w:firstLineChars="200"/>
      </w:pPr>
      <w:r>
        <w:rPr>
          <w:rFonts w:ascii="仿宋_GB2312" w:hAnsi="仿宋_GB2312" w:eastAsia="仿宋_GB2312" w:cs="仿宋_GB2312"/>
          <w:sz w:val="32"/>
          <w:szCs w:val="32"/>
        </w:rPr>
        <w:t>为加强社会信用监管,提高行政审批效率,申请设立典当行、融资租赁公司、商业保理公司时,申请人应就申请材料真实性、任职人员资格合规性、住所 (场所)消防安全合法性等分别进行承诺 (见附件),对申请人 (信用主体)违背信用承诺的, 将依法依规实施行政处罚和纳入信用惩戒。</w:t>
      </w:r>
    </w:p>
    <w:p>
      <w:pPr>
        <w:ind w:firstLine="640" w:firstLineChars="200"/>
        <w:rPr>
          <w:rFonts w:ascii="黑体" w:hAnsi="黑体" w:eastAsia="黑体" w:cs="黑体"/>
          <w:sz w:val="32"/>
          <w:szCs w:val="32"/>
        </w:rPr>
      </w:pPr>
      <w:r>
        <w:rPr>
          <w:rFonts w:ascii="黑体" w:hAnsi="黑体" w:eastAsia="黑体" w:cs="黑体"/>
          <w:sz w:val="32"/>
          <w:szCs w:val="32"/>
        </w:rPr>
        <w:t xml:space="preserve">二、优化材料清单 </w:t>
      </w:r>
    </w:p>
    <w:p>
      <w:pPr>
        <w:ind w:firstLine="640" w:firstLineChars="200"/>
        <w:rPr>
          <w:rFonts w:ascii="楷体" w:hAnsi="楷体" w:eastAsia="楷体" w:cs="楷体"/>
          <w:sz w:val="32"/>
          <w:szCs w:val="32"/>
        </w:rPr>
      </w:pPr>
      <w:r>
        <w:rPr>
          <w:rFonts w:hint="eastAsia" w:ascii="楷体" w:hAnsi="楷体" w:eastAsia="楷体" w:cs="楷体"/>
          <w:sz w:val="32"/>
          <w:szCs w:val="32"/>
        </w:rPr>
        <w:t xml:space="preserve">(一)设立典当行材料清单 </w:t>
      </w:r>
      <w:r>
        <w:rPr>
          <w:rFonts w:ascii="E-BZ" w:hAnsi="E-BZ" w:eastAsia="E-BZ" w:cs="E-BZ"/>
          <w:color w:val="000000"/>
          <w:kern w:val="0"/>
          <w:sz w:val="19"/>
          <w:szCs w:val="19"/>
        </w:rPr>
        <w:drawing>
          <wp:anchor distT="0" distB="0" distL="114300" distR="114300" simplePos="0" relativeHeight="251659264" behindDoc="0" locked="0" layoutInCell="1" allowOverlap="1">
            <wp:simplePos x="0" y="0"/>
            <wp:positionH relativeFrom="column">
              <wp:posOffset>0</wp:posOffset>
            </wp:positionH>
            <wp:positionV relativeFrom="paragraph">
              <wp:posOffset>417195</wp:posOffset>
            </wp:positionV>
            <wp:extent cx="3968750" cy="3018155"/>
            <wp:effectExtent l="0" t="0" r="12700" b="10795"/>
            <wp:wrapSquare wrapText="bothSides"/>
            <wp:docPr id="1" name="图片 1" descr="1680170084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680170084867"/>
                    <pic:cNvPicPr>
                      <a:picLocks noChangeAspect="1"/>
                    </pic:cNvPicPr>
                  </pic:nvPicPr>
                  <pic:blipFill>
                    <a:blip r:embed="rId5"/>
                    <a:stretch>
                      <a:fillRect/>
                    </a:stretch>
                  </pic:blipFill>
                  <pic:spPr>
                    <a:xfrm>
                      <a:off x="0" y="0"/>
                      <a:ext cx="3968750" cy="3018155"/>
                    </a:xfrm>
                    <a:prstGeom prst="rect">
                      <a:avLst/>
                    </a:prstGeom>
                  </pic:spPr>
                </pic:pic>
              </a:graphicData>
            </a:graphic>
          </wp:anchor>
        </w:drawing>
      </w:r>
    </w:p>
    <w:p>
      <w:pPr>
        <w:widowControl/>
        <w:jc w:val="left"/>
        <w:rPr>
          <w:rFonts w:ascii="E-BZ" w:hAnsi="E-BZ" w:eastAsia="E-BZ" w:cs="E-BZ"/>
          <w:color w:val="000000"/>
          <w:kern w:val="0"/>
          <w:sz w:val="19"/>
          <w:szCs w:val="19"/>
        </w:rPr>
      </w:pPr>
    </w:p>
    <w:p>
      <w:pPr>
        <w:widowControl/>
        <w:jc w:val="left"/>
        <w:rPr>
          <w:rFonts w:ascii="E-BZ" w:hAnsi="E-BZ" w:eastAsia="E-BZ" w:cs="E-BZ"/>
          <w:color w:val="000000"/>
          <w:kern w:val="0"/>
          <w:sz w:val="19"/>
          <w:szCs w:val="19"/>
        </w:rPr>
      </w:pPr>
    </w:p>
    <w:p>
      <w:pPr>
        <w:widowControl/>
        <w:jc w:val="left"/>
        <w:rPr>
          <w:rFonts w:ascii="E-BZ" w:hAnsi="E-BZ" w:eastAsia="E-BZ" w:cs="E-BZ"/>
          <w:color w:val="000000"/>
          <w:kern w:val="0"/>
          <w:sz w:val="19"/>
          <w:szCs w:val="19"/>
        </w:rPr>
      </w:pPr>
    </w:p>
    <w:p>
      <w:pPr>
        <w:widowControl/>
        <w:jc w:val="left"/>
        <w:rPr>
          <w:rFonts w:ascii="E-BZ" w:hAnsi="E-BZ" w:eastAsia="E-BZ" w:cs="E-BZ"/>
          <w:color w:val="000000"/>
          <w:kern w:val="0"/>
          <w:sz w:val="19"/>
          <w:szCs w:val="19"/>
        </w:rPr>
      </w:pPr>
    </w:p>
    <w:p>
      <w:pPr>
        <w:widowControl/>
        <w:jc w:val="left"/>
        <w:rPr>
          <w:rFonts w:ascii="E-BZ" w:hAnsi="E-BZ" w:eastAsia="E-BZ" w:cs="E-BZ"/>
          <w:color w:val="000000"/>
          <w:kern w:val="0"/>
          <w:sz w:val="19"/>
          <w:szCs w:val="19"/>
        </w:rPr>
      </w:pPr>
    </w:p>
    <w:p>
      <w:pPr>
        <w:widowControl/>
        <w:jc w:val="left"/>
        <w:rPr>
          <w:rFonts w:ascii="E-BZ" w:hAnsi="E-BZ" w:eastAsia="E-BZ" w:cs="E-BZ"/>
          <w:color w:val="000000"/>
          <w:kern w:val="0"/>
          <w:sz w:val="19"/>
          <w:szCs w:val="19"/>
        </w:rPr>
      </w:pPr>
    </w:p>
    <w:p>
      <w:pPr>
        <w:widowControl/>
        <w:jc w:val="left"/>
        <w:rPr>
          <w:rFonts w:ascii="E-BZ" w:hAnsi="E-BZ" w:eastAsia="E-BZ" w:cs="E-BZ"/>
          <w:color w:val="000000"/>
          <w:kern w:val="0"/>
          <w:sz w:val="19"/>
          <w:szCs w:val="19"/>
        </w:rPr>
      </w:pPr>
    </w:p>
    <w:p>
      <w:pPr>
        <w:widowControl/>
        <w:jc w:val="left"/>
        <w:rPr>
          <w:rFonts w:ascii="E-BZ" w:hAnsi="E-BZ" w:eastAsia="E-BZ" w:cs="E-BZ"/>
          <w:color w:val="000000"/>
          <w:kern w:val="0"/>
          <w:sz w:val="19"/>
          <w:szCs w:val="19"/>
        </w:rPr>
      </w:pPr>
    </w:p>
    <w:p>
      <w:pPr>
        <w:widowControl/>
        <w:jc w:val="left"/>
        <w:rPr>
          <w:rFonts w:ascii="E-BZ" w:hAnsi="E-BZ" w:eastAsia="E-BZ" w:cs="E-BZ"/>
          <w:color w:val="000000"/>
          <w:kern w:val="0"/>
          <w:sz w:val="19"/>
          <w:szCs w:val="19"/>
        </w:rPr>
      </w:pPr>
      <w:r>
        <w:rPr>
          <w:rFonts w:ascii="E-BZ" w:hAnsi="E-BZ" w:eastAsia="E-BZ" w:cs="E-BZ"/>
          <w:color w:val="000000"/>
          <w:kern w:val="0"/>
          <w:sz w:val="19"/>
          <w:szCs w:val="19"/>
        </w:rPr>
        <w:drawing>
          <wp:anchor distT="0" distB="0" distL="114300" distR="114300" simplePos="0" relativeHeight="251660288" behindDoc="0" locked="0" layoutInCell="1" allowOverlap="1">
            <wp:simplePos x="0" y="0"/>
            <wp:positionH relativeFrom="column">
              <wp:posOffset>0</wp:posOffset>
            </wp:positionH>
            <wp:positionV relativeFrom="paragraph">
              <wp:posOffset>95250</wp:posOffset>
            </wp:positionV>
            <wp:extent cx="3971925" cy="4760595"/>
            <wp:effectExtent l="0" t="0" r="9525" b="1905"/>
            <wp:wrapSquare wrapText="bothSides"/>
            <wp:docPr id="2" name="图片 2" descr="1680170118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680170118685"/>
                    <pic:cNvPicPr>
                      <a:picLocks noChangeAspect="1"/>
                    </pic:cNvPicPr>
                  </pic:nvPicPr>
                  <pic:blipFill>
                    <a:blip r:embed="rId6"/>
                    <a:stretch>
                      <a:fillRect/>
                    </a:stretch>
                  </pic:blipFill>
                  <pic:spPr>
                    <a:xfrm>
                      <a:off x="0" y="0"/>
                      <a:ext cx="3971925" cy="4760595"/>
                    </a:xfrm>
                    <a:prstGeom prst="rect">
                      <a:avLst/>
                    </a:prstGeom>
                  </pic:spPr>
                </pic:pic>
              </a:graphicData>
            </a:graphic>
          </wp:anchor>
        </w:drawing>
      </w:r>
    </w:p>
    <w:p>
      <w:pPr>
        <w:widowControl/>
        <w:jc w:val="left"/>
        <w:rPr>
          <w:rFonts w:ascii="E-BZ" w:hAnsi="E-BZ" w:eastAsia="E-BZ" w:cs="E-BZ"/>
          <w:color w:val="000000"/>
          <w:kern w:val="0"/>
          <w:sz w:val="19"/>
          <w:szCs w:val="19"/>
        </w:rPr>
      </w:pPr>
    </w:p>
    <w:p>
      <w:pPr>
        <w:widowControl/>
        <w:jc w:val="left"/>
      </w:pPr>
    </w:p>
    <w:p>
      <w:pPr>
        <w:widowControl/>
        <w:jc w:val="left"/>
        <w:rPr>
          <w:rFonts w:ascii="E-BZ" w:hAnsi="E-BZ" w:eastAsia="E-BZ" w:cs="E-BZ"/>
          <w:color w:val="000000"/>
          <w:kern w:val="0"/>
          <w:sz w:val="29"/>
          <w:szCs w:val="29"/>
        </w:rPr>
      </w:pPr>
    </w:p>
    <w:p>
      <w:pPr>
        <w:widowControl/>
        <w:jc w:val="left"/>
        <w:rPr>
          <w:rFonts w:ascii="E-BZ" w:hAnsi="E-BZ" w:eastAsia="E-BZ" w:cs="E-BZ"/>
          <w:color w:val="000000"/>
          <w:kern w:val="0"/>
          <w:sz w:val="29"/>
          <w:szCs w:val="29"/>
        </w:rPr>
      </w:pPr>
    </w:p>
    <w:p>
      <w:pPr>
        <w:widowControl/>
        <w:jc w:val="left"/>
        <w:rPr>
          <w:rFonts w:ascii="E-BZ" w:hAnsi="E-BZ" w:eastAsia="E-BZ" w:cs="E-BZ"/>
          <w:color w:val="000000"/>
          <w:kern w:val="0"/>
          <w:sz w:val="29"/>
          <w:szCs w:val="29"/>
        </w:rPr>
      </w:pPr>
    </w:p>
    <w:p>
      <w:pPr>
        <w:widowControl/>
        <w:jc w:val="left"/>
        <w:rPr>
          <w:rFonts w:ascii="E-BZ" w:hAnsi="E-BZ" w:eastAsia="E-BZ" w:cs="E-BZ"/>
          <w:color w:val="000000"/>
          <w:kern w:val="0"/>
          <w:sz w:val="29"/>
          <w:szCs w:val="29"/>
        </w:rPr>
      </w:pPr>
    </w:p>
    <w:p>
      <w:pPr>
        <w:widowControl/>
        <w:jc w:val="left"/>
        <w:rPr>
          <w:rFonts w:ascii="E-BZ" w:hAnsi="E-BZ" w:eastAsia="E-BZ" w:cs="E-BZ"/>
          <w:color w:val="000000"/>
          <w:kern w:val="0"/>
          <w:sz w:val="29"/>
          <w:szCs w:val="29"/>
        </w:rPr>
      </w:pPr>
    </w:p>
    <w:p>
      <w:pPr>
        <w:widowControl/>
        <w:jc w:val="left"/>
        <w:rPr>
          <w:rFonts w:ascii="E-BZ" w:hAnsi="E-BZ" w:eastAsia="E-BZ" w:cs="E-BZ"/>
          <w:color w:val="000000"/>
          <w:kern w:val="0"/>
          <w:sz w:val="29"/>
          <w:szCs w:val="29"/>
        </w:rPr>
      </w:pPr>
    </w:p>
    <w:p>
      <w:pPr>
        <w:widowControl/>
        <w:jc w:val="left"/>
        <w:rPr>
          <w:rFonts w:ascii="E-BZ" w:hAnsi="E-BZ" w:eastAsia="E-BZ" w:cs="E-BZ"/>
          <w:color w:val="000000"/>
          <w:kern w:val="0"/>
          <w:sz w:val="29"/>
          <w:szCs w:val="29"/>
        </w:rPr>
      </w:pPr>
    </w:p>
    <w:p>
      <w:pPr>
        <w:widowControl/>
        <w:jc w:val="left"/>
        <w:rPr>
          <w:rFonts w:ascii="E-BZ" w:hAnsi="E-BZ" w:eastAsia="E-BZ" w:cs="E-BZ"/>
          <w:color w:val="000000"/>
          <w:kern w:val="0"/>
          <w:sz w:val="29"/>
          <w:szCs w:val="29"/>
        </w:rPr>
      </w:pPr>
    </w:p>
    <w:p>
      <w:pPr>
        <w:widowControl/>
        <w:jc w:val="left"/>
        <w:rPr>
          <w:rFonts w:ascii="E-BZ" w:hAnsi="E-BZ" w:eastAsia="E-BZ" w:cs="E-BZ"/>
          <w:color w:val="000000"/>
          <w:kern w:val="0"/>
          <w:sz w:val="29"/>
          <w:szCs w:val="29"/>
        </w:rPr>
      </w:pPr>
    </w:p>
    <w:p>
      <w:pPr>
        <w:ind w:firstLine="640" w:firstLineChars="200"/>
        <w:rPr>
          <w:rFonts w:ascii="楷体" w:hAnsi="楷体" w:eastAsia="楷体" w:cs="楷体"/>
          <w:sz w:val="32"/>
          <w:szCs w:val="32"/>
        </w:rPr>
      </w:pPr>
    </w:p>
    <w:p>
      <w:pPr>
        <w:numPr>
          <w:ilvl w:val="0"/>
          <w:numId w:val="7"/>
        </w:numPr>
        <w:ind w:firstLine="640" w:firstLineChars="200"/>
        <w:rPr>
          <w:rFonts w:ascii="楷体" w:hAnsi="楷体" w:eastAsia="楷体" w:cs="楷体"/>
          <w:sz w:val="32"/>
          <w:szCs w:val="32"/>
        </w:rPr>
      </w:pPr>
      <w:r>
        <w:rPr>
          <w:rFonts w:ascii="楷体" w:hAnsi="楷体" w:eastAsia="楷体" w:cs="楷体"/>
          <w:sz w:val="32"/>
          <w:szCs w:val="32"/>
        </w:rPr>
        <w:t xml:space="preserve">设立融资租赁公司材料清单 </w:t>
      </w:r>
    </w:p>
    <w:p>
      <w:pPr>
        <w:rPr>
          <w:rFonts w:ascii="楷体" w:hAnsi="楷体" w:eastAsia="楷体" w:cs="楷体"/>
          <w:sz w:val="32"/>
          <w:szCs w:val="32"/>
        </w:rPr>
      </w:pPr>
      <w:r>
        <w:rPr>
          <w:rFonts w:hint="eastAsia" w:ascii="楷体" w:hAnsi="楷体" w:eastAsia="楷体" w:cs="楷体"/>
          <w:sz w:val="32"/>
          <w:szCs w:val="32"/>
        </w:rPr>
        <w:drawing>
          <wp:inline distT="0" distB="0" distL="114300" distR="114300">
            <wp:extent cx="4523105" cy="1024255"/>
            <wp:effectExtent l="0" t="0" r="10795" b="4445"/>
            <wp:docPr id="3" name="图片 3" descr="1680170380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680170380362"/>
                    <pic:cNvPicPr>
                      <a:picLocks noChangeAspect="1"/>
                    </pic:cNvPicPr>
                  </pic:nvPicPr>
                  <pic:blipFill>
                    <a:blip r:embed="rId7"/>
                    <a:stretch>
                      <a:fillRect/>
                    </a:stretch>
                  </pic:blipFill>
                  <pic:spPr>
                    <a:xfrm>
                      <a:off x="0" y="0"/>
                      <a:ext cx="4523105" cy="1024255"/>
                    </a:xfrm>
                    <a:prstGeom prst="rect">
                      <a:avLst/>
                    </a:prstGeom>
                  </pic:spPr>
                </pic:pic>
              </a:graphicData>
            </a:graphic>
          </wp:inline>
        </w:drawing>
      </w:r>
    </w:p>
    <w:p>
      <w:pPr>
        <w:rPr>
          <w:rFonts w:ascii="楷体" w:hAnsi="楷体" w:eastAsia="楷体" w:cs="楷体"/>
          <w:sz w:val="32"/>
          <w:szCs w:val="32"/>
        </w:rPr>
      </w:pPr>
      <w:r>
        <w:rPr>
          <w:rFonts w:hint="eastAsia" w:ascii="楷体" w:hAnsi="楷体" w:eastAsia="楷体" w:cs="楷体"/>
          <w:sz w:val="32"/>
          <w:szCs w:val="32"/>
        </w:rPr>
        <w:drawing>
          <wp:inline distT="0" distB="0" distL="114300" distR="114300">
            <wp:extent cx="4573905" cy="6725285"/>
            <wp:effectExtent l="0" t="0" r="17145" b="18415"/>
            <wp:docPr id="4" name="图片 4" descr="1680170418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680170418182"/>
                    <pic:cNvPicPr>
                      <a:picLocks noChangeAspect="1"/>
                    </pic:cNvPicPr>
                  </pic:nvPicPr>
                  <pic:blipFill>
                    <a:blip r:embed="rId8"/>
                    <a:stretch>
                      <a:fillRect/>
                    </a:stretch>
                  </pic:blipFill>
                  <pic:spPr>
                    <a:xfrm>
                      <a:off x="0" y="0"/>
                      <a:ext cx="4573905" cy="6725285"/>
                    </a:xfrm>
                    <a:prstGeom prst="rect">
                      <a:avLst/>
                    </a:prstGeom>
                  </pic:spPr>
                </pic:pic>
              </a:graphicData>
            </a:graphic>
          </wp:inline>
        </w:drawing>
      </w:r>
    </w:p>
    <w:p>
      <w:pPr>
        <w:rPr>
          <w:rFonts w:ascii="楷体" w:hAnsi="楷体" w:eastAsia="楷体" w:cs="楷体"/>
          <w:sz w:val="32"/>
          <w:szCs w:val="32"/>
        </w:rPr>
      </w:pPr>
    </w:p>
    <w:p>
      <w:pPr>
        <w:rPr>
          <w:rFonts w:ascii="楷体" w:hAnsi="楷体" w:eastAsia="楷体" w:cs="楷体"/>
          <w:sz w:val="32"/>
          <w:szCs w:val="32"/>
        </w:rPr>
      </w:pPr>
      <w:r>
        <w:rPr>
          <w:rFonts w:hint="eastAsia" w:ascii="楷体" w:hAnsi="楷体" w:eastAsia="楷体" w:cs="楷体"/>
          <w:sz w:val="32"/>
          <w:szCs w:val="32"/>
        </w:rPr>
        <w:drawing>
          <wp:inline distT="0" distB="0" distL="114300" distR="114300">
            <wp:extent cx="5067300" cy="5924550"/>
            <wp:effectExtent l="0" t="0" r="0" b="0"/>
            <wp:docPr id="5" name="图片 5" descr="1680170466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680170466219"/>
                    <pic:cNvPicPr>
                      <a:picLocks noChangeAspect="1"/>
                    </pic:cNvPicPr>
                  </pic:nvPicPr>
                  <pic:blipFill>
                    <a:blip r:embed="rId9"/>
                    <a:stretch>
                      <a:fillRect/>
                    </a:stretch>
                  </pic:blipFill>
                  <pic:spPr>
                    <a:xfrm>
                      <a:off x="0" y="0"/>
                      <a:ext cx="5067300" cy="5924550"/>
                    </a:xfrm>
                    <a:prstGeom prst="rect">
                      <a:avLst/>
                    </a:prstGeom>
                  </pic:spPr>
                </pic:pic>
              </a:graphicData>
            </a:graphic>
          </wp:inline>
        </w:drawing>
      </w:r>
    </w:p>
    <w:p>
      <w:pPr>
        <w:numPr>
          <w:ilvl w:val="0"/>
          <w:numId w:val="7"/>
        </w:numPr>
        <w:ind w:firstLine="640" w:firstLineChars="200"/>
        <w:rPr>
          <w:rFonts w:ascii="楷体" w:hAnsi="楷体" w:eastAsia="楷体" w:cs="楷体"/>
          <w:sz w:val="32"/>
          <w:szCs w:val="32"/>
        </w:rPr>
      </w:pPr>
      <w:r>
        <w:rPr>
          <w:rFonts w:ascii="楷体" w:hAnsi="楷体" w:eastAsia="楷体" w:cs="楷体"/>
          <w:sz w:val="32"/>
          <w:szCs w:val="32"/>
        </w:rPr>
        <w:t xml:space="preserve">设立商业保理公司材料清单 </w:t>
      </w:r>
    </w:p>
    <w:p>
      <w:pPr>
        <w:rPr>
          <w:rFonts w:ascii="楷体" w:hAnsi="楷体" w:eastAsia="楷体" w:cs="楷体"/>
          <w:sz w:val="32"/>
          <w:szCs w:val="32"/>
        </w:rPr>
      </w:pPr>
      <w:r>
        <w:rPr>
          <w:rFonts w:ascii="楷体" w:hAnsi="楷体" w:eastAsia="楷体" w:cs="楷体"/>
          <w:sz w:val="32"/>
          <w:szCs w:val="32"/>
        </w:rPr>
        <w:drawing>
          <wp:inline distT="0" distB="0" distL="114300" distR="114300">
            <wp:extent cx="5038725" cy="1190625"/>
            <wp:effectExtent l="0" t="0" r="9525" b="9525"/>
            <wp:docPr id="6" name="图片 6" descr="1680170507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680170507244"/>
                    <pic:cNvPicPr>
                      <a:picLocks noChangeAspect="1"/>
                    </pic:cNvPicPr>
                  </pic:nvPicPr>
                  <pic:blipFill>
                    <a:blip r:embed="rId10"/>
                    <a:stretch>
                      <a:fillRect/>
                    </a:stretch>
                  </pic:blipFill>
                  <pic:spPr>
                    <a:xfrm>
                      <a:off x="0" y="0"/>
                      <a:ext cx="5038725" cy="1190625"/>
                    </a:xfrm>
                    <a:prstGeom prst="rect">
                      <a:avLst/>
                    </a:prstGeom>
                  </pic:spPr>
                </pic:pic>
              </a:graphicData>
            </a:graphic>
          </wp:inline>
        </w:drawing>
      </w:r>
    </w:p>
    <w:p>
      <w:pPr>
        <w:rPr>
          <w:rFonts w:ascii="楷体" w:hAnsi="楷体" w:eastAsia="楷体" w:cs="楷体"/>
          <w:sz w:val="32"/>
          <w:szCs w:val="32"/>
        </w:rPr>
      </w:pPr>
      <w:r>
        <w:rPr>
          <w:rFonts w:ascii="楷体" w:hAnsi="楷体" w:eastAsia="楷体" w:cs="楷体"/>
          <w:sz w:val="32"/>
          <w:szCs w:val="32"/>
        </w:rPr>
        <w:drawing>
          <wp:inline distT="0" distB="0" distL="114300" distR="114300">
            <wp:extent cx="5086350" cy="7467600"/>
            <wp:effectExtent l="0" t="0" r="0" b="0"/>
            <wp:docPr id="7" name="图片 7" descr="168017053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680170532052"/>
                    <pic:cNvPicPr>
                      <a:picLocks noChangeAspect="1"/>
                    </pic:cNvPicPr>
                  </pic:nvPicPr>
                  <pic:blipFill>
                    <a:blip r:embed="rId11"/>
                    <a:stretch>
                      <a:fillRect/>
                    </a:stretch>
                  </pic:blipFill>
                  <pic:spPr>
                    <a:xfrm>
                      <a:off x="0" y="0"/>
                      <a:ext cx="5086350" cy="7467600"/>
                    </a:xfrm>
                    <a:prstGeom prst="rect">
                      <a:avLst/>
                    </a:prstGeom>
                  </pic:spPr>
                </pic:pic>
              </a:graphicData>
            </a:graphic>
          </wp:inline>
        </w:drawing>
      </w:r>
    </w:p>
    <w:p>
      <w:pPr>
        <w:rPr>
          <w:rFonts w:ascii="楷体" w:hAnsi="楷体" w:eastAsia="楷体" w:cs="楷体"/>
          <w:sz w:val="32"/>
          <w:szCs w:val="32"/>
        </w:rPr>
      </w:pPr>
      <w:r>
        <w:rPr>
          <w:rFonts w:ascii="楷体" w:hAnsi="楷体" w:eastAsia="楷体" w:cs="楷体"/>
          <w:sz w:val="32"/>
          <w:szCs w:val="32"/>
        </w:rPr>
        <w:drawing>
          <wp:inline distT="0" distB="0" distL="114300" distR="114300">
            <wp:extent cx="5048250" cy="2790825"/>
            <wp:effectExtent l="0" t="0" r="0" b="9525"/>
            <wp:docPr id="8" name="图片 8" descr="1680170558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680170558705"/>
                    <pic:cNvPicPr>
                      <a:picLocks noChangeAspect="1"/>
                    </pic:cNvPicPr>
                  </pic:nvPicPr>
                  <pic:blipFill>
                    <a:blip r:embed="rId12"/>
                    <a:stretch>
                      <a:fillRect/>
                    </a:stretch>
                  </pic:blipFill>
                  <pic:spPr>
                    <a:xfrm>
                      <a:off x="0" y="0"/>
                      <a:ext cx="5048250" cy="2790825"/>
                    </a:xfrm>
                    <a:prstGeom prst="rect">
                      <a:avLst/>
                    </a:prstGeom>
                  </pic:spPr>
                </pic:pic>
              </a:graphicData>
            </a:graphic>
          </wp:inline>
        </w:drawing>
      </w:r>
    </w:p>
    <w:p>
      <w:pPr>
        <w:widowControl/>
        <w:jc w:val="left"/>
        <w:rPr>
          <w:rFonts w:ascii="黑体" w:hAnsi="黑体" w:eastAsia="黑体" w:cs="黑体"/>
          <w:sz w:val="32"/>
          <w:szCs w:val="32"/>
        </w:rPr>
      </w:pPr>
      <w:r>
        <w:rPr>
          <w:rFonts w:hint="eastAsia" w:ascii="黑体" w:hAnsi="黑体" w:eastAsia="黑体" w:cs="黑体"/>
          <w:color w:val="000000"/>
          <w:kern w:val="0"/>
          <w:sz w:val="32"/>
          <w:szCs w:val="32"/>
        </w:rPr>
        <w:t xml:space="preserve">三、有关要求 </w:t>
      </w:r>
    </w:p>
    <w:p>
      <w:pPr>
        <w:ind w:firstLine="960" w:firstLineChars="300"/>
        <w:rPr>
          <w:rFonts w:ascii="仿宋_GB2312" w:hAnsi="仿宋_GB2312" w:eastAsia="仿宋_GB2312" w:cs="仿宋_GB2312"/>
          <w:sz w:val="32"/>
          <w:szCs w:val="32"/>
        </w:rPr>
      </w:pPr>
      <w:r>
        <w:rPr>
          <w:rFonts w:ascii="楷体" w:hAnsi="楷体" w:eastAsia="楷体" w:cs="楷体"/>
          <w:sz w:val="32"/>
          <w:szCs w:val="32"/>
        </w:rPr>
        <w:t>(一)做好政务服务。</w:t>
      </w:r>
      <w:r>
        <w:rPr>
          <w:rFonts w:ascii="仿宋_GB2312" w:hAnsi="仿宋_GB2312" w:eastAsia="仿宋_GB2312" w:cs="仿宋_GB2312"/>
          <w:sz w:val="32"/>
          <w:szCs w:val="32"/>
        </w:rPr>
        <w:t xml:space="preserve">各级地方金融工作部门要严格落实《关于进一步深化放管服改革优化营商环境更好服务地方金融组织的通知》 (豫金发 〔2020〕187号)的有关要求,鼓励新设地方金融组织通过河南省政务服务网线上申报。要加快实施首问负责制,建立首席服务官制度,为我省地方金融组织提供主动服务、靠前服务和精准服务。 </w:t>
      </w:r>
    </w:p>
    <w:p>
      <w:pPr>
        <w:widowControl/>
        <w:ind w:firstLine="640" w:firstLineChars="200"/>
        <w:jc w:val="left"/>
        <w:rPr>
          <w:rFonts w:ascii="仿宋_GB2312" w:hAnsi="仿宋_GB2312" w:eastAsia="仿宋_GB2312" w:cs="仿宋_GB2312"/>
          <w:sz w:val="32"/>
          <w:szCs w:val="32"/>
        </w:rPr>
      </w:pPr>
      <w:r>
        <w:rPr>
          <w:rFonts w:ascii="楷体" w:hAnsi="楷体" w:eastAsia="楷体" w:cs="楷体"/>
          <w:sz w:val="32"/>
          <w:szCs w:val="32"/>
        </w:rPr>
        <w:t>(二)加强事前防范。</w:t>
      </w:r>
      <w:r>
        <w:rPr>
          <w:rFonts w:hint="eastAsia" w:ascii="仿宋_GB2312" w:hAnsi="仿宋_GB2312" w:eastAsia="仿宋_GB2312" w:cs="仿宋_GB2312"/>
          <w:color w:val="000000"/>
          <w:kern w:val="0"/>
          <w:sz w:val="32"/>
          <w:szCs w:val="32"/>
        </w:rPr>
        <w:t xml:space="preserve">对拟申请设立的地方金融组织,省辖市金融工作局、济源示范区财政金融局应独立或联合县 (区)地方金融工作部门对股东、董监高进行准入前谈话,组织从业人员进行法律知识和信用知识教育培训,提高经营者依法诚信经营意识。按照金融业审慎监管要求,省辖市金融工作局、济源示范区财政金融局可根据审核情况,参照 《典当行业监管规定》第十六条的有关规定,责令申请人补充提供相关银行流水、缴纳增值税和所得税记录等辅助审核材料,对申请人的出资实力和资金状况等作实质性审查。 </w:t>
      </w:r>
    </w:p>
    <w:p>
      <w:pPr>
        <w:widowControl/>
        <w:ind w:firstLine="640" w:firstLineChars="200"/>
        <w:jc w:val="left"/>
        <w:rPr>
          <w:rFonts w:ascii="仿宋_GB2312" w:hAnsi="仿宋_GB2312" w:eastAsia="仿宋_GB2312" w:cs="仿宋_GB2312"/>
          <w:color w:val="000000"/>
          <w:kern w:val="0"/>
          <w:sz w:val="32"/>
          <w:szCs w:val="32"/>
        </w:rPr>
      </w:pPr>
      <w:r>
        <w:rPr>
          <w:rFonts w:ascii="楷体" w:hAnsi="楷体" w:eastAsia="楷体" w:cs="楷体"/>
          <w:sz w:val="32"/>
          <w:szCs w:val="32"/>
        </w:rPr>
        <w:t>(三)做好事中监管。</w:t>
      </w:r>
      <w:r>
        <w:rPr>
          <w:rFonts w:ascii="仿宋_GB2312" w:hAnsi="仿宋_GB2312" w:eastAsia="仿宋_GB2312" w:cs="仿宋_GB2312"/>
          <w:color w:val="000000"/>
          <w:kern w:val="0"/>
          <w:sz w:val="32"/>
          <w:szCs w:val="32"/>
        </w:rPr>
        <w:t xml:space="preserve">对新批准设立的地方金融组织,各县(区)地方金融工作部门要在一年内对其资金和业务实施重点监管,每月收集银行流水和业务明细等监管信息,指导和规范新设地方金融组织经营行为。省辖市金融工作局、济源示范区财政金融局应每季度汇总分析新设地方金融组织相关监管信息,定期约谈其主要负责人和高管人员,必要时可引入会计师事务所、律师事务所等中介机构进行现场检查。 </w:t>
      </w:r>
    </w:p>
    <w:p>
      <w:pPr>
        <w:widowControl/>
        <w:ind w:firstLine="640" w:firstLineChars="200"/>
        <w:jc w:val="left"/>
        <w:rPr>
          <w:rFonts w:ascii="仿宋_GB2312" w:hAnsi="仿宋_GB2312" w:eastAsia="仿宋_GB2312" w:cs="仿宋_GB2312"/>
          <w:color w:val="000000"/>
          <w:kern w:val="0"/>
          <w:sz w:val="32"/>
          <w:szCs w:val="32"/>
        </w:rPr>
      </w:pPr>
      <w:r>
        <w:rPr>
          <w:rFonts w:ascii="楷体" w:hAnsi="楷体" w:eastAsia="楷体" w:cs="楷体"/>
          <w:sz w:val="32"/>
          <w:szCs w:val="32"/>
        </w:rPr>
        <w:t>(四)实施信用监管。</w:t>
      </w:r>
      <w:r>
        <w:rPr>
          <w:rFonts w:ascii="仿宋_GB2312" w:hAnsi="仿宋_GB2312" w:eastAsia="仿宋_GB2312" w:cs="仿宋_GB2312"/>
          <w:color w:val="000000"/>
          <w:kern w:val="0"/>
          <w:sz w:val="32"/>
          <w:szCs w:val="32"/>
        </w:rPr>
        <w:t xml:space="preserve">各级地方金融工作部门要按照 《河南省社会信用条例》等有关规定,积极推进本地区地方金融系统诚信体系建设,依法归集地方金融组织信用信息,将书面承诺履约情况记入信用记录,作为事中、事后监管的重要依据。对坚守信用承诺的,实施联合激励;对违反信用承诺的,依法纳入失信惩戒。特别是对信用主体违背信用承诺取得行政许可的,要按照《行政许可法》第七十八条、第七十九条、第八十条以及 《河南省社会信用条例》第六十八条的规定,予以处罚。 </w:t>
      </w:r>
    </w:p>
    <w:p>
      <w:pPr>
        <w:rPr>
          <w:rFonts w:ascii="仿宋_GB2312" w:hAnsi="仿宋_GB2312" w:eastAsia="仿宋_GB2312" w:cs="仿宋_GB2312"/>
          <w:color w:val="000000"/>
          <w:kern w:val="0"/>
          <w:sz w:val="32"/>
          <w:szCs w:val="32"/>
        </w:rPr>
      </w:pPr>
      <w:r>
        <w:rPr>
          <w:rFonts w:ascii="仿宋_GB2312" w:hAnsi="仿宋_GB2312" w:eastAsia="仿宋_GB2312" w:cs="仿宋_GB2312"/>
          <w:color w:val="000000"/>
          <w:kern w:val="0"/>
          <w:sz w:val="32"/>
          <w:szCs w:val="32"/>
        </w:rPr>
        <w:br w:type="page"/>
      </w:r>
    </w:p>
    <w:p>
      <w:pPr>
        <w:widowControl/>
        <w:jc w:val="center"/>
        <w:rPr>
          <w:rFonts w:ascii="方正小标宋_GBK" w:hAnsi="方正小标宋_GBK" w:eastAsia="方正小标宋_GBK" w:cs="方正小标宋_GBK"/>
          <w:color w:val="000000"/>
          <w:kern w:val="0"/>
          <w:sz w:val="39"/>
          <w:szCs w:val="39"/>
        </w:rPr>
      </w:pPr>
      <w:r>
        <w:rPr>
          <w:rFonts w:hint="eastAsia" w:ascii="方正小标宋_GBK" w:hAnsi="方正小标宋_GBK" w:eastAsia="方正小标宋_GBK" w:cs="方正小标宋_GBK"/>
          <w:color w:val="000000"/>
          <w:kern w:val="0"/>
          <w:sz w:val="39"/>
          <w:szCs w:val="39"/>
        </w:rPr>
        <w:t>第二篇：</w:t>
      </w:r>
      <w:r>
        <w:rPr>
          <w:rFonts w:ascii="方正小标宋_GBK" w:hAnsi="方正小标宋_GBK" w:eastAsia="方正小标宋_GBK" w:cs="方正小标宋_GBK"/>
          <w:color w:val="000000"/>
          <w:kern w:val="0"/>
          <w:sz w:val="39"/>
          <w:szCs w:val="39"/>
        </w:rPr>
        <w:t>河南省地方金融监督管理局</w:t>
      </w:r>
    </w:p>
    <w:p>
      <w:pPr>
        <w:widowControl/>
        <w:jc w:val="center"/>
        <w:rPr>
          <w:rFonts w:ascii="方正小标宋_GBK" w:hAnsi="方正小标宋_GBK" w:eastAsia="方正小标宋_GBK" w:cs="方正小标宋_GBK"/>
          <w:color w:val="000000"/>
          <w:kern w:val="0"/>
          <w:sz w:val="39"/>
          <w:szCs w:val="39"/>
        </w:rPr>
      </w:pPr>
      <w:r>
        <w:rPr>
          <w:rFonts w:ascii="方正小标宋_GBK" w:hAnsi="方正小标宋_GBK" w:eastAsia="方正小标宋_GBK" w:cs="方正小标宋_GBK"/>
          <w:color w:val="000000"/>
          <w:kern w:val="0"/>
          <w:sz w:val="39"/>
          <w:szCs w:val="39"/>
        </w:rPr>
        <w:t>关于优化地方金融组织营商环境有关工作的</w:t>
      </w:r>
    </w:p>
    <w:p>
      <w:pPr>
        <w:widowControl/>
        <w:jc w:val="center"/>
        <w:rPr>
          <w:rFonts w:ascii="方正小标宋_GBK" w:hAnsi="方正小标宋_GBK" w:eastAsia="方正小标宋_GBK" w:cs="方正小标宋_GBK"/>
          <w:color w:val="000000"/>
          <w:kern w:val="0"/>
          <w:sz w:val="39"/>
          <w:szCs w:val="39"/>
        </w:rPr>
      </w:pPr>
      <w:r>
        <w:rPr>
          <w:rFonts w:ascii="方正小标宋_GBK" w:hAnsi="方正小标宋_GBK" w:eastAsia="方正小标宋_GBK" w:cs="方正小标宋_GBK"/>
          <w:color w:val="000000"/>
          <w:kern w:val="0"/>
          <w:sz w:val="39"/>
          <w:szCs w:val="39"/>
        </w:rPr>
        <w:t>通知</w:t>
      </w:r>
    </w:p>
    <w:p>
      <w:pPr>
        <w:keepNext/>
        <w:keepLines/>
        <w:spacing w:line="560" w:lineRule="exact"/>
        <w:ind w:firstLine="480" w:firstLineChars="200"/>
        <w:jc w:val="center"/>
        <w:rPr>
          <w:rStyle w:val="19"/>
          <w:rFonts w:hint="eastAsia" w:ascii="楷体" w:hAnsi="楷体" w:eastAsia="楷体" w:cs="楷体"/>
          <w:color w:val="000000"/>
          <w:sz w:val="24"/>
          <w:szCs w:val="24"/>
          <w:lang w:val="en-US" w:eastAsia="zh-CN"/>
        </w:rPr>
      </w:pPr>
      <w:r>
        <w:rPr>
          <w:rStyle w:val="19"/>
          <w:rFonts w:hint="eastAsia" w:ascii="楷体" w:hAnsi="楷体" w:eastAsia="楷体" w:cs="楷体"/>
          <w:color w:val="000000"/>
          <w:sz w:val="24"/>
          <w:szCs w:val="24"/>
          <w:lang w:eastAsia="zh-CN"/>
        </w:rPr>
        <w:t>河南省地方金融监督管理局文件</w:t>
      </w:r>
      <w:r>
        <w:rPr>
          <w:rStyle w:val="19"/>
          <w:rFonts w:hint="eastAsia" w:ascii="楷体" w:hAnsi="楷体" w:eastAsia="楷体" w:cs="楷体"/>
          <w:color w:val="000000"/>
          <w:sz w:val="24"/>
          <w:szCs w:val="24"/>
          <w:lang w:val="en-US" w:eastAsia="zh-CN"/>
        </w:rPr>
        <w:t xml:space="preserve"> </w:t>
      </w:r>
      <w:r>
        <w:rPr>
          <w:rStyle w:val="19"/>
          <w:rFonts w:hint="eastAsia" w:ascii="楷体" w:hAnsi="楷体" w:eastAsia="楷体" w:cs="楷体"/>
          <w:color w:val="000000"/>
          <w:sz w:val="24"/>
          <w:szCs w:val="24"/>
          <w:lang w:eastAsia="zh-CN"/>
        </w:rPr>
        <w:t>豫金监〔202</w:t>
      </w:r>
      <w:r>
        <w:rPr>
          <w:rStyle w:val="19"/>
          <w:rFonts w:hint="eastAsia" w:ascii="楷体" w:hAnsi="楷体" w:eastAsia="楷体" w:cs="楷体"/>
          <w:color w:val="000000"/>
          <w:sz w:val="24"/>
          <w:szCs w:val="24"/>
          <w:lang w:val="en-US" w:eastAsia="zh-CN"/>
        </w:rPr>
        <w:t>1</w:t>
      </w:r>
      <w:r>
        <w:rPr>
          <w:rStyle w:val="19"/>
          <w:rFonts w:hint="eastAsia" w:ascii="楷体" w:hAnsi="楷体" w:eastAsia="楷体" w:cs="楷体"/>
          <w:color w:val="000000"/>
          <w:sz w:val="24"/>
          <w:szCs w:val="24"/>
          <w:lang w:eastAsia="zh-CN"/>
        </w:rPr>
        <w:t>〕8</w:t>
      </w:r>
      <w:r>
        <w:rPr>
          <w:rStyle w:val="19"/>
          <w:rFonts w:hint="eastAsia" w:ascii="楷体" w:hAnsi="楷体" w:eastAsia="楷体" w:cs="楷体"/>
          <w:color w:val="000000"/>
          <w:sz w:val="24"/>
          <w:szCs w:val="24"/>
          <w:lang w:val="en-US" w:eastAsia="zh-CN"/>
        </w:rPr>
        <w:t>9</w:t>
      </w:r>
      <w:r>
        <w:rPr>
          <w:rStyle w:val="19"/>
          <w:rFonts w:hint="eastAsia" w:ascii="楷体" w:hAnsi="楷体" w:eastAsia="楷体" w:cs="楷体"/>
          <w:color w:val="000000"/>
          <w:sz w:val="24"/>
          <w:szCs w:val="24"/>
          <w:lang w:eastAsia="zh-CN"/>
        </w:rPr>
        <w:t>号</w:t>
      </w:r>
      <w:r>
        <w:rPr>
          <w:rStyle w:val="19"/>
          <w:rFonts w:hint="eastAsia" w:ascii="楷体" w:hAnsi="楷体" w:eastAsia="楷体" w:cs="楷体"/>
          <w:color w:val="000000"/>
          <w:sz w:val="24"/>
          <w:szCs w:val="24"/>
          <w:lang w:val="en-US" w:eastAsia="zh-CN"/>
        </w:rPr>
        <w:t xml:space="preserve"> </w:t>
      </w:r>
    </w:p>
    <w:p>
      <w:pPr>
        <w:keepNext/>
        <w:keepLines/>
        <w:spacing w:line="560" w:lineRule="exact"/>
        <w:ind w:firstLine="480" w:firstLineChars="200"/>
        <w:jc w:val="center"/>
        <w:rPr>
          <w:rFonts w:ascii="方正小标宋_GBK" w:hAnsi="方正小标宋_GBK" w:eastAsia="方正小标宋_GBK" w:cs="方正小标宋_GBK"/>
          <w:color w:val="000000"/>
          <w:kern w:val="0"/>
          <w:sz w:val="39"/>
          <w:szCs w:val="39"/>
        </w:rPr>
      </w:pPr>
      <w:r>
        <w:rPr>
          <w:rStyle w:val="19"/>
          <w:rFonts w:hint="eastAsia" w:ascii="楷体" w:hAnsi="楷体" w:eastAsia="楷体" w:cs="楷体"/>
          <w:color w:val="000000"/>
          <w:sz w:val="24"/>
          <w:szCs w:val="24"/>
        </w:rPr>
        <w:t>20</w:t>
      </w:r>
      <w:r>
        <w:rPr>
          <w:rStyle w:val="19"/>
          <w:rFonts w:hint="eastAsia" w:ascii="楷体" w:hAnsi="楷体" w:eastAsia="楷体" w:cs="楷体"/>
          <w:color w:val="000000"/>
          <w:sz w:val="24"/>
          <w:szCs w:val="24"/>
          <w:lang w:val="en-US" w:eastAsia="zh-CN"/>
        </w:rPr>
        <w:t>21</w:t>
      </w:r>
      <w:r>
        <w:rPr>
          <w:rStyle w:val="19"/>
          <w:rFonts w:hint="eastAsia" w:ascii="楷体" w:hAnsi="楷体" w:eastAsia="楷体" w:cs="楷体"/>
          <w:color w:val="000000"/>
          <w:sz w:val="24"/>
          <w:szCs w:val="24"/>
        </w:rPr>
        <w:t>年</w:t>
      </w:r>
      <w:r>
        <w:rPr>
          <w:rStyle w:val="19"/>
          <w:rFonts w:hint="eastAsia" w:ascii="楷体" w:hAnsi="楷体" w:eastAsia="楷体" w:cs="楷体"/>
          <w:color w:val="000000"/>
          <w:sz w:val="24"/>
          <w:szCs w:val="24"/>
          <w:lang w:val="en-US" w:eastAsia="zh-CN"/>
        </w:rPr>
        <w:t>12</w:t>
      </w:r>
      <w:r>
        <w:rPr>
          <w:rStyle w:val="19"/>
          <w:rFonts w:hint="eastAsia" w:ascii="楷体" w:hAnsi="楷体" w:eastAsia="楷体" w:cs="楷体"/>
          <w:color w:val="000000"/>
          <w:sz w:val="24"/>
          <w:szCs w:val="24"/>
        </w:rPr>
        <w:t>月</w:t>
      </w:r>
      <w:r>
        <w:rPr>
          <w:rStyle w:val="19"/>
          <w:rFonts w:hint="eastAsia" w:ascii="楷体" w:hAnsi="楷体" w:eastAsia="楷体" w:cs="楷体"/>
          <w:color w:val="000000"/>
          <w:sz w:val="24"/>
          <w:szCs w:val="24"/>
          <w:lang w:val="en-US" w:eastAsia="zh-CN"/>
        </w:rPr>
        <w:t>1</w:t>
      </w:r>
      <w:r>
        <w:rPr>
          <w:rStyle w:val="19"/>
          <w:rFonts w:hint="eastAsia" w:ascii="楷体" w:hAnsi="楷体" w:eastAsia="楷体" w:cs="楷体"/>
          <w:color w:val="000000"/>
          <w:sz w:val="24"/>
          <w:szCs w:val="24"/>
        </w:rPr>
        <w:t>日印发</w:t>
      </w:r>
    </w:p>
    <w:p>
      <w:pPr>
        <w:widowControl/>
        <w:ind w:firstLine="640" w:firstLineChars="200"/>
        <w:jc w:val="left"/>
        <w:rPr>
          <w:rFonts w:ascii="仿宋_GB2312" w:hAnsi="仿宋_GB2312" w:eastAsia="仿宋_GB2312" w:cs="仿宋_GB2312"/>
          <w:color w:val="000000"/>
          <w:kern w:val="0"/>
          <w:sz w:val="32"/>
          <w:szCs w:val="32"/>
        </w:rPr>
      </w:pPr>
      <w:r>
        <w:rPr>
          <w:rFonts w:ascii="仿宋_GB2312" w:hAnsi="仿宋_GB2312" w:eastAsia="仿宋_GB2312" w:cs="仿宋_GB2312"/>
          <w:color w:val="000000"/>
          <w:kern w:val="0"/>
          <w:sz w:val="32"/>
          <w:szCs w:val="32"/>
        </w:rPr>
        <w:t>各省辖市金融工作局、济源示范区财政金融局、各省直管县(市)地方金融工作部门:</w:t>
      </w:r>
    </w:p>
    <w:p>
      <w:pPr>
        <w:widowControl/>
        <w:ind w:firstLine="640" w:firstLineChars="200"/>
        <w:jc w:val="left"/>
        <w:rPr>
          <w:rFonts w:ascii="仿宋_GB2312" w:hAnsi="仿宋_GB2312" w:eastAsia="仿宋_GB2312" w:cs="仿宋_GB2312"/>
          <w:color w:val="000000"/>
          <w:kern w:val="0"/>
          <w:sz w:val="32"/>
          <w:szCs w:val="32"/>
        </w:rPr>
      </w:pPr>
      <w:r>
        <w:rPr>
          <w:rFonts w:ascii="仿宋_GB2312" w:hAnsi="仿宋_GB2312" w:eastAsia="仿宋_GB2312" w:cs="仿宋_GB2312"/>
          <w:color w:val="000000"/>
          <w:kern w:val="0"/>
          <w:sz w:val="32"/>
          <w:szCs w:val="32"/>
        </w:rPr>
        <w:t>为贯彻落实《河南省优化营商环境条例》,进一步深化“放管服”改革,营造地方金融组织良好发展环境,切实发挥地方金融组织的毛细血管作用,引导地方金融组织更好服务我省实体经济,特别是中小微企业发展,现就有关工作通知如下:</w:t>
      </w:r>
    </w:p>
    <w:p>
      <w:pPr>
        <w:widowControl/>
        <w:ind w:firstLine="640" w:firstLineChars="200"/>
        <w:jc w:val="left"/>
        <w:rPr>
          <w:rFonts w:ascii="黑体" w:hAnsi="黑体" w:eastAsia="黑体" w:cs="黑体"/>
          <w:color w:val="000000"/>
          <w:kern w:val="0"/>
          <w:sz w:val="32"/>
          <w:szCs w:val="32"/>
        </w:rPr>
      </w:pPr>
      <w:r>
        <w:rPr>
          <w:rFonts w:hint="eastAsia" w:ascii="黑体" w:hAnsi="黑体" w:eastAsia="黑体" w:cs="黑体"/>
          <w:color w:val="000000"/>
          <w:kern w:val="0"/>
          <w:sz w:val="32"/>
          <w:szCs w:val="32"/>
        </w:rPr>
        <w:t>一、优化服务措施,激发发展活力</w:t>
      </w:r>
    </w:p>
    <w:p>
      <w:pPr>
        <w:widowControl/>
        <w:ind w:firstLine="640" w:firstLineChars="200"/>
        <w:jc w:val="left"/>
        <w:rPr>
          <w:rFonts w:ascii="仿宋_GB2312" w:hAnsi="仿宋_GB2312" w:eastAsia="仿宋_GB2312" w:cs="仿宋_GB2312"/>
          <w:color w:val="000000"/>
          <w:kern w:val="0"/>
          <w:sz w:val="32"/>
          <w:szCs w:val="32"/>
        </w:rPr>
      </w:pPr>
      <w:r>
        <w:rPr>
          <w:rFonts w:hint="eastAsia" w:ascii="楷体" w:hAnsi="楷体" w:eastAsia="楷体" w:cs="楷体"/>
          <w:color w:val="000000"/>
          <w:kern w:val="0"/>
          <w:sz w:val="32"/>
          <w:szCs w:val="32"/>
        </w:rPr>
        <w:t>(一)全面推行业务网上办理。</w:t>
      </w:r>
      <w:r>
        <w:rPr>
          <w:rFonts w:ascii="仿宋_GB2312" w:hAnsi="仿宋_GB2312" w:eastAsia="仿宋_GB2312" w:cs="仿宋_GB2312"/>
          <w:color w:val="000000"/>
          <w:kern w:val="0"/>
          <w:sz w:val="32"/>
          <w:szCs w:val="32"/>
        </w:rPr>
        <w:t>在实行“设立典当行及分支机构审批”“融资担保公司设立、变更和终止审批”“小额贷款公司设立、变更和退出批准”事项网上业务办理的基础上,增加融资租赁公司和商业保理公司设立事项网上业务办理,增强行政审批的透明度和可预期性。</w:t>
      </w:r>
    </w:p>
    <w:p>
      <w:pPr>
        <w:widowControl/>
        <w:ind w:firstLine="640" w:firstLineChars="200"/>
        <w:jc w:val="left"/>
        <w:rPr>
          <w:rFonts w:ascii="仿宋_GB2312" w:hAnsi="仿宋_GB2312" w:eastAsia="仿宋_GB2312" w:cs="仿宋_GB2312"/>
          <w:color w:val="000000"/>
          <w:kern w:val="0"/>
          <w:sz w:val="32"/>
          <w:szCs w:val="32"/>
        </w:rPr>
      </w:pPr>
      <w:r>
        <w:rPr>
          <w:rFonts w:ascii="楷体" w:hAnsi="楷体" w:eastAsia="楷体" w:cs="楷体"/>
          <w:color w:val="000000"/>
          <w:kern w:val="0"/>
          <w:sz w:val="32"/>
          <w:szCs w:val="32"/>
        </w:rPr>
        <w:t>(二)延长许可证有效期限。</w:t>
      </w:r>
      <w:r>
        <w:rPr>
          <w:rFonts w:ascii="仿宋_GB2312" w:hAnsi="仿宋_GB2312" w:eastAsia="仿宋_GB2312" w:cs="仿宋_GB2312"/>
          <w:color w:val="000000"/>
          <w:kern w:val="0"/>
          <w:sz w:val="32"/>
          <w:szCs w:val="32"/>
        </w:rPr>
        <w:t>落实典当经营许可证的有效期限由6年延长至10年的要求,在2022年年底前完成对年审通过的典当行换发新的许可证。</w:t>
      </w:r>
    </w:p>
    <w:p>
      <w:pPr>
        <w:widowControl/>
        <w:ind w:firstLine="640" w:firstLineChars="200"/>
        <w:jc w:val="left"/>
        <w:rPr>
          <w:rFonts w:ascii="仿宋_GB2312" w:hAnsi="仿宋_GB2312" w:eastAsia="仿宋_GB2312" w:cs="仿宋_GB2312"/>
          <w:color w:val="000000"/>
          <w:kern w:val="0"/>
          <w:sz w:val="32"/>
          <w:szCs w:val="32"/>
        </w:rPr>
      </w:pPr>
      <w:r>
        <w:rPr>
          <w:rFonts w:ascii="楷体" w:hAnsi="楷体" w:eastAsia="楷体" w:cs="楷体"/>
          <w:color w:val="000000"/>
          <w:kern w:val="0"/>
          <w:sz w:val="32"/>
          <w:szCs w:val="32"/>
        </w:rPr>
        <w:t>(三)推进电子证照归集运用。</w:t>
      </w:r>
      <w:r>
        <w:rPr>
          <w:rFonts w:ascii="仿宋_GB2312" w:hAnsi="仿宋_GB2312" w:eastAsia="仿宋_GB2312" w:cs="仿宋_GB2312"/>
          <w:color w:val="000000"/>
          <w:kern w:val="0"/>
          <w:sz w:val="32"/>
          <w:szCs w:val="32"/>
        </w:rPr>
        <w:t xml:space="preserve">根据国务院有关部门发布的电子证照标准、规范和样式等,2022年年底前实现地方金融组织经营许可证电子化,在政务服务、商业活动等场景普遍推广电子证件。 </w:t>
      </w:r>
    </w:p>
    <w:p>
      <w:pPr>
        <w:widowControl/>
        <w:ind w:firstLine="640" w:firstLineChars="200"/>
        <w:jc w:val="left"/>
        <w:rPr>
          <w:rFonts w:ascii="仿宋_GB2312" w:hAnsi="仿宋_GB2312" w:eastAsia="仿宋_GB2312" w:cs="仿宋_GB2312"/>
          <w:color w:val="000000"/>
          <w:kern w:val="0"/>
          <w:sz w:val="32"/>
          <w:szCs w:val="32"/>
        </w:rPr>
      </w:pPr>
      <w:r>
        <w:rPr>
          <w:rFonts w:ascii="楷体" w:hAnsi="楷体" w:eastAsia="楷体" w:cs="楷体"/>
          <w:color w:val="000000"/>
          <w:kern w:val="0"/>
          <w:sz w:val="32"/>
          <w:szCs w:val="32"/>
        </w:rPr>
        <w:t>(四)宣传推介特色金融产品。</w:t>
      </w:r>
      <w:r>
        <w:rPr>
          <w:rFonts w:ascii="仿宋_GB2312" w:hAnsi="仿宋_GB2312" w:eastAsia="仿宋_GB2312" w:cs="仿宋_GB2312"/>
          <w:color w:val="000000"/>
          <w:kern w:val="0"/>
          <w:sz w:val="32"/>
          <w:szCs w:val="32"/>
        </w:rPr>
        <w:t xml:space="preserve">落实省委、省政府 “万人助万企”的决策部署,引导地方金融组织结合自身业务特点打造特色化、专业化的金融服务产品。省地方金融监管局通过省金融服务共享平台向市场主体推介地方金融组织服务产品,扩大地方金融组织服务客户的广度和深度,为中小微企业和个体工商户提供多渠道的融资融物服务。 </w:t>
      </w:r>
    </w:p>
    <w:p>
      <w:pPr>
        <w:widowControl/>
        <w:ind w:firstLine="640" w:firstLineChars="200"/>
        <w:jc w:val="left"/>
        <w:rPr>
          <w:rFonts w:ascii="仿宋_GB2312" w:hAnsi="仿宋_GB2312" w:eastAsia="仿宋_GB2312" w:cs="仿宋_GB2312"/>
          <w:color w:val="000000"/>
          <w:kern w:val="0"/>
          <w:sz w:val="32"/>
          <w:szCs w:val="32"/>
        </w:rPr>
      </w:pPr>
      <w:r>
        <w:rPr>
          <w:rFonts w:ascii="楷体" w:hAnsi="楷体" w:eastAsia="楷体" w:cs="楷体"/>
          <w:color w:val="000000"/>
          <w:kern w:val="0"/>
          <w:sz w:val="32"/>
          <w:szCs w:val="32"/>
        </w:rPr>
        <w:t>(五)提高政务服务效率。</w:t>
      </w:r>
      <w:r>
        <w:rPr>
          <w:rFonts w:ascii="仿宋_GB2312" w:hAnsi="仿宋_GB2312" w:eastAsia="仿宋_GB2312" w:cs="仿宋_GB2312"/>
          <w:color w:val="000000"/>
          <w:kern w:val="0"/>
          <w:sz w:val="32"/>
          <w:szCs w:val="32"/>
        </w:rPr>
        <w:t xml:space="preserve">融资租赁公司和商业保理公司变更备案事项实行属地管理、分级负责,登记注册地为市、县(市、区)市场监管部门的,由省辖市金融工作局受理变更报告和材料,并函告市、县 (市、区)市场监管部门协助办理变更登记;登记注册地为省级市场监管部门的,由省地方金融监管局向省级市场监管部门发函协助办理变更登记。将《河南省典当行基本情况表》《河南省内资融资租赁企业申请表》《商业保理企业基本情况表》等相关内容和材料,统一调整为《河南省地方金融组织基本情况表》,实现一张表办多个业务。 </w:t>
      </w:r>
    </w:p>
    <w:p>
      <w:pPr>
        <w:widowControl/>
        <w:ind w:firstLine="640" w:firstLineChars="200"/>
        <w:jc w:val="left"/>
        <w:rPr>
          <w:rFonts w:ascii="仿宋_GB2312" w:hAnsi="仿宋_GB2312" w:eastAsia="仿宋_GB2312" w:cs="仿宋_GB2312"/>
          <w:color w:val="000000"/>
          <w:kern w:val="0"/>
          <w:sz w:val="32"/>
          <w:szCs w:val="32"/>
        </w:rPr>
      </w:pPr>
      <w:r>
        <w:rPr>
          <w:rFonts w:ascii="楷体" w:hAnsi="楷体" w:eastAsia="楷体" w:cs="楷体"/>
          <w:color w:val="000000"/>
          <w:kern w:val="0"/>
          <w:sz w:val="32"/>
          <w:szCs w:val="32"/>
        </w:rPr>
        <w:t>(六)有序推动信用承诺。</w:t>
      </w:r>
      <w:r>
        <w:rPr>
          <w:rFonts w:ascii="仿宋_GB2312" w:hAnsi="仿宋_GB2312" w:eastAsia="仿宋_GB2312" w:cs="仿宋_GB2312"/>
          <w:color w:val="000000"/>
          <w:kern w:val="0"/>
          <w:sz w:val="32"/>
          <w:szCs w:val="32"/>
        </w:rPr>
        <w:t xml:space="preserve">在地方金融组织设立和变更时, 取消《董事监事高级管理人员基本情况表》、住所租赁协议、资金来源证明材料等内容,分别调整为 《董事监事高级管理人员任职承诺书》《住所(经营场所)申报承诺书》《地方金融组织发起人出资承诺书》。相关信用承诺事项,由省辖市金融工作局负责独立或联合县(市、区)地方金融工作部门对申请人的承诺事项作实质性核查。 </w:t>
      </w:r>
    </w:p>
    <w:p>
      <w:pPr>
        <w:widowControl/>
        <w:ind w:firstLine="640" w:firstLineChars="200"/>
        <w:jc w:val="left"/>
        <w:rPr>
          <w:rFonts w:ascii="仿宋_GB2312" w:hAnsi="仿宋_GB2312" w:eastAsia="仿宋_GB2312" w:cs="仿宋_GB2312"/>
          <w:color w:val="000000"/>
          <w:kern w:val="0"/>
          <w:sz w:val="32"/>
          <w:szCs w:val="32"/>
        </w:rPr>
      </w:pPr>
      <w:r>
        <w:rPr>
          <w:rFonts w:ascii="楷体" w:hAnsi="楷体" w:eastAsia="楷体" w:cs="楷体"/>
          <w:color w:val="000000"/>
          <w:kern w:val="0"/>
          <w:sz w:val="32"/>
          <w:szCs w:val="32"/>
        </w:rPr>
        <w:t>(七)实施监管名录公开。</w:t>
      </w:r>
      <w:r>
        <w:rPr>
          <w:rFonts w:ascii="仿宋_GB2312" w:hAnsi="仿宋_GB2312" w:eastAsia="仿宋_GB2312" w:cs="仿宋_GB2312"/>
          <w:color w:val="000000"/>
          <w:kern w:val="0"/>
          <w:sz w:val="32"/>
          <w:szCs w:val="32"/>
        </w:rPr>
        <w:t xml:space="preserve">按照地方金融组织名称、注册地、许可证证件号等要素分类,每月在省地方金融监管局门户网站对地方金融组织监管名录予以更新,同时明确地方金融组织经营范围和负面清单。 </w:t>
      </w:r>
    </w:p>
    <w:p>
      <w:pPr>
        <w:widowControl/>
        <w:ind w:firstLine="640" w:firstLineChars="200"/>
        <w:jc w:val="left"/>
        <w:rPr>
          <w:rFonts w:ascii="黑体" w:hAnsi="黑体" w:eastAsia="黑体" w:cs="黑体"/>
          <w:color w:val="000000"/>
          <w:kern w:val="0"/>
          <w:sz w:val="32"/>
          <w:szCs w:val="32"/>
        </w:rPr>
      </w:pPr>
      <w:r>
        <w:rPr>
          <w:rFonts w:ascii="黑体" w:hAnsi="黑体" w:eastAsia="黑体" w:cs="黑体"/>
          <w:color w:val="000000"/>
          <w:kern w:val="0"/>
          <w:sz w:val="32"/>
          <w:szCs w:val="32"/>
        </w:rPr>
        <w:t xml:space="preserve">二、支持业务创新,服务河南自贸试验区建设 </w:t>
      </w:r>
    </w:p>
    <w:p>
      <w:pPr>
        <w:widowControl/>
        <w:ind w:firstLine="640" w:firstLineChars="200"/>
        <w:jc w:val="left"/>
        <w:rPr>
          <w:rFonts w:ascii="仿宋_GB2312" w:hAnsi="仿宋_GB2312" w:eastAsia="仿宋_GB2312" w:cs="仿宋_GB2312"/>
          <w:color w:val="000000"/>
          <w:kern w:val="0"/>
          <w:sz w:val="32"/>
          <w:szCs w:val="32"/>
        </w:rPr>
      </w:pPr>
      <w:r>
        <w:rPr>
          <w:rFonts w:ascii="仿宋_GB2312" w:hAnsi="仿宋_GB2312" w:eastAsia="仿宋_GB2312" w:cs="仿宋_GB2312"/>
          <w:color w:val="000000"/>
          <w:kern w:val="0"/>
          <w:sz w:val="32"/>
          <w:szCs w:val="32"/>
        </w:rPr>
        <w:t xml:space="preserve">(一)优化审批服务,开辟绿色通道,支持在河南自贸试验区集聚设立融资租赁、商业保理等地方金融组织。推动区内地方金融组织加快业务创新,及时总结创新业务经验,加大推广力度,实现高质量发展。 </w:t>
      </w:r>
    </w:p>
    <w:p>
      <w:pPr>
        <w:widowControl/>
        <w:ind w:firstLine="640" w:firstLineChars="200"/>
        <w:jc w:val="left"/>
        <w:rPr>
          <w:rFonts w:ascii="仿宋_GB2312" w:hAnsi="仿宋_GB2312" w:eastAsia="仿宋_GB2312" w:cs="仿宋_GB2312"/>
          <w:color w:val="000000"/>
          <w:kern w:val="0"/>
          <w:sz w:val="32"/>
          <w:szCs w:val="32"/>
        </w:rPr>
      </w:pPr>
      <w:r>
        <w:rPr>
          <w:rFonts w:ascii="仿宋_GB2312" w:hAnsi="仿宋_GB2312" w:eastAsia="仿宋_GB2312" w:cs="仿宋_GB2312"/>
          <w:color w:val="000000"/>
          <w:kern w:val="0"/>
          <w:sz w:val="32"/>
          <w:szCs w:val="32"/>
        </w:rPr>
        <w:t xml:space="preserve">(二)支持河南自贸试验区融资租赁公司探索开展“融资租赁+农业”“融资租赁+制造”“融资租赁+物流”“融资租赁+ 绿色”“融资租赁+环保”“融资租赁+能源”等新型业务模式。支持融资租赁公司开展人民币跨境融资业务。支持开展融资租赁公司外债便利化试点工作,在全口径跨境融资宏观审慎框架下, 允许注册在河南自贸试验区符合条件的融资租赁公司与其下设的特殊目的公司 (SPV)共享外债额度。 </w:t>
      </w:r>
    </w:p>
    <w:p>
      <w:pPr>
        <w:widowControl/>
        <w:ind w:firstLine="640" w:firstLineChars="200"/>
        <w:jc w:val="left"/>
        <w:rPr>
          <w:rFonts w:ascii="仿宋_GB2312" w:hAnsi="仿宋_GB2312" w:eastAsia="仿宋_GB2312" w:cs="仿宋_GB2312"/>
          <w:color w:val="000000"/>
          <w:kern w:val="0"/>
          <w:sz w:val="32"/>
          <w:szCs w:val="32"/>
        </w:rPr>
      </w:pPr>
      <w:r>
        <w:rPr>
          <w:rFonts w:ascii="仿宋_GB2312" w:hAnsi="仿宋_GB2312" w:eastAsia="仿宋_GB2312" w:cs="仿宋_GB2312"/>
          <w:color w:val="000000"/>
          <w:kern w:val="0"/>
          <w:sz w:val="32"/>
          <w:szCs w:val="32"/>
        </w:rPr>
        <w:t xml:space="preserve">(三)支持符合国家产业政策方向、主业集中于实体经济、 </w:t>
      </w:r>
    </w:p>
    <w:p>
      <w:pPr>
        <w:widowControl/>
        <w:jc w:val="left"/>
        <w:rPr>
          <w:rFonts w:ascii="仿宋_GB2312" w:hAnsi="仿宋_GB2312" w:eastAsia="仿宋_GB2312" w:cs="仿宋_GB2312"/>
          <w:color w:val="000000"/>
          <w:kern w:val="0"/>
          <w:sz w:val="32"/>
          <w:szCs w:val="32"/>
        </w:rPr>
      </w:pPr>
      <w:r>
        <w:rPr>
          <w:rFonts w:ascii="仿宋_GB2312" w:hAnsi="仿宋_GB2312" w:eastAsia="仿宋_GB2312" w:cs="仿宋_GB2312"/>
          <w:color w:val="000000"/>
          <w:kern w:val="0"/>
          <w:sz w:val="32"/>
          <w:szCs w:val="32"/>
        </w:rPr>
        <w:t xml:space="preserve">技术先进、有市场竞争力的企业发起设立商业保理公司,增强实体企业供应链资金利用活力与效率,助力实体经济和中小企业发展。鼓励金融机构向商业保理企业提供境外合作渠道支持,拓展国际业务。 </w:t>
      </w:r>
    </w:p>
    <w:p>
      <w:pPr>
        <w:widowControl/>
        <w:ind w:firstLine="640" w:firstLineChars="200"/>
        <w:jc w:val="left"/>
        <w:rPr>
          <w:rFonts w:ascii="仿宋_GB2312" w:hAnsi="仿宋_GB2312" w:eastAsia="仿宋_GB2312" w:cs="仿宋_GB2312"/>
          <w:color w:val="000000"/>
          <w:kern w:val="0"/>
          <w:sz w:val="32"/>
          <w:szCs w:val="32"/>
        </w:rPr>
      </w:pPr>
      <w:r>
        <w:rPr>
          <w:rFonts w:ascii="仿宋_GB2312" w:hAnsi="仿宋_GB2312" w:eastAsia="仿宋_GB2312" w:cs="仿宋_GB2312"/>
          <w:color w:val="000000"/>
          <w:kern w:val="0"/>
          <w:sz w:val="32"/>
          <w:szCs w:val="32"/>
        </w:rPr>
        <w:t xml:space="preserve">(四)加强河南自贸试验区政府性融资担保体系建设,积极将区内符合条件的融资担保公司纳入政府性融资担保机构名单, 不断提升政府性融资担保机构区域服务能力。鼓励区内融资担保公司加强与进出口保险机构合作,试点开展进出口 “保险+担保”等业务,根据区内企业特色创新担保产品形式。 </w:t>
      </w:r>
    </w:p>
    <w:p>
      <w:pPr>
        <w:widowControl/>
        <w:ind w:firstLine="640" w:firstLineChars="200"/>
        <w:jc w:val="left"/>
        <w:rPr>
          <w:rFonts w:ascii="仿宋_GB2312" w:hAnsi="仿宋_GB2312" w:eastAsia="仿宋_GB2312" w:cs="仿宋_GB2312"/>
          <w:color w:val="000000"/>
          <w:kern w:val="0"/>
          <w:sz w:val="32"/>
          <w:szCs w:val="32"/>
        </w:rPr>
      </w:pPr>
      <w:r>
        <w:rPr>
          <w:rFonts w:ascii="仿宋_GB2312" w:hAnsi="仿宋_GB2312" w:eastAsia="仿宋_GB2312" w:cs="仿宋_GB2312"/>
          <w:color w:val="000000"/>
          <w:kern w:val="0"/>
          <w:sz w:val="32"/>
          <w:szCs w:val="32"/>
        </w:rPr>
        <w:t xml:space="preserve">(五)支持河南自贸试验区小额贷款公司根据区域特点优势, 开展应付款保函、一定比例的权益类投资等创新业务,更好地为企业提供多样化综合金融服务。 </w:t>
      </w:r>
    </w:p>
    <w:p>
      <w:pPr>
        <w:widowControl/>
        <w:ind w:firstLine="640" w:firstLineChars="200"/>
        <w:jc w:val="left"/>
        <w:rPr>
          <w:rFonts w:ascii="黑体" w:hAnsi="黑体" w:eastAsia="黑体" w:cs="黑体"/>
          <w:color w:val="000000"/>
          <w:kern w:val="0"/>
          <w:sz w:val="32"/>
          <w:szCs w:val="32"/>
        </w:rPr>
      </w:pPr>
      <w:r>
        <w:rPr>
          <w:rFonts w:ascii="黑体" w:hAnsi="黑体" w:eastAsia="黑体" w:cs="黑体"/>
          <w:color w:val="000000"/>
          <w:kern w:val="0"/>
          <w:sz w:val="32"/>
          <w:szCs w:val="32"/>
        </w:rPr>
        <w:t xml:space="preserve">三、加强金融监管,营造良好环境 </w:t>
      </w:r>
    </w:p>
    <w:p>
      <w:pPr>
        <w:widowControl/>
        <w:ind w:firstLine="640" w:firstLineChars="200"/>
        <w:jc w:val="left"/>
        <w:rPr>
          <w:rFonts w:ascii="仿宋_GB2312" w:hAnsi="仿宋_GB2312" w:eastAsia="仿宋_GB2312" w:cs="仿宋_GB2312"/>
          <w:color w:val="000000"/>
          <w:kern w:val="0"/>
          <w:sz w:val="32"/>
          <w:szCs w:val="32"/>
        </w:rPr>
      </w:pPr>
      <w:r>
        <w:rPr>
          <w:rFonts w:ascii="仿宋_GB2312" w:hAnsi="仿宋_GB2312" w:eastAsia="仿宋_GB2312" w:cs="仿宋_GB2312"/>
          <w:color w:val="000000"/>
          <w:kern w:val="0"/>
          <w:sz w:val="32"/>
          <w:szCs w:val="32"/>
        </w:rPr>
        <w:t xml:space="preserve">(一)履行地方金融监管责任。健全地方金融组织年审、现场检查、非现场监管等相关监管制度,推动建立地方金融组织综合监管机制。落实管行业必须管安全、管业务必须管安全、管生产经营必须管安全的责任,将安全生产和消防安全纳入地方金融组织的日常检查、巡查。推动地方金融领域扫黑除恶斗争常态化,积极配合整治 “校园贷”、套路贷、非法集资等涉黑涉恶涉乱行为,营造安全稳定的地方金融秩序和社会环境。 </w:t>
      </w:r>
    </w:p>
    <w:p>
      <w:pPr>
        <w:widowControl/>
        <w:ind w:firstLine="640" w:firstLineChars="200"/>
        <w:jc w:val="left"/>
        <w:rPr>
          <w:rFonts w:ascii="仿宋_GB2312" w:hAnsi="仿宋_GB2312" w:eastAsia="仿宋_GB2312" w:cs="仿宋_GB2312"/>
          <w:color w:val="000000"/>
          <w:kern w:val="0"/>
          <w:sz w:val="32"/>
          <w:szCs w:val="32"/>
        </w:rPr>
      </w:pPr>
      <w:r>
        <w:rPr>
          <w:rFonts w:ascii="仿宋_GB2312" w:hAnsi="仿宋_GB2312" w:eastAsia="仿宋_GB2312" w:cs="仿宋_GB2312"/>
          <w:color w:val="000000"/>
          <w:kern w:val="0"/>
          <w:sz w:val="32"/>
          <w:szCs w:val="32"/>
        </w:rPr>
        <w:t xml:space="preserve">(二)净化市场发展环境。有序推动非正常经营、无证经营地方金融组织的市场出清,按照 《中华人民共和国市场主体登记管理条例》《无证无照经营查处办法》和 《河南省加快完善市场主体退出制度改革实施方案》等有关要求,依法依规做好地方金融组织的清理规范,进一步净化市场发展环境。 </w:t>
      </w:r>
    </w:p>
    <w:p>
      <w:pPr>
        <w:widowControl/>
        <w:ind w:firstLine="640" w:firstLineChars="200"/>
        <w:jc w:val="left"/>
        <w:rPr>
          <w:rFonts w:ascii="仿宋_GB2312" w:hAnsi="仿宋_GB2312" w:eastAsia="仿宋_GB2312" w:cs="仿宋_GB2312"/>
          <w:color w:val="000000"/>
          <w:kern w:val="0"/>
          <w:sz w:val="32"/>
          <w:szCs w:val="32"/>
        </w:rPr>
      </w:pPr>
      <w:r>
        <w:rPr>
          <w:rFonts w:ascii="仿宋_GB2312" w:hAnsi="仿宋_GB2312" w:eastAsia="仿宋_GB2312" w:cs="仿宋_GB2312"/>
          <w:color w:val="000000"/>
          <w:kern w:val="0"/>
          <w:sz w:val="32"/>
          <w:szCs w:val="32"/>
        </w:rPr>
        <w:t xml:space="preserve">(三)建立完善监管信息共享机制。对履职过程中形成的行政许可、行政备案、行政检查、行政处罚等信息归集到河南省信用信息共享平台等,做到 “让数据多跑腿,让机构少跑路”。加强与市场监管、银保监、人行、公安等部门信息共享,将地方金融组织设立、变更、注销等信息及时推送至相关部门,共同促进政务信息资源共享,推动部门间联合开展监管工作。 </w:t>
      </w:r>
    </w:p>
    <w:p>
      <w:pPr>
        <w:widowControl/>
        <w:ind w:firstLine="640" w:firstLineChars="200"/>
        <w:jc w:val="left"/>
        <w:rPr>
          <w:rFonts w:ascii="仿宋_GB2312" w:hAnsi="仿宋_GB2312" w:eastAsia="仿宋_GB2312" w:cs="仿宋_GB2312"/>
          <w:color w:val="000000"/>
          <w:kern w:val="0"/>
          <w:sz w:val="32"/>
          <w:szCs w:val="32"/>
        </w:rPr>
      </w:pPr>
      <w:r>
        <w:rPr>
          <w:rFonts w:ascii="仿宋_GB2312" w:hAnsi="仿宋_GB2312" w:eastAsia="仿宋_GB2312" w:cs="仿宋_GB2312"/>
          <w:color w:val="000000"/>
          <w:kern w:val="0"/>
          <w:sz w:val="32"/>
          <w:szCs w:val="32"/>
        </w:rPr>
        <w:t xml:space="preserve">(四)推进信用监管和分类监管。利用省信用信息共享平台、国家企业信用信息公示系统 (河南),依法依规对地方金融组织实施守信联合激励和失信联合惩戒。加强地方金融组织董事、监事和高级管理人员信用监管,落实企业信用与自然人信用挂钩要求,落实严重违法责任企业及相关人员行业禁入制度。有序推进监管评级工作,根据小额贷款公司、融资担保机构、典当行诚信经营及风险情况,实行分级分类监管。 </w:t>
      </w:r>
    </w:p>
    <w:p>
      <w:pPr>
        <w:widowControl/>
        <w:ind w:firstLine="640" w:firstLineChars="200"/>
        <w:jc w:val="left"/>
        <w:rPr>
          <w:rFonts w:ascii="仿宋_GB2312" w:hAnsi="仿宋_GB2312" w:eastAsia="仿宋_GB2312" w:cs="仿宋_GB2312"/>
          <w:color w:val="000000"/>
          <w:kern w:val="0"/>
          <w:sz w:val="32"/>
          <w:szCs w:val="32"/>
        </w:rPr>
      </w:pPr>
      <w:r>
        <w:rPr>
          <w:rFonts w:ascii="仿宋_GB2312" w:hAnsi="仿宋_GB2312" w:eastAsia="仿宋_GB2312" w:cs="仿宋_GB2312"/>
          <w:color w:val="000000"/>
          <w:kern w:val="0"/>
          <w:sz w:val="32"/>
          <w:szCs w:val="32"/>
        </w:rPr>
        <w:t xml:space="preserve">(五)加强行业自律管理。省融资担保业协会、省典当行业协会、省租赁业协会要充分发挥 “自律、维权、协调、服务”职能,认真开展行业自律管理,积极做好从业人员培训、监管政策解读、行业发展研究等工作,探索开展地方金融消费纠纷调解业务,不断提高地方金融组织合规意识和业务能力,共同推动我省地方金融组织规范健康发展。 </w:t>
      </w:r>
    </w:p>
    <w:p>
      <w:pPr>
        <w:widowControl/>
        <w:ind w:firstLine="640" w:firstLineChars="200"/>
        <w:jc w:val="left"/>
        <w:rPr>
          <w:rFonts w:ascii="黑体" w:hAnsi="黑体" w:eastAsia="黑体" w:cs="黑体"/>
          <w:color w:val="000000"/>
          <w:kern w:val="0"/>
          <w:sz w:val="32"/>
          <w:szCs w:val="32"/>
        </w:rPr>
      </w:pPr>
      <w:r>
        <w:rPr>
          <w:rFonts w:ascii="黑体" w:hAnsi="黑体" w:eastAsia="黑体" w:cs="黑体"/>
          <w:color w:val="000000"/>
          <w:kern w:val="0"/>
          <w:sz w:val="32"/>
          <w:szCs w:val="32"/>
        </w:rPr>
        <w:t xml:space="preserve">四、工作要求 </w:t>
      </w:r>
    </w:p>
    <w:p>
      <w:pPr>
        <w:widowControl/>
        <w:ind w:firstLine="640" w:firstLineChars="200"/>
        <w:jc w:val="left"/>
        <w:rPr>
          <w:rFonts w:ascii="仿宋_GB2312" w:hAnsi="仿宋_GB2312" w:eastAsia="仿宋_GB2312" w:cs="仿宋_GB2312"/>
          <w:color w:val="000000"/>
          <w:kern w:val="0"/>
          <w:sz w:val="32"/>
          <w:szCs w:val="32"/>
        </w:rPr>
      </w:pPr>
      <w:r>
        <w:rPr>
          <w:rFonts w:ascii="仿宋_GB2312" w:hAnsi="仿宋_GB2312" w:eastAsia="仿宋_GB2312" w:cs="仿宋_GB2312"/>
          <w:color w:val="000000"/>
          <w:kern w:val="0"/>
          <w:sz w:val="32"/>
          <w:szCs w:val="32"/>
        </w:rPr>
        <w:t xml:space="preserve">(一)加强组织领导。各级地方金融工作部门要加强对优化营商环境、“放管服”改革和 “证照分离”改革的组织领导,主动对接改革牵头部门,提高各项行政审批改革举措的协同性。对工作中遇到的难点问题或特殊情况,要及时向省地方金融监管局请示报告,确保改革工作有序推进。 </w:t>
      </w:r>
    </w:p>
    <w:p>
      <w:pPr>
        <w:widowControl/>
        <w:ind w:firstLine="640" w:firstLineChars="200"/>
        <w:jc w:val="left"/>
        <w:rPr>
          <w:rFonts w:ascii="仿宋_GB2312" w:hAnsi="仿宋_GB2312" w:eastAsia="仿宋_GB2312" w:cs="仿宋_GB2312"/>
          <w:color w:val="000000"/>
          <w:kern w:val="0"/>
          <w:sz w:val="32"/>
          <w:szCs w:val="32"/>
        </w:rPr>
      </w:pPr>
      <w:r>
        <w:rPr>
          <w:rFonts w:ascii="仿宋_GB2312" w:hAnsi="仿宋_GB2312" w:eastAsia="仿宋_GB2312" w:cs="仿宋_GB2312"/>
          <w:color w:val="000000"/>
          <w:kern w:val="0"/>
          <w:sz w:val="32"/>
          <w:szCs w:val="32"/>
        </w:rPr>
        <w:t xml:space="preserve">(二)抓好贯彻落实。各级地方金融工作部门要做好工作对接、业务指导,强化上下衔接、内外联动,助力各项改革措施落地见效。要做好政策解读指导工作,及时更新办事指南,确保工作人员掌握改革工作的实施要求。要通过多种媒介方式,做好政策宣传解读,提高政策透明度,扩大政策知晓度,为地方金融组织有序发展创造良好的经营环境。 </w:t>
      </w:r>
    </w:p>
    <w:p>
      <w:pPr>
        <w:widowControl/>
        <w:ind w:firstLine="640" w:firstLineChars="200"/>
        <w:jc w:val="left"/>
        <w:rPr>
          <w:rFonts w:ascii="仿宋_GB2312" w:hAnsi="仿宋_GB2312" w:eastAsia="仿宋_GB2312" w:cs="仿宋_GB2312"/>
          <w:color w:val="000000"/>
          <w:kern w:val="0"/>
          <w:sz w:val="32"/>
          <w:szCs w:val="32"/>
        </w:rPr>
      </w:pPr>
      <w:r>
        <w:rPr>
          <w:rFonts w:ascii="仿宋_GB2312" w:hAnsi="仿宋_GB2312" w:eastAsia="仿宋_GB2312" w:cs="仿宋_GB2312"/>
          <w:color w:val="000000"/>
          <w:kern w:val="0"/>
          <w:sz w:val="32"/>
          <w:szCs w:val="32"/>
        </w:rPr>
        <w:t>(三)持续提升政府服务能力。各级地方金融工作部门要结合工作实际,加快从“重审批、弱监管”到“重指导、强监管”的重心转移,研究提出更多创新服务和强化监管的举措,不断简化审批环节、优化办事流程、规范工作标准、减少审批时限,既让申请人办事更加便捷、高效,又要守牢风险底线,确保“证照分离”改革落地生根。</w:t>
      </w:r>
    </w:p>
    <w:p>
      <w:pPr>
        <w:widowControl/>
        <w:ind w:firstLine="3840" w:firstLineChars="1200"/>
        <w:jc w:val="left"/>
        <w:rPr>
          <w:rFonts w:ascii="仿宋_GB2312" w:hAnsi="仿宋_GB2312" w:eastAsia="仿宋_GB2312" w:cs="仿宋_GB2312"/>
          <w:color w:val="000000"/>
          <w:kern w:val="0"/>
          <w:sz w:val="32"/>
          <w:szCs w:val="32"/>
        </w:rPr>
      </w:pPr>
    </w:p>
    <w:p>
      <w:pPr>
        <w:widowControl/>
        <w:ind w:firstLine="3840" w:firstLineChars="1200"/>
        <w:jc w:val="left"/>
        <w:rPr>
          <w:rFonts w:ascii="仿宋_GB2312" w:hAnsi="仿宋_GB2312" w:eastAsia="仿宋_GB2312" w:cs="仿宋_GB2312"/>
          <w:color w:val="000000"/>
          <w:kern w:val="0"/>
          <w:sz w:val="32"/>
          <w:szCs w:val="32"/>
        </w:rPr>
      </w:pPr>
    </w:p>
    <w:p>
      <w:pPr>
        <w:widowControl/>
        <w:ind w:firstLine="3840" w:firstLineChars="1200"/>
        <w:jc w:val="left"/>
        <w:rPr>
          <w:rFonts w:ascii="仿宋_GB2312" w:hAnsi="仿宋_GB2312" w:eastAsia="仿宋_GB2312" w:cs="仿宋_GB2312"/>
          <w:color w:val="000000"/>
          <w:kern w:val="0"/>
          <w:sz w:val="32"/>
          <w:szCs w:val="32"/>
        </w:rPr>
      </w:pPr>
    </w:p>
    <w:p>
      <w:pPr>
        <w:widowControl/>
        <w:ind w:firstLine="3840" w:firstLineChars="1200"/>
        <w:jc w:val="left"/>
        <w:rPr>
          <w:rFonts w:ascii="仿宋_GB2312" w:hAnsi="仿宋_GB2312" w:eastAsia="仿宋_GB2312" w:cs="仿宋_GB2312"/>
          <w:color w:val="000000"/>
          <w:kern w:val="0"/>
          <w:sz w:val="32"/>
          <w:szCs w:val="32"/>
        </w:rPr>
      </w:pPr>
      <w:r>
        <w:rPr>
          <w:rFonts w:ascii="仿宋_GB2312" w:hAnsi="仿宋_GB2312" w:eastAsia="仿宋_GB2312" w:cs="仿宋_GB2312"/>
          <w:color w:val="000000"/>
          <w:kern w:val="0"/>
          <w:sz w:val="32"/>
          <w:szCs w:val="32"/>
        </w:rPr>
        <w:t xml:space="preserve">2021年12月1日 </w:t>
      </w:r>
    </w:p>
    <w:p>
      <w:pPr>
        <w:rPr>
          <w:rFonts w:ascii="仿宋_GB2312" w:hAnsi="仿宋_GB2312" w:eastAsia="仿宋_GB2312" w:cs="仿宋_GB2312"/>
          <w:color w:val="000000"/>
          <w:kern w:val="0"/>
          <w:sz w:val="32"/>
          <w:szCs w:val="32"/>
        </w:rPr>
      </w:pPr>
      <w:r>
        <w:rPr>
          <w:rFonts w:ascii="仿宋_GB2312" w:hAnsi="仿宋_GB2312" w:eastAsia="仿宋_GB2312" w:cs="仿宋_GB2312"/>
          <w:color w:val="000000"/>
          <w:kern w:val="0"/>
          <w:sz w:val="32"/>
          <w:szCs w:val="32"/>
        </w:rPr>
        <w:br w:type="page"/>
      </w:r>
    </w:p>
    <w:p>
      <w:pPr>
        <w:pStyle w:val="3"/>
        <w:spacing w:line="560" w:lineRule="exact"/>
        <w:jc w:val="center"/>
        <w:rPr>
          <w:rFonts w:asciiTheme="majorEastAsia" w:hAnsiTheme="majorEastAsia" w:cstheme="majorEastAsia"/>
          <w:spacing w:val="-20"/>
          <w:sz w:val="44"/>
        </w:rPr>
      </w:pPr>
      <w:bookmarkStart w:id="55" w:name="_Toc13331"/>
      <w:r>
        <w:rPr>
          <w:rFonts w:hint="eastAsia" w:asciiTheme="majorEastAsia" w:hAnsiTheme="majorEastAsia" w:cstheme="majorEastAsia"/>
          <w:spacing w:val="-20"/>
          <w:sz w:val="44"/>
        </w:rPr>
        <w:t>二十一、地方金融组织监管政策及奖励机制</w:t>
      </w:r>
      <w:bookmarkEnd w:id="55"/>
    </w:p>
    <w:p>
      <w:pPr>
        <w:widowControl/>
        <w:jc w:val="center"/>
        <w:rPr>
          <w:rFonts w:ascii="方正小标宋_GBK" w:hAnsi="方正小标宋_GBK" w:eastAsia="方正小标宋_GBK" w:cs="方正小标宋_GBK"/>
          <w:color w:val="000000"/>
          <w:kern w:val="0"/>
          <w:sz w:val="39"/>
          <w:szCs w:val="39"/>
        </w:rPr>
      </w:pPr>
      <w:r>
        <w:rPr>
          <w:rFonts w:hint="eastAsia" w:ascii="方正小标宋_GBK" w:hAnsi="方正小标宋_GBK" w:eastAsia="方正小标宋_GBK" w:cs="方正小标宋_GBK"/>
          <w:color w:val="000000"/>
          <w:kern w:val="0"/>
          <w:sz w:val="39"/>
          <w:szCs w:val="39"/>
        </w:rPr>
        <w:t>第一篇：河南省典当行监管评级工作实施方案</w:t>
      </w:r>
    </w:p>
    <w:p>
      <w:pPr>
        <w:keepNext/>
        <w:keepLines/>
        <w:spacing w:line="560" w:lineRule="exact"/>
        <w:ind w:firstLine="480" w:firstLineChars="200"/>
        <w:jc w:val="center"/>
        <w:rPr>
          <w:rStyle w:val="19"/>
          <w:rFonts w:hint="eastAsia" w:ascii="楷体" w:hAnsi="楷体" w:eastAsia="楷体" w:cs="楷体"/>
          <w:color w:val="000000"/>
          <w:sz w:val="24"/>
          <w:szCs w:val="24"/>
          <w:lang w:val="en-US" w:eastAsia="zh-CN"/>
        </w:rPr>
      </w:pPr>
      <w:r>
        <w:rPr>
          <w:rStyle w:val="19"/>
          <w:rFonts w:hint="eastAsia" w:ascii="楷体" w:hAnsi="楷体" w:eastAsia="楷体" w:cs="楷体"/>
          <w:color w:val="000000"/>
          <w:sz w:val="24"/>
          <w:szCs w:val="24"/>
          <w:lang w:eastAsia="zh-CN"/>
        </w:rPr>
        <w:t>河南省地方金融监督管理局文件</w:t>
      </w:r>
      <w:r>
        <w:rPr>
          <w:rStyle w:val="19"/>
          <w:rFonts w:hint="eastAsia" w:ascii="楷体" w:hAnsi="楷体" w:eastAsia="楷体" w:cs="楷体"/>
          <w:color w:val="000000"/>
          <w:sz w:val="24"/>
          <w:szCs w:val="24"/>
          <w:lang w:val="en-US" w:eastAsia="zh-CN"/>
        </w:rPr>
        <w:t xml:space="preserve"> </w:t>
      </w:r>
      <w:r>
        <w:rPr>
          <w:rStyle w:val="19"/>
          <w:rFonts w:hint="eastAsia" w:ascii="楷体" w:hAnsi="楷体" w:eastAsia="楷体" w:cs="楷体"/>
          <w:color w:val="000000"/>
          <w:sz w:val="24"/>
          <w:szCs w:val="24"/>
          <w:lang w:eastAsia="zh-CN"/>
        </w:rPr>
        <w:t>豫金监〔202</w:t>
      </w:r>
      <w:r>
        <w:rPr>
          <w:rStyle w:val="19"/>
          <w:rFonts w:hint="eastAsia" w:ascii="楷体" w:hAnsi="楷体" w:eastAsia="楷体" w:cs="楷体"/>
          <w:color w:val="000000"/>
          <w:sz w:val="24"/>
          <w:szCs w:val="24"/>
          <w:lang w:val="en-US" w:eastAsia="zh-CN"/>
        </w:rPr>
        <w:t>2</w:t>
      </w:r>
      <w:r>
        <w:rPr>
          <w:rStyle w:val="19"/>
          <w:rFonts w:hint="eastAsia" w:ascii="楷体" w:hAnsi="楷体" w:eastAsia="楷体" w:cs="楷体"/>
          <w:color w:val="000000"/>
          <w:sz w:val="24"/>
          <w:szCs w:val="24"/>
          <w:lang w:eastAsia="zh-CN"/>
        </w:rPr>
        <w:t>〕</w:t>
      </w:r>
      <w:r>
        <w:rPr>
          <w:rStyle w:val="19"/>
          <w:rFonts w:hint="eastAsia" w:ascii="楷体" w:hAnsi="楷体" w:eastAsia="楷体" w:cs="楷体"/>
          <w:color w:val="000000"/>
          <w:sz w:val="24"/>
          <w:szCs w:val="24"/>
          <w:lang w:val="en-US" w:eastAsia="zh-CN"/>
        </w:rPr>
        <w:t>15</w:t>
      </w:r>
      <w:r>
        <w:rPr>
          <w:rStyle w:val="19"/>
          <w:rFonts w:hint="eastAsia" w:ascii="楷体" w:hAnsi="楷体" w:eastAsia="楷体" w:cs="楷体"/>
          <w:color w:val="000000"/>
          <w:sz w:val="24"/>
          <w:szCs w:val="24"/>
          <w:lang w:eastAsia="zh-CN"/>
        </w:rPr>
        <w:t>号</w:t>
      </w:r>
      <w:r>
        <w:rPr>
          <w:rStyle w:val="19"/>
          <w:rFonts w:hint="eastAsia" w:ascii="楷体" w:hAnsi="楷体" w:eastAsia="楷体" w:cs="楷体"/>
          <w:color w:val="000000"/>
          <w:sz w:val="24"/>
          <w:szCs w:val="24"/>
          <w:lang w:val="en-US" w:eastAsia="zh-CN"/>
        </w:rPr>
        <w:t xml:space="preserve"> </w:t>
      </w:r>
    </w:p>
    <w:p>
      <w:pPr>
        <w:keepNext/>
        <w:keepLines/>
        <w:spacing w:line="560" w:lineRule="exact"/>
        <w:ind w:firstLine="480" w:firstLineChars="200"/>
        <w:jc w:val="center"/>
      </w:pPr>
      <w:r>
        <w:rPr>
          <w:rStyle w:val="19"/>
          <w:rFonts w:hint="eastAsia" w:ascii="楷体" w:hAnsi="楷体" w:eastAsia="楷体" w:cs="楷体"/>
          <w:color w:val="000000"/>
          <w:sz w:val="24"/>
          <w:szCs w:val="24"/>
        </w:rPr>
        <w:t>20</w:t>
      </w:r>
      <w:r>
        <w:rPr>
          <w:rStyle w:val="19"/>
          <w:rFonts w:hint="eastAsia" w:ascii="楷体" w:hAnsi="楷体" w:eastAsia="楷体" w:cs="楷体"/>
          <w:color w:val="000000"/>
          <w:sz w:val="24"/>
          <w:szCs w:val="24"/>
          <w:lang w:val="en-US" w:eastAsia="zh-CN"/>
        </w:rPr>
        <w:t>22</w:t>
      </w:r>
      <w:r>
        <w:rPr>
          <w:rStyle w:val="19"/>
          <w:rFonts w:hint="eastAsia" w:ascii="楷体" w:hAnsi="楷体" w:eastAsia="楷体" w:cs="楷体"/>
          <w:color w:val="000000"/>
          <w:sz w:val="24"/>
          <w:szCs w:val="24"/>
        </w:rPr>
        <w:t>年</w:t>
      </w:r>
      <w:r>
        <w:rPr>
          <w:rStyle w:val="19"/>
          <w:rFonts w:hint="eastAsia" w:ascii="楷体" w:hAnsi="楷体" w:eastAsia="楷体" w:cs="楷体"/>
          <w:color w:val="000000"/>
          <w:sz w:val="24"/>
          <w:szCs w:val="24"/>
          <w:lang w:val="en-US" w:eastAsia="zh-CN"/>
        </w:rPr>
        <w:t>1</w:t>
      </w:r>
      <w:r>
        <w:rPr>
          <w:rStyle w:val="19"/>
          <w:rFonts w:hint="eastAsia" w:ascii="楷体" w:hAnsi="楷体" w:eastAsia="楷体" w:cs="楷体"/>
          <w:color w:val="000000"/>
          <w:sz w:val="24"/>
          <w:szCs w:val="24"/>
        </w:rPr>
        <w:t>月</w:t>
      </w:r>
      <w:r>
        <w:rPr>
          <w:rStyle w:val="19"/>
          <w:rFonts w:hint="eastAsia" w:ascii="楷体" w:hAnsi="楷体" w:eastAsia="楷体" w:cs="楷体"/>
          <w:color w:val="000000"/>
          <w:sz w:val="24"/>
          <w:szCs w:val="24"/>
          <w:lang w:val="en-US" w:eastAsia="zh-CN"/>
        </w:rPr>
        <w:t>20</w:t>
      </w:r>
      <w:r>
        <w:rPr>
          <w:rStyle w:val="19"/>
          <w:rFonts w:hint="eastAsia" w:ascii="楷体" w:hAnsi="楷体" w:eastAsia="楷体" w:cs="楷体"/>
          <w:color w:val="000000"/>
          <w:sz w:val="24"/>
          <w:szCs w:val="24"/>
        </w:rPr>
        <w:t>日印发</w:t>
      </w:r>
    </w:p>
    <w:p>
      <w:pPr>
        <w:pStyle w:val="12"/>
        <w:widowControl/>
        <w:shd w:val="clear" w:color="auto" w:fill="FFFFFF"/>
        <w:spacing w:before="0" w:beforeAutospacing="0" w:after="0" w:afterAutospacing="0" w:line="315" w:lineRule="atLeast"/>
        <w:ind w:firstLine="645"/>
        <w:jc w:val="both"/>
        <w:textAlignment w:val="top"/>
        <w:rPr>
          <w:rFonts w:ascii="Calibri" w:hAnsi="Calibri" w:cs="Calibri"/>
          <w:color w:val="000000"/>
          <w:sz w:val="21"/>
          <w:szCs w:val="21"/>
        </w:rPr>
      </w:pPr>
      <w:r>
        <w:rPr>
          <w:rFonts w:ascii="仿宋" w:hAnsi="仿宋" w:eastAsia="仿宋" w:cs="仿宋"/>
          <w:color w:val="000000"/>
          <w:sz w:val="31"/>
          <w:szCs w:val="31"/>
          <w:shd w:val="clear" w:color="auto" w:fill="FFFFFF"/>
        </w:rPr>
        <w:t>根据《典当管理办法》《典当行业监管规定》和《中国银保监会办公厅关于加强典当行监督管理的通知》等有关规定，为做好全省典当行日常监管和分类指导工作，促进全省典当行高质量发展，特制定本方案。</w:t>
      </w:r>
    </w:p>
    <w:p>
      <w:pPr>
        <w:pStyle w:val="12"/>
        <w:widowControl/>
        <w:shd w:val="clear" w:color="auto" w:fill="FFFFFF"/>
        <w:spacing w:before="0" w:beforeAutospacing="0" w:after="0" w:afterAutospacing="0" w:line="315" w:lineRule="atLeast"/>
        <w:ind w:firstLine="645"/>
        <w:jc w:val="both"/>
        <w:textAlignment w:val="top"/>
        <w:rPr>
          <w:rFonts w:ascii="Calibri" w:hAnsi="Calibri" w:cs="Calibri"/>
          <w:color w:val="000000"/>
          <w:sz w:val="21"/>
          <w:szCs w:val="21"/>
        </w:rPr>
      </w:pPr>
      <w:r>
        <w:rPr>
          <w:rFonts w:ascii="黑体" w:hAnsi="宋体" w:eastAsia="黑体" w:cs="黑体"/>
          <w:color w:val="000000"/>
          <w:sz w:val="31"/>
          <w:szCs w:val="31"/>
          <w:shd w:val="clear" w:color="auto" w:fill="FFFFFF"/>
        </w:rPr>
        <w:t>一、工作目标</w:t>
      </w:r>
    </w:p>
    <w:p>
      <w:pPr>
        <w:pStyle w:val="12"/>
        <w:widowControl/>
        <w:shd w:val="clear" w:color="auto" w:fill="FFFFFF"/>
        <w:spacing w:before="0" w:beforeAutospacing="0" w:after="0" w:afterAutospacing="0"/>
        <w:ind w:firstLine="645"/>
        <w:jc w:val="both"/>
        <w:textAlignment w:val="top"/>
        <w:rPr>
          <w:rFonts w:ascii="Calibri" w:hAnsi="Calibri" w:cs="Calibri"/>
          <w:color w:val="000000"/>
          <w:sz w:val="21"/>
          <w:szCs w:val="21"/>
        </w:rPr>
      </w:pPr>
      <w:r>
        <w:rPr>
          <w:rFonts w:ascii="仿宋_GB2312" w:hAnsi="Calibri" w:cs="仿宋_GB2312"/>
          <w:color w:val="000000"/>
          <w:sz w:val="31"/>
          <w:szCs w:val="31"/>
          <w:shd w:val="clear" w:color="auto" w:fill="FFFFFF"/>
        </w:rPr>
        <w:t>建立健全</w:t>
      </w:r>
      <w:r>
        <w:rPr>
          <w:rFonts w:hint="eastAsia" w:ascii="仿宋_GB2312" w:hAnsi="Calibri" w:cs="仿宋_GB2312"/>
          <w:color w:val="000000"/>
          <w:sz w:val="31"/>
          <w:szCs w:val="31"/>
          <w:shd w:val="clear" w:color="auto" w:fill="FFFFFF"/>
        </w:rPr>
        <w:t>全省典当行监管评价指标体系，合理配置监管资源，提高监管效能，促进行业健康发展。通过对典当行经营业绩、风险防控、配合监管等情况全面进行量化评分，实施有重点、有针对性的监管和发展措施，实现分类监管、扶优限劣。</w:t>
      </w:r>
    </w:p>
    <w:p>
      <w:pPr>
        <w:pStyle w:val="12"/>
        <w:widowControl/>
        <w:shd w:val="clear" w:color="auto" w:fill="FFFFFF"/>
        <w:spacing w:before="0" w:beforeAutospacing="0" w:after="0" w:afterAutospacing="0"/>
        <w:ind w:firstLine="645"/>
        <w:jc w:val="both"/>
        <w:textAlignment w:val="top"/>
        <w:rPr>
          <w:rFonts w:ascii="Calibri" w:hAnsi="Calibri" w:cs="Calibri"/>
          <w:color w:val="000000"/>
          <w:sz w:val="21"/>
          <w:szCs w:val="21"/>
        </w:rPr>
      </w:pPr>
      <w:r>
        <w:rPr>
          <w:rFonts w:hint="eastAsia" w:ascii="黑体" w:hAnsi="宋体" w:eastAsia="黑体" w:cs="黑体"/>
          <w:color w:val="000000"/>
          <w:sz w:val="31"/>
          <w:szCs w:val="31"/>
          <w:shd w:val="clear" w:color="auto" w:fill="FFFFFF"/>
        </w:rPr>
        <w:t>二、评级指标</w:t>
      </w:r>
    </w:p>
    <w:p>
      <w:pPr>
        <w:pStyle w:val="12"/>
        <w:widowControl/>
        <w:shd w:val="clear" w:color="auto" w:fill="FFFFFF"/>
        <w:spacing w:before="0" w:beforeAutospacing="0" w:after="0" w:afterAutospacing="0"/>
        <w:ind w:firstLine="645"/>
        <w:jc w:val="both"/>
        <w:textAlignment w:val="top"/>
        <w:rPr>
          <w:rFonts w:ascii="Calibri" w:hAnsi="Calibri" w:cs="Calibri"/>
          <w:color w:val="000000"/>
          <w:sz w:val="21"/>
          <w:szCs w:val="21"/>
        </w:rPr>
      </w:pPr>
      <w:r>
        <w:rPr>
          <w:rFonts w:hint="eastAsia" w:ascii="仿宋_GB2312" w:hAnsi="Calibri" w:cs="仿宋_GB2312"/>
          <w:color w:val="000000"/>
          <w:sz w:val="31"/>
          <w:szCs w:val="31"/>
          <w:shd w:val="clear" w:color="auto" w:fill="FFFFFF"/>
        </w:rPr>
        <w:t>监管评级要素包括基础项（100分）、扣分项（20分）、加分项（15分）和一票否决项。其中，基础项分为社会贡献（35分）、风险防控（35分）、配合监管（10分）、行业自律（10分）、市县两级工作评价（10分）等五个一级指标。有关主要指标解释如下：</w:t>
      </w:r>
    </w:p>
    <w:p>
      <w:pPr>
        <w:pStyle w:val="12"/>
        <w:widowControl/>
        <w:shd w:val="clear" w:color="auto" w:fill="FFFFFF"/>
        <w:spacing w:before="0" w:beforeAutospacing="0" w:after="0" w:afterAutospacing="0"/>
        <w:ind w:firstLine="645"/>
        <w:jc w:val="both"/>
        <w:textAlignment w:val="top"/>
        <w:rPr>
          <w:rFonts w:ascii="Calibri" w:hAnsi="Calibri" w:cs="Calibri"/>
          <w:color w:val="000000"/>
          <w:sz w:val="21"/>
          <w:szCs w:val="21"/>
        </w:rPr>
      </w:pPr>
      <w:r>
        <w:rPr>
          <w:rFonts w:hint="eastAsia" w:ascii="仿宋_GB2312" w:hAnsi="Calibri" w:cs="仿宋_GB2312"/>
          <w:color w:val="000000"/>
          <w:sz w:val="31"/>
          <w:szCs w:val="31"/>
          <w:shd w:val="clear" w:color="auto" w:fill="FFFFFF"/>
        </w:rPr>
        <w:t>（一）社会贡献，主要从经营业绩、典当资金周转率、减费降息、回归本源等方面进行考核评分。</w:t>
      </w:r>
    </w:p>
    <w:p>
      <w:pPr>
        <w:pStyle w:val="12"/>
        <w:widowControl/>
        <w:shd w:val="clear" w:color="auto" w:fill="FFFFFF"/>
        <w:spacing w:before="0" w:beforeAutospacing="0" w:after="0" w:afterAutospacing="0"/>
        <w:ind w:firstLine="645"/>
        <w:jc w:val="both"/>
        <w:textAlignment w:val="top"/>
        <w:rPr>
          <w:rFonts w:ascii="Calibri" w:hAnsi="Calibri" w:cs="Calibri"/>
          <w:color w:val="000000"/>
          <w:sz w:val="21"/>
          <w:szCs w:val="21"/>
        </w:rPr>
      </w:pPr>
      <w:r>
        <w:rPr>
          <w:rFonts w:hint="eastAsia" w:ascii="仿宋_GB2312" w:hAnsi="Calibri" w:cs="仿宋_GB2312"/>
          <w:color w:val="000000"/>
          <w:sz w:val="31"/>
          <w:szCs w:val="31"/>
          <w:shd w:val="clear" w:color="auto" w:fill="FFFFFF"/>
        </w:rPr>
        <w:t>1.经营业绩方面考核当年累计提供典当服务的总量，旨在引导典当行积极主动开拓新业务。计算标准为年度内累计新发生的典当和续当总额，同时兼顾注册资本金较低但业务较好的典当行。</w:t>
      </w:r>
    </w:p>
    <w:p>
      <w:pPr>
        <w:pStyle w:val="12"/>
        <w:widowControl/>
        <w:shd w:val="clear" w:color="auto" w:fill="FFFFFF"/>
        <w:spacing w:before="0" w:beforeAutospacing="0" w:after="0" w:afterAutospacing="0"/>
        <w:ind w:firstLine="645"/>
        <w:jc w:val="both"/>
        <w:textAlignment w:val="top"/>
        <w:rPr>
          <w:rFonts w:ascii="Calibri" w:hAnsi="Calibri" w:cs="Calibri"/>
          <w:color w:val="000000"/>
          <w:sz w:val="21"/>
          <w:szCs w:val="21"/>
        </w:rPr>
      </w:pPr>
      <w:r>
        <w:rPr>
          <w:rFonts w:hint="eastAsia" w:ascii="仿宋_GB2312" w:hAnsi="Calibri" w:cs="仿宋_GB2312"/>
          <w:color w:val="000000"/>
          <w:sz w:val="31"/>
          <w:szCs w:val="31"/>
          <w:shd w:val="clear" w:color="auto" w:fill="FFFFFF"/>
        </w:rPr>
        <w:t>2.典当资金周转方面考核资金流动性和运转效率，鼓励典当行开展小额、应急业务。计算标准为典当平均总额占平均实收资本的比率。</w:t>
      </w:r>
    </w:p>
    <w:p>
      <w:pPr>
        <w:pStyle w:val="12"/>
        <w:widowControl/>
        <w:shd w:val="clear" w:color="auto" w:fill="FFFFFF"/>
        <w:spacing w:before="0" w:beforeAutospacing="0" w:after="0" w:afterAutospacing="0"/>
        <w:ind w:firstLine="645"/>
        <w:jc w:val="both"/>
        <w:textAlignment w:val="top"/>
        <w:rPr>
          <w:rFonts w:ascii="Calibri" w:hAnsi="Calibri" w:cs="Calibri"/>
          <w:color w:val="000000"/>
          <w:sz w:val="21"/>
          <w:szCs w:val="21"/>
        </w:rPr>
      </w:pPr>
      <w:r>
        <w:rPr>
          <w:rFonts w:hint="eastAsia" w:ascii="仿宋_GB2312" w:hAnsi="Calibri" w:cs="仿宋_GB2312"/>
          <w:color w:val="000000"/>
          <w:sz w:val="31"/>
          <w:szCs w:val="31"/>
          <w:shd w:val="clear" w:color="auto" w:fill="FFFFFF"/>
        </w:rPr>
        <w:t>3.减费降息方面考核落实国家有关降成本的决策部署情况，鼓励典当行让利于企。计算标准为当金息费率。</w:t>
      </w:r>
    </w:p>
    <w:p>
      <w:pPr>
        <w:pStyle w:val="12"/>
        <w:widowControl/>
        <w:shd w:val="clear" w:color="auto" w:fill="FFFFFF"/>
        <w:spacing w:before="0" w:beforeAutospacing="0" w:after="0" w:afterAutospacing="0"/>
        <w:ind w:firstLine="645"/>
        <w:jc w:val="both"/>
        <w:textAlignment w:val="top"/>
        <w:rPr>
          <w:rFonts w:ascii="Calibri" w:hAnsi="Calibri" w:cs="Calibri"/>
          <w:color w:val="000000"/>
          <w:sz w:val="21"/>
          <w:szCs w:val="21"/>
        </w:rPr>
      </w:pPr>
      <w:r>
        <w:rPr>
          <w:rFonts w:hint="eastAsia" w:ascii="仿宋_GB2312" w:hAnsi="Calibri" w:cs="仿宋_GB2312"/>
          <w:color w:val="000000"/>
          <w:sz w:val="31"/>
          <w:szCs w:val="31"/>
          <w:shd w:val="clear" w:color="auto" w:fill="FFFFFF"/>
        </w:rPr>
        <w:t>4.回归本源方面考核落实国家政策导向的情况，引导典当行回归民品本源。计算标准为典当行当年动产类业务占年累计典当总额的比率。</w:t>
      </w:r>
    </w:p>
    <w:p>
      <w:pPr>
        <w:pStyle w:val="12"/>
        <w:widowControl/>
        <w:shd w:val="clear" w:color="auto" w:fill="FFFFFF"/>
        <w:spacing w:before="0" w:beforeAutospacing="0" w:after="0" w:afterAutospacing="0"/>
        <w:ind w:firstLine="645"/>
        <w:jc w:val="both"/>
        <w:textAlignment w:val="top"/>
        <w:rPr>
          <w:rFonts w:ascii="Calibri" w:hAnsi="Calibri" w:cs="Calibri"/>
          <w:color w:val="000000"/>
          <w:sz w:val="21"/>
          <w:szCs w:val="21"/>
        </w:rPr>
      </w:pPr>
      <w:r>
        <w:rPr>
          <w:rFonts w:hint="eastAsia" w:ascii="仿宋_GB2312" w:hAnsi="Calibri" w:cs="仿宋_GB2312"/>
          <w:color w:val="000000"/>
          <w:sz w:val="31"/>
          <w:szCs w:val="31"/>
          <w:shd w:val="clear" w:color="auto" w:fill="FFFFFF"/>
        </w:rPr>
        <w:t>5.年度企业纳税总额考核年度产生的效益情况，督促典当行依法纳税。计算标准为年度内缴纳的所有税款总额。</w:t>
      </w:r>
    </w:p>
    <w:p>
      <w:pPr>
        <w:pStyle w:val="12"/>
        <w:widowControl/>
        <w:shd w:val="clear" w:color="auto" w:fill="FFFFFF"/>
        <w:spacing w:before="0" w:beforeAutospacing="0" w:after="0" w:afterAutospacing="0"/>
        <w:ind w:firstLine="645"/>
        <w:jc w:val="both"/>
        <w:textAlignment w:val="top"/>
        <w:rPr>
          <w:rFonts w:ascii="Calibri" w:hAnsi="Calibri" w:cs="Calibri"/>
          <w:color w:val="000000"/>
          <w:sz w:val="21"/>
          <w:szCs w:val="21"/>
        </w:rPr>
      </w:pPr>
      <w:r>
        <w:rPr>
          <w:rFonts w:hint="eastAsia" w:ascii="仿宋_GB2312" w:hAnsi="Calibri" w:cs="仿宋_GB2312"/>
          <w:color w:val="000000"/>
          <w:sz w:val="31"/>
          <w:szCs w:val="31"/>
          <w:shd w:val="clear" w:color="auto" w:fill="FFFFFF"/>
        </w:rPr>
        <w:t>6.安排劳动就业方面考核解决当地就业问题的情况。计算标准为年度内实际在岗从业人员数量。</w:t>
      </w:r>
    </w:p>
    <w:p>
      <w:pPr>
        <w:pStyle w:val="12"/>
        <w:widowControl/>
        <w:shd w:val="clear" w:color="auto" w:fill="FFFFFF"/>
        <w:spacing w:before="0" w:beforeAutospacing="0" w:after="0" w:afterAutospacing="0"/>
        <w:ind w:firstLine="645"/>
        <w:jc w:val="both"/>
        <w:textAlignment w:val="top"/>
        <w:rPr>
          <w:rFonts w:ascii="Calibri" w:hAnsi="Calibri" w:cs="Calibri"/>
          <w:color w:val="000000"/>
          <w:sz w:val="21"/>
          <w:szCs w:val="21"/>
        </w:rPr>
      </w:pPr>
      <w:r>
        <w:rPr>
          <w:rFonts w:hint="eastAsia" w:ascii="仿宋_GB2312" w:hAnsi="Calibri" w:cs="仿宋_GB2312"/>
          <w:color w:val="000000"/>
          <w:sz w:val="31"/>
          <w:szCs w:val="31"/>
          <w:shd w:val="clear" w:color="auto" w:fill="FFFFFF"/>
        </w:rPr>
        <w:t>7.业务笔数方面考核落实国家支农支小的有关决策部署情况，鼓励典当行开展小额、分散业务。计算标准为年度内新增典当业务笔数。</w:t>
      </w:r>
    </w:p>
    <w:p>
      <w:pPr>
        <w:pStyle w:val="12"/>
        <w:widowControl/>
        <w:shd w:val="clear" w:color="auto" w:fill="FFFFFF"/>
        <w:spacing w:before="0" w:beforeAutospacing="0" w:after="0" w:afterAutospacing="0"/>
        <w:ind w:firstLine="645"/>
        <w:jc w:val="both"/>
        <w:textAlignment w:val="top"/>
        <w:rPr>
          <w:rFonts w:ascii="Calibri" w:hAnsi="Calibri" w:cs="Calibri"/>
          <w:color w:val="000000"/>
          <w:sz w:val="21"/>
          <w:szCs w:val="21"/>
        </w:rPr>
      </w:pPr>
      <w:r>
        <w:rPr>
          <w:rFonts w:hint="eastAsia" w:ascii="仿宋_GB2312" w:hAnsi="Calibri" w:cs="仿宋_GB2312"/>
          <w:color w:val="000000"/>
          <w:sz w:val="31"/>
          <w:szCs w:val="31"/>
          <w:shd w:val="clear" w:color="auto" w:fill="FFFFFF"/>
        </w:rPr>
        <w:t>（二）风险防控，主要从典当行自身建设、绝当变现率、绝当率、资本风险比率和防控制度的建立和落实等方面进行考核评分。</w:t>
      </w:r>
    </w:p>
    <w:p>
      <w:pPr>
        <w:pStyle w:val="12"/>
        <w:widowControl/>
        <w:shd w:val="clear" w:color="auto" w:fill="FFFFFF"/>
        <w:spacing w:before="0" w:beforeAutospacing="0" w:after="0" w:afterAutospacing="0"/>
        <w:ind w:firstLine="645"/>
        <w:jc w:val="both"/>
        <w:textAlignment w:val="top"/>
        <w:rPr>
          <w:rFonts w:ascii="Calibri" w:hAnsi="Calibri" w:cs="Calibri"/>
          <w:color w:val="000000"/>
          <w:sz w:val="21"/>
          <w:szCs w:val="21"/>
        </w:rPr>
      </w:pPr>
      <w:r>
        <w:rPr>
          <w:rFonts w:hint="eastAsia" w:ascii="仿宋_GB2312" w:hAnsi="Calibri" w:cs="仿宋_GB2312"/>
          <w:color w:val="000000"/>
          <w:sz w:val="31"/>
          <w:szCs w:val="31"/>
          <w:shd w:val="clear" w:color="auto" w:fill="FFFFFF"/>
        </w:rPr>
        <w:t>其中，绝当变现率越高，反映其运营资金较为充足；绝当率越低，反映业务风控严格且资本安全性较高；资本风险比率越低，反映不良资产少优质资产多。</w:t>
      </w:r>
    </w:p>
    <w:p>
      <w:pPr>
        <w:pStyle w:val="12"/>
        <w:widowControl/>
        <w:shd w:val="clear" w:color="auto" w:fill="FFFFFF"/>
        <w:spacing w:before="0" w:beforeAutospacing="0" w:after="0" w:afterAutospacing="0"/>
        <w:jc w:val="both"/>
        <w:textAlignment w:val="top"/>
        <w:rPr>
          <w:rFonts w:ascii="Calibri" w:hAnsi="Calibri" w:cs="Calibri"/>
          <w:color w:val="000000"/>
          <w:sz w:val="21"/>
          <w:szCs w:val="21"/>
        </w:rPr>
      </w:pPr>
      <w:r>
        <w:rPr>
          <w:rFonts w:hint="eastAsia" w:ascii="黑体" w:hAnsi="宋体" w:eastAsia="黑体" w:cs="黑体"/>
          <w:color w:val="000000"/>
          <w:sz w:val="31"/>
          <w:szCs w:val="31"/>
          <w:shd w:val="clear" w:color="auto" w:fill="FFFFFF"/>
        </w:rPr>
        <w:t>    三、等级划分</w:t>
      </w:r>
    </w:p>
    <w:p>
      <w:pPr>
        <w:pStyle w:val="12"/>
        <w:widowControl/>
        <w:shd w:val="clear" w:color="auto" w:fill="FFFFFF"/>
        <w:spacing w:before="0" w:beforeAutospacing="0" w:after="0" w:afterAutospacing="0"/>
        <w:ind w:firstLine="645"/>
        <w:jc w:val="both"/>
        <w:textAlignment w:val="top"/>
        <w:rPr>
          <w:rFonts w:ascii="Calibri" w:hAnsi="Calibri" w:cs="Calibri"/>
          <w:color w:val="000000"/>
          <w:sz w:val="21"/>
          <w:szCs w:val="21"/>
        </w:rPr>
      </w:pPr>
      <w:r>
        <w:rPr>
          <w:rFonts w:hint="eastAsia" w:ascii="仿宋_GB2312" w:hAnsi="Calibri" w:cs="仿宋_GB2312"/>
          <w:color w:val="000000"/>
          <w:sz w:val="31"/>
          <w:szCs w:val="31"/>
          <w:shd w:val="clear" w:color="auto" w:fill="FFFFFF"/>
        </w:rPr>
        <w:t>企业评级结果分为Ⅰ、Ⅱ、Ⅲ、Ⅳ、Ⅴ五级，90分（含）以上为Ⅰ级，80分（含）至90分的为Ⅱ级，70分（含）至80分的为Ⅲ级，60（含）至70分的为Ⅳ级，60分以下为Ⅴ级。</w:t>
      </w:r>
    </w:p>
    <w:p>
      <w:pPr>
        <w:pStyle w:val="12"/>
        <w:widowControl/>
        <w:shd w:val="clear" w:color="auto" w:fill="FFFFFF"/>
        <w:spacing w:before="0" w:beforeAutospacing="0" w:after="0" w:afterAutospacing="0"/>
        <w:ind w:firstLine="645"/>
        <w:jc w:val="both"/>
        <w:textAlignment w:val="top"/>
        <w:rPr>
          <w:rFonts w:ascii="Calibri" w:hAnsi="Calibri" w:cs="Calibri"/>
          <w:color w:val="000000"/>
          <w:sz w:val="21"/>
          <w:szCs w:val="21"/>
        </w:rPr>
      </w:pPr>
      <w:r>
        <w:rPr>
          <w:rFonts w:hint="eastAsia" w:ascii="黑体" w:hAnsi="宋体" w:eastAsia="黑体" w:cs="黑体"/>
          <w:color w:val="000000"/>
          <w:sz w:val="31"/>
          <w:szCs w:val="31"/>
          <w:shd w:val="clear" w:color="auto" w:fill="FFFFFF"/>
        </w:rPr>
        <w:t>四、评级材料</w:t>
      </w:r>
    </w:p>
    <w:p>
      <w:pPr>
        <w:pStyle w:val="12"/>
        <w:widowControl/>
        <w:shd w:val="clear" w:color="auto" w:fill="FFFFFF"/>
        <w:spacing w:before="0" w:beforeAutospacing="0" w:after="0" w:afterAutospacing="0"/>
        <w:ind w:firstLine="645"/>
        <w:jc w:val="both"/>
        <w:textAlignment w:val="top"/>
        <w:rPr>
          <w:rFonts w:ascii="Calibri" w:hAnsi="Calibri" w:cs="Calibri"/>
          <w:color w:val="000000"/>
          <w:sz w:val="21"/>
          <w:szCs w:val="21"/>
        </w:rPr>
      </w:pPr>
      <w:r>
        <w:rPr>
          <w:rFonts w:hint="eastAsia" w:ascii="仿宋" w:hAnsi="仿宋" w:eastAsia="仿宋" w:cs="仿宋"/>
          <w:color w:val="000000"/>
          <w:sz w:val="31"/>
          <w:szCs w:val="31"/>
          <w:shd w:val="clear" w:color="auto" w:fill="FFFFFF"/>
        </w:rPr>
        <w:t>（一）典当行监管评级申请（原件）。</w:t>
      </w:r>
    </w:p>
    <w:p>
      <w:pPr>
        <w:pStyle w:val="12"/>
        <w:widowControl/>
        <w:shd w:val="clear" w:color="auto" w:fill="FFFFFF"/>
        <w:spacing w:before="0" w:beforeAutospacing="0" w:after="0" w:afterAutospacing="0"/>
        <w:ind w:firstLine="645"/>
        <w:jc w:val="both"/>
        <w:textAlignment w:val="top"/>
        <w:rPr>
          <w:rFonts w:ascii="Calibri" w:hAnsi="Calibri" w:cs="Calibri"/>
          <w:color w:val="000000"/>
          <w:sz w:val="21"/>
          <w:szCs w:val="21"/>
        </w:rPr>
      </w:pPr>
      <w:r>
        <w:rPr>
          <w:rFonts w:hint="eastAsia" w:ascii="仿宋" w:hAnsi="仿宋" w:eastAsia="仿宋" w:cs="仿宋"/>
          <w:color w:val="000000"/>
          <w:sz w:val="31"/>
          <w:szCs w:val="31"/>
          <w:shd w:val="clear" w:color="auto" w:fill="FFFFFF"/>
        </w:rPr>
        <w:t>（二）上年度典当行业务明细表（加盖公司公章）。</w:t>
      </w:r>
    </w:p>
    <w:p>
      <w:pPr>
        <w:pStyle w:val="12"/>
        <w:widowControl/>
        <w:shd w:val="clear" w:color="auto" w:fill="FFFFFF"/>
        <w:spacing w:before="0" w:beforeAutospacing="0" w:after="0" w:afterAutospacing="0"/>
        <w:ind w:firstLine="645"/>
        <w:jc w:val="both"/>
        <w:textAlignment w:val="top"/>
        <w:rPr>
          <w:rFonts w:ascii="Calibri" w:hAnsi="Calibri" w:cs="Calibri"/>
          <w:color w:val="000000"/>
          <w:sz w:val="21"/>
          <w:szCs w:val="21"/>
        </w:rPr>
      </w:pPr>
      <w:r>
        <w:rPr>
          <w:rFonts w:hint="eastAsia" w:ascii="仿宋" w:hAnsi="仿宋" w:eastAsia="仿宋" w:cs="仿宋"/>
          <w:color w:val="000000"/>
          <w:sz w:val="31"/>
          <w:szCs w:val="31"/>
          <w:shd w:val="clear" w:color="auto" w:fill="FFFFFF"/>
        </w:rPr>
        <w:t>（三）上年度月度报表和年度财务会计报告（原件）。</w:t>
      </w:r>
    </w:p>
    <w:p>
      <w:pPr>
        <w:pStyle w:val="12"/>
        <w:widowControl/>
        <w:shd w:val="clear" w:color="auto" w:fill="FFFFFF"/>
        <w:spacing w:before="0" w:beforeAutospacing="0" w:after="0" w:afterAutospacing="0"/>
        <w:ind w:firstLine="645"/>
        <w:jc w:val="both"/>
        <w:textAlignment w:val="top"/>
        <w:rPr>
          <w:rFonts w:ascii="Calibri" w:hAnsi="Calibri" w:cs="Calibri"/>
          <w:color w:val="000000"/>
          <w:sz w:val="21"/>
          <w:szCs w:val="21"/>
        </w:rPr>
      </w:pPr>
      <w:r>
        <w:rPr>
          <w:rFonts w:hint="eastAsia" w:ascii="仿宋" w:hAnsi="仿宋" w:eastAsia="仿宋" w:cs="仿宋"/>
          <w:color w:val="000000"/>
          <w:sz w:val="31"/>
          <w:szCs w:val="31"/>
          <w:shd w:val="clear" w:color="auto" w:fill="FFFFFF"/>
        </w:rPr>
        <w:t>（四）上年度典当行纳税凭证（复印件）。</w:t>
      </w:r>
    </w:p>
    <w:p>
      <w:pPr>
        <w:pStyle w:val="12"/>
        <w:widowControl/>
        <w:shd w:val="clear" w:color="auto" w:fill="FFFFFF"/>
        <w:spacing w:before="0" w:beforeAutospacing="0" w:after="0" w:afterAutospacing="0"/>
        <w:ind w:firstLine="645"/>
        <w:jc w:val="both"/>
        <w:textAlignment w:val="top"/>
        <w:rPr>
          <w:rFonts w:ascii="Calibri" w:hAnsi="Calibri" w:cs="Calibri"/>
          <w:color w:val="000000"/>
          <w:sz w:val="21"/>
          <w:szCs w:val="21"/>
        </w:rPr>
      </w:pPr>
      <w:r>
        <w:rPr>
          <w:rFonts w:hint="eastAsia" w:ascii="仿宋" w:hAnsi="仿宋" w:eastAsia="仿宋" w:cs="仿宋"/>
          <w:color w:val="000000"/>
          <w:sz w:val="31"/>
          <w:szCs w:val="31"/>
          <w:shd w:val="clear" w:color="auto" w:fill="FFFFFF"/>
        </w:rPr>
        <w:t>（五）上年度从业人员花名册（有相关劳动合同和社保记录复印件）和相关专业资格证书（复印件）。</w:t>
      </w:r>
    </w:p>
    <w:p>
      <w:pPr>
        <w:pStyle w:val="12"/>
        <w:widowControl/>
        <w:shd w:val="clear" w:color="auto" w:fill="FFFFFF"/>
        <w:spacing w:before="0" w:beforeAutospacing="0" w:after="0" w:afterAutospacing="0"/>
        <w:ind w:firstLine="645"/>
        <w:jc w:val="both"/>
        <w:textAlignment w:val="top"/>
        <w:rPr>
          <w:rFonts w:ascii="Calibri" w:hAnsi="Calibri" w:cs="Calibri"/>
          <w:color w:val="000000"/>
          <w:sz w:val="21"/>
          <w:szCs w:val="21"/>
        </w:rPr>
      </w:pPr>
      <w:r>
        <w:rPr>
          <w:rFonts w:hint="eastAsia" w:ascii="仿宋" w:hAnsi="仿宋" w:eastAsia="仿宋" w:cs="仿宋"/>
          <w:color w:val="000000"/>
          <w:sz w:val="31"/>
          <w:szCs w:val="31"/>
          <w:shd w:val="clear" w:color="auto" w:fill="FFFFFF"/>
        </w:rPr>
        <w:t>（六）制定的内部风控等制度。</w:t>
      </w:r>
    </w:p>
    <w:p>
      <w:pPr>
        <w:pStyle w:val="12"/>
        <w:widowControl/>
        <w:shd w:val="clear" w:color="auto" w:fill="FFFFFF"/>
        <w:spacing w:before="0" w:beforeAutospacing="0" w:after="0" w:afterAutospacing="0"/>
        <w:ind w:firstLine="645"/>
        <w:jc w:val="both"/>
        <w:textAlignment w:val="top"/>
        <w:rPr>
          <w:rFonts w:ascii="Calibri" w:hAnsi="Calibri" w:cs="Calibri"/>
          <w:color w:val="000000"/>
          <w:sz w:val="21"/>
          <w:szCs w:val="21"/>
        </w:rPr>
      </w:pPr>
      <w:r>
        <w:rPr>
          <w:rFonts w:hint="eastAsia" w:ascii="仿宋" w:hAnsi="仿宋" w:eastAsia="仿宋" w:cs="仿宋"/>
          <w:color w:val="000000"/>
          <w:sz w:val="31"/>
          <w:szCs w:val="31"/>
          <w:shd w:val="clear" w:color="auto" w:fill="FFFFFF"/>
        </w:rPr>
        <w:t>（七）上年度落实相关制度和监管要求的文件、图片或视频资料等材料。</w:t>
      </w:r>
    </w:p>
    <w:p>
      <w:pPr>
        <w:pStyle w:val="12"/>
        <w:widowControl/>
        <w:shd w:val="clear" w:color="auto" w:fill="FFFFFF"/>
        <w:spacing w:before="0" w:beforeAutospacing="0" w:after="0" w:afterAutospacing="0"/>
        <w:ind w:firstLine="645"/>
        <w:jc w:val="both"/>
        <w:textAlignment w:val="top"/>
        <w:rPr>
          <w:rFonts w:ascii="Calibri" w:hAnsi="Calibri" w:cs="Calibri"/>
          <w:color w:val="000000"/>
          <w:sz w:val="21"/>
          <w:szCs w:val="21"/>
        </w:rPr>
      </w:pPr>
      <w:r>
        <w:rPr>
          <w:rFonts w:hint="eastAsia" w:ascii="仿宋" w:hAnsi="仿宋" w:eastAsia="仿宋" w:cs="仿宋"/>
          <w:color w:val="000000"/>
          <w:sz w:val="31"/>
          <w:szCs w:val="31"/>
          <w:shd w:val="clear" w:color="auto" w:fill="FFFFFF"/>
        </w:rPr>
        <w:t>（八）监管部门需要的其他材料。</w:t>
      </w:r>
    </w:p>
    <w:p>
      <w:pPr>
        <w:pStyle w:val="12"/>
        <w:widowControl/>
        <w:shd w:val="clear" w:color="auto" w:fill="FFFFFF"/>
        <w:spacing w:before="0" w:beforeAutospacing="0" w:after="0" w:afterAutospacing="0"/>
        <w:ind w:firstLine="645"/>
        <w:jc w:val="both"/>
        <w:textAlignment w:val="top"/>
        <w:rPr>
          <w:rFonts w:ascii="Calibri" w:hAnsi="Calibri" w:cs="Calibri"/>
          <w:color w:val="000000"/>
          <w:sz w:val="21"/>
          <w:szCs w:val="21"/>
        </w:rPr>
      </w:pPr>
      <w:r>
        <w:rPr>
          <w:rFonts w:hint="eastAsia" w:ascii="黑体" w:hAnsi="宋体" w:eastAsia="黑体" w:cs="黑体"/>
          <w:color w:val="000000"/>
          <w:sz w:val="31"/>
          <w:szCs w:val="31"/>
          <w:shd w:val="clear" w:color="auto" w:fill="FFFFFF"/>
        </w:rPr>
        <w:t>五、开展方式</w:t>
      </w:r>
    </w:p>
    <w:p>
      <w:pPr>
        <w:pStyle w:val="12"/>
        <w:widowControl/>
        <w:shd w:val="clear" w:color="auto" w:fill="FFFFFF"/>
        <w:spacing w:before="0" w:beforeAutospacing="0" w:after="0" w:afterAutospacing="0" w:line="315" w:lineRule="atLeast"/>
        <w:ind w:firstLine="645"/>
        <w:jc w:val="both"/>
        <w:textAlignment w:val="top"/>
        <w:rPr>
          <w:rFonts w:ascii="Calibri" w:hAnsi="Calibri" w:cs="Calibri"/>
          <w:color w:val="000000"/>
          <w:sz w:val="21"/>
          <w:szCs w:val="21"/>
        </w:rPr>
      </w:pPr>
      <w:r>
        <w:rPr>
          <w:rFonts w:hint="eastAsia" w:ascii="仿宋_GB2312" w:hAnsi="Calibri" w:cs="仿宋_GB2312"/>
          <w:color w:val="000000"/>
          <w:sz w:val="31"/>
          <w:szCs w:val="31"/>
          <w:shd w:val="clear" w:color="auto" w:fill="FFFFFF"/>
        </w:rPr>
        <w:t>按照典当行监管工作分级管理、分级负责的原则，进一步强化属地管理责任，监管评级工作采取县（市、区）级初评、市级核定、省级抽查的方式进行。为确保监管评级结果准确、公正，各级地方金融工作部门可聘请第三方中介机构参与，以现场核查为主，主动征求各级典当行业协会意见建议，依法依规开展监管评级工作。为减轻县（市、区）地方金融工作部门工作负担，首次监管评级后，除有调级变化的，不再全面组织开展评级工作。首次监管评级或监管级别调整所涉及数据、文件、资料、证书等材料的时间，均为上年度1月1日至12月31日。</w:t>
      </w:r>
    </w:p>
    <w:p>
      <w:pPr>
        <w:pStyle w:val="12"/>
        <w:widowControl/>
        <w:shd w:val="clear" w:color="auto" w:fill="FFFFFF"/>
        <w:spacing w:before="0" w:beforeAutospacing="0" w:after="0" w:afterAutospacing="0" w:line="315" w:lineRule="atLeast"/>
        <w:ind w:firstLine="645"/>
        <w:jc w:val="both"/>
        <w:textAlignment w:val="top"/>
        <w:rPr>
          <w:rFonts w:ascii="Calibri" w:hAnsi="Calibri" w:cs="Calibri"/>
          <w:color w:val="000000"/>
          <w:sz w:val="21"/>
          <w:szCs w:val="21"/>
        </w:rPr>
      </w:pPr>
      <w:r>
        <w:rPr>
          <w:rStyle w:val="17"/>
          <w:rFonts w:hint="eastAsia" w:ascii="仿宋_GB2312" w:hAnsi="Calibri" w:cs="仿宋_GB2312"/>
          <w:color w:val="000000"/>
          <w:sz w:val="31"/>
          <w:szCs w:val="31"/>
          <w:shd w:val="clear" w:color="auto" w:fill="FFFFFF"/>
        </w:rPr>
        <w:t>首次评定采用以下程序：</w:t>
      </w:r>
    </w:p>
    <w:p>
      <w:pPr>
        <w:pStyle w:val="12"/>
        <w:widowControl/>
        <w:shd w:val="clear" w:color="auto" w:fill="FFFFFF"/>
        <w:spacing w:before="0" w:beforeAutospacing="0" w:after="0" w:afterAutospacing="0" w:line="315" w:lineRule="atLeast"/>
        <w:ind w:firstLine="645"/>
        <w:jc w:val="both"/>
        <w:textAlignment w:val="top"/>
        <w:rPr>
          <w:rFonts w:ascii="Calibri" w:hAnsi="Calibri" w:cs="Calibri"/>
          <w:color w:val="000000"/>
          <w:sz w:val="21"/>
          <w:szCs w:val="21"/>
        </w:rPr>
      </w:pPr>
      <w:r>
        <w:rPr>
          <w:rFonts w:hint="eastAsia" w:ascii="仿宋_GB2312" w:hAnsi="Calibri" w:cs="仿宋_GB2312"/>
          <w:color w:val="000000"/>
          <w:sz w:val="31"/>
          <w:szCs w:val="31"/>
          <w:shd w:val="clear" w:color="auto" w:fill="FFFFFF"/>
        </w:rPr>
        <w:t>首次监管评级时间为2022年2月7日至7月31日。</w:t>
      </w:r>
    </w:p>
    <w:p>
      <w:pPr>
        <w:pStyle w:val="12"/>
        <w:widowControl/>
        <w:shd w:val="clear" w:color="auto" w:fill="FFFFFF"/>
        <w:spacing w:before="0" w:beforeAutospacing="0" w:after="0" w:afterAutospacing="0" w:line="315" w:lineRule="atLeast"/>
        <w:ind w:firstLine="645"/>
        <w:jc w:val="both"/>
        <w:textAlignment w:val="top"/>
        <w:rPr>
          <w:rFonts w:ascii="Calibri" w:hAnsi="Calibri" w:cs="Calibri"/>
          <w:color w:val="000000"/>
          <w:sz w:val="21"/>
          <w:szCs w:val="21"/>
        </w:rPr>
      </w:pPr>
      <w:r>
        <w:rPr>
          <w:rFonts w:hint="eastAsia" w:ascii="仿宋_GB2312" w:hAnsi="Calibri" w:cs="仿宋_GB2312"/>
          <w:color w:val="000000"/>
          <w:sz w:val="31"/>
          <w:szCs w:val="31"/>
          <w:shd w:val="clear" w:color="auto" w:fill="FFFFFF"/>
        </w:rPr>
        <w:t>（一）材料上报。2022年3月31日前，典当行应按照《河南省典当行监管评级工作实施方案》的有关要求，向县（市、区）地方金融工作部门提交相关报表、业务台账等监管评级材料。</w:t>
      </w:r>
    </w:p>
    <w:p>
      <w:pPr>
        <w:pStyle w:val="12"/>
        <w:widowControl/>
        <w:shd w:val="clear" w:color="auto" w:fill="FFFFFF"/>
        <w:spacing w:before="0" w:beforeAutospacing="0" w:after="0" w:afterAutospacing="0" w:line="315" w:lineRule="atLeast"/>
        <w:ind w:firstLine="645"/>
        <w:jc w:val="both"/>
        <w:textAlignment w:val="top"/>
        <w:rPr>
          <w:rFonts w:ascii="Calibri" w:hAnsi="Calibri" w:cs="Calibri"/>
          <w:color w:val="000000"/>
          <w:sz w:val="21"/>
          <w:szCs w:val="21"/>
        </w:rPr>
      </w:pPr>
      <w:r>
        <w:rPr>
          <w:rFonts w:hint="eastAsia" w:ascii="仿宋_GB2312" w:hAnsi="Calibri" w:cs="仿宋_GB2312"/>
          <w:color w:val="000000"/>
          <w:sz w:val="31"/>
          <w:szCs w:val="31"/>
          <w:shd w:val="clear" w:color="auto" w:fill="FFFFFF"/>
        </w:rPr>
        <w:t>（二）县（市、区）级初评。2022年4月30日前，县（市、区）地方金融工作部门要完成本辖区典当行监管评级初评工作。</w:t>
      </w:r>
    </w:p>
    <w:p>
      <w:pPr>
        <w:pStyle w:val="12"/>
        <w:widowControl/>
        <w:shd w:val="clear" w:color="auto" w:fill="FFFFFF"/>
        <w:spacing w:before="0" w:beforeAutospacing="0" w:after="0" w:afterAutospacing="0" w:line="315" w:lineRule="atLeast"/>
        <w:ind w:firstLine="645"/>
        <w:jc w:val="both"/>
        <w:textAlignment w:val="top"/>
        <w:rPr>
          <w:rFonts w:ascii="Calibri" w:hAnsi="Calibri" w:cs="Calibri"/>
          <w:color w:val="000000"/>
          <w:sz w:val="21"/>
          <w:szCs w:val="21"/>
        </w:rPr>
      </w:pPr>
      <w:r>
        <w:rPr>
          <w:rFonts w:hint="eastAsia" w:ascii="仿宋_GB2312" w:hAnsi="Calibri" w:cs="仿宋_GB2312"/>
          <w:color w:val="000000"/>
          <w:sz w:val="31"/>
          <w:szCs w:val="31"/>
          <w:shd w:val="clear" w:color="auto" w:fill="FFFFFF"/>
        </w:rPr>
        <w:t>（三）市级核定。2022年7月31日前，各省辖市金融工作局要完成本市典当行监管评级核定工作，评级结果应告知典当行，同时上报省地方金融监管局备案。</w:t>
      </w:r>
    </w:p>
    <w:p>
      <w:pPr>
        <w:pStyle w:val="12"/>
        <w:widowControl/>
        <w:shd w:val="clear" w:color="auto" w:fill="FFFFFF"/>
        <w:spacing w:before="0" w:beforeAutospacing="0" w:after="0" w:afterAutospacing="0" w:line="315" w:lineRule="atLeast"/>
        <w:ind w:firstLine="645"/>
        <w:jc w:val="both"/>
        <w:textAlignment w:val="top"/>
        <w:rPr>
          <w:rFonts w:ascii="Calibri" w:hAnsi="Calibri" w:cs="Calibri"/>
          <w:color w:val="000000"/>
          <w:sz w:val="21"/>
          <w:szCs w:val="21"/>
        </w:rPr>
      </w:pPr>
      <w:r>
        <w:rPr>
          <w:rFonts w:hint="eastAsia" w:ascii="仿宋_GB2312" w:hAnsi="Calibri" w:cs="仿宋_GB2312"/>
          <w:color w:val="000000"/>
          <w:sz w:val="31"/>
          <w:szCs w:val="31"/>
          <w:shd w:val="clear" w:color="auto" w:fill="FFFFFF"/>
        </w:rPr>
        <w:t>当年新设的典当行，首次评定为Ⅲ级。典当行主动申请延迟参加监管评级并经省辖市金融工作局同意的，监管评级结果首次评定为Ⅳ级。不申请延迟且不参加监管评级的，监管评级结果首次评定为Ⅴ级。</w:t>
      </w:r>
    </w:p>
    <w:p>
      <w:pPr>
        <w:pStyle w:val="12"/>
        <w:widowControl/>
        <w:shd w:val="clear" w:color="auto" w:fill="FFFFFF"/>
        <w:spacing w:before="0" w:beforeAutospacing="0" w:after="0" w:afterAutospacing="0" w:line="315" w:lineRule="atLeast"/>
        <w:ind w:firstLine="645"/>
        <w:jc w:val="both"/>
        <w:textAlignment w:val="top"/>
        <w:rPr>
          <w:rFonts w:ascii="Calibri" w:hAnsi="Calibri" w:cs="Calibri"/>
          <w:color w:val="000000"/>
          <w:sz w:val="21"/>
          <w:szCs w:val="21"/>
        </w:rPr>
      </w:pPr>
      <w:r>
        <w:rPr>
          <w:rFonts w:hint="eastAsia" w:ascii="仿宋_GB2312" w:hAnsi="Calibri" w:cs="仿宋_GB2312"/>
          <w:color w:val="000000"/>
          <w:sz w:val="31"/>
          <w:szCs w:val="31"/>
          <w:shd w:val="clear" w:color="auto" w:fill="FFFFFF"/>
        </w:rPr>
        <w:t>（四）申诉处理。典当行对监管评级结果如有异议，应在收到监管评级结果之日起15个工作日内，向县（市、区）地方金融工作部门提交相应材料和依据。省辖市金融工作局会同县（市、区）地方金融工作部门对相关材料进行复核，出具最终意见并告知出具意见的依据。典当行对省辖市金融工作局的最终评级结果进行申诉的，可直接向省地方金融监管局提交相应材料和依据，省地方金融监管局将组织第三方进行专项复核。</w:t>
      </w:r>
    </w:p>
    <w:p>
      <w:pPr>
        <w:pStyle w:val="12"/>
        <w:widowControl/>
        <w:shd w:val="clear" w:color="auto" w:fill="FFFFFF"/>
        <w:spacing w:before="0" w:beforeAutospacing="0" w:after="0" w:afterAutospacing="0" w:line="315" w:lineRule="atLeast"/>
        <w:ind w:firstLine="645"/>
        <w:jc w:val="both"/>
        <w:textAlignment w:val="top"/>
        <w:rPr>
          <w:rFonts w:ascii="Calibri" w:hAnsi="Calibri" w:cs="Calibri"/>
          <w:color w:val="000000"/>
          <w:sz w:val="21"/>
          <w:szCs w:val="21"/>
        </w:rPr>
      </w:pPr>
      <w:r>
        <w:rPr>
          <w:rFonts w:hint="eastAsia" w:ascii="仿宋_GB2312" w:hAnsi="Calibri" w:cs="仿宋_GB2312"/>
          <w:color w:val="000000"/>
          <w:sz w:val="31"/>
          <w:szCs w:val="31"/>
          <w:shd w:val="clear" w:color="auto" w:fill="FFFFFF"/>
        </w:rPr>
        <w:t>（五）省级抽查。省地方金融监管局将结合现场检查或调研督导等方式，每年7月至10月随机对各省辖市金融工作局报备的监管评级结果进行抽查。</w:t>
      </w:r>
    </w:p>
    <w:p>
      <w:pPr>
        <w:pStyle w:val="12"/>
        <w:widowControl/>
        <w:shd w:val="clear" w:color="auto" w:fill="FFFFFF"/>
        <w:spacing w:before="0" w:beforeAutospacing="0" w:after="0" w:afterAutospacing="0" w:line="315" w:lineRule="atLeast"/>
        <w:ind w:firstLine="645"/>
        <w:jc w:val="both"/>
        <w:textAlignment w:val="top"/>
        <w:rPr>
          <w:rFonts w:ascii="Calibri" w:hAnsi="Calibri" w:cs="Calibri"/>
          <w:color w:val="000000"/>
          <w:sz w:val="21"/>
          <w:szCs w:val="21"/>
        </w:rPr>
      </w:pPr>
      <w:r>
        <w:rPr>
          <w:rStyle w:val="17"/>
          <w:rFonts w:hint="eastAsia" w:ascii="仿宋_GB2312" w:hAnsi="Calibri" w:cs="仿宋_GB2312"/>
          <w:color w:val="000000"/>
          <w:sz w:val="31"/>
          <w:szCs w:val="31"/>
          <w:shd w:val="clear" w:color="auto" w:fill="FFFFFF"/>
        </w:rPr>
        <w:t>以后年度监管级别调整程序：</w:t>
      </w:r>
    </w:p>
    <w:p>
      <w:pPr>
        <w:pStyle w:val="12"/>
        <w:widowControl/>
        <w:shd w:val="clear" w:color="auto" w:fill="FFFFFF"/>
        <w:spacing w:before="0" w:beforeAutospacing="0" w:after="0" w:afterAutospacing="0" w:line="315" w:lineRule="atLeast"/>
        <w:ind w:firstLine="645"/>
        <w:jc w:val="both"/>
        <w:textAlignment w:val="top"/>
        <w:rPr>
          <w:rFonts w:ascii="Calibri" w:hAnsi="Calibri" w:cs="Calibri"/>
          <w:color w:val="000000"/>
          <w:sz w:val="21"/>
          <w:szCs w:val="21"/>
        </w:rPr>
      </w:pPr>
      <w:r>
        <w:rPr>
          <w:rFonts w:hint="eastAsia" w:ascii="仿宋_GB2312" w:hAnsi="Calibri" w:cs="仿宋_GB2312"/>
          <w:color w:val="000000"/>
          <w:sz w:val="31"/>
          <w:szCs w:val="31"/>
          <w:shd w:val="clear" w:color="auto" w:fill="FFFFFF"/>
        </w:rPr>
        <w:t>每年4月1日至6月30日开展监管评级调整工作。为减轻典当行受检负担，年度内开展的监管评级调整、行业年审和现场检查工作可以合并进行。</w:t>
      </w:r>
    </w:p>
    <w:p>
      <w:pPr>
        <w:pStyle w:val="12"/>
        <w:widowControl/>
        <w:shd w:val="clear" w:color="auto" w:fill="FFFFFF"/>
        <w:spacing w:before="0" w:beforeAutospacing="0" w:after="0" w:afterAutospacing="0" w:line="315" w:lineRule="atLeast"/>
        <w:ind w:firstLine="645"/>
        <w:jc w:val="both"/>
        <w:textAlignment w:val="top"/>
        <w:rPr>
          <w:rFonts w:ascii="Calibri" w:hAnsi="Calibri" w:cs="Calibri"/>
          <w:color w:val="000000"/>
          <w:sz w:val="21"/>
          <w:szCs w:val="21"/>
        </w:rPr>
      </w:pPr>
      <w:r>
        <w:rPr>
          <w:rFonts w:hint="eastAsia" w:ascii="仿宋_GB2312" w:hAnsi="Calibri" w:cs="仿宋_GB2312"/>
          <w:color w:val="000000"/>
          <w:sz w:val="31"/>
          <w:szCs w:val="31"/>
          <w:shd w:val="clear" w:color="auto" w:fill="FFFFFF"/>
        </w:rPr>
        <w:t>（一）监管评级申请。每年3月31日前，典当行可结合上一年度运营情况进行自查，自查达到调级标准（上调或者下调）的，应主动向县（市、区）地方金融工作部门申请调级，并如实提交相应材料和依据。对申请调级的，市、县（市、区）地方金融工作部门应启动评级调整工作。典当行故意隐瞒真实情况，提交虚假自评材料的，一经查实，三年内监管评级一律不得高于Ⅳ级。</w:t>
      </w:r>
    </w:p>
    <w:p>
      <w:pPr>
        <w:pStyle w:val="12"/>
        <w:widowControl/>
        <w:shd w:val="clear" w:color="auto" w:fill="FFFFFF"/>
        <w:spacing w:before="0" w:beforeAutospacing="0" w:after="0" w:afterAutospacing="0" w:line="315" w:lineRule="atLeast"/>
        <w:ind w:firstLine="645"/>
        <w:jc w:val="both"/>
        <w:textAlignment w:val="top"/>
        <w:rPr>
          <w:rFonts w:ascii="Calibri" w:hAnsi="Calibri" w:cs="Calibri"/>
          <w:color w:val="000000"/>
          <w:sz w:val="21"/>
          <w:szCs w:val="21"/>
        </w:rPr>
      </w:pPr>
      <w:r>
        <w:rPr>
          <w:rFonts w:hint="eastAsia" w:ascii="仿宋_GB2312" w:hAnsi="Calibri" w:cs="仿宋_GB2312"/>
          <w:color w:val="000000"/>
          <w:sz w:val="31"/>
          <w:szCs w:val="31"/>
          <w:shd w:val="clear" w:color="auto" w:fill="FFFFFF"/>
        </w:rPr>
        <w:t>（二）监管评级调整。县（市、区）地方金融工作部门应结合日常监管、现场检查和非现场监管等工作，每年5月31日前完成对本辖区典当行评级情况的复核工作，并将复核情况报省辖市金融工作局。对达到调级标准的，省辖市金融工作局应独立或者联合县（市、区）地方金融工作部门开展监管级别调整工作，调整结果应于6月30日前完成并上报省地方金融监管局备案。</w:t>
      </w:r>
    </w:p>
    <w:p>
      <w:pPr>
        <w:pStyle w:val="12"/>
        <w:widowControl/>
        <w:shd w:val="clear" w:color="auto" w:fill="FFFFFF"/>
        <w:spacing w:before="0" w:beforeAutospacing="0" w:after="0" w:afterAutospacing="0" w:line="315" w:lineRule="atLeast"/>
        <w:ind w:firstLine="645"/>
        <w:jc w:val="both"/>
        <w:textAlignment w:val="top"/>
        <w:rPr>
          <w:rFonts w:ascii="Calibri" w:hAnsi="Calibri" w:cs="Calibri"/>
          <w:color w:val="000000"/>
          <w:sz w:val="21"/>
          <w:szCs w:val="21"/>
        </w:rPr>
      </w:pPr>
      <w:r>
        <w:rPr>
          <w:rFonts w:hint="eastAsia" w:ascii="黑体" w:hAnsi="宋体" w:eastAsia="黑体" w:cs="黑体"/>
          <w:color w:val="000000"/>
          <w:sz w:val="31"/>
          <w:szCs w:val="31"/>
          <w:shd w:val="clear" w:color="auto" w:fill="FFFFFF"/>
        </w:rPr>
        <w:t>六、有关要求</w:t>
      </w:r>
    </w:p>
    <w:p>
      <w:pPr>
        <w:pStyle w:val="12"/>
        <w:widowControl/>
        <w:shd w:val="clear" w:color="auto" w:fill="FFFFFF"/>
        <w:spacing w:before="0" w:beforeAutospacing="0" w:after="0" w:afterAutospacing="0" w:line="315" w:lineRule="atLeast"/>
        <w:ind w:firstLine="645"/>
        <w:jc w:val="both"/>
        <w:textAlignment w:val="top"/>
        <w:rPr>
          <w:rFonts w:ascii="Calibri" w:hAnsi="Calibri" w:cs="Calibri"/>
          <w:color w:val="000000"/>
          <w:sz w:val="21"/>
          <w:szCs w:val="21"/>
        </w:rPr>
      </w:pPr>
      <w:r>
        <w:rPr>
          <w:rFonts w:hint="eastAsia" w:ascii="仿宋_GB2312" w:hAnsi="Calibri" w:cs="仿宋_GB2312"/>
          <w:color w:val="000000"/>
          <w:sz w:val="31"/>
          <w:szCs w:val="31"/>
          <w:shd w:val="clear" w:color="auto" w:fill="FFFFFF"/>
        </w:rPr>
        <w:t>（一）高度重视</w:t>
      </w:r>
    </w:p>
    <w:p>
      <w:pPr>
        <w:pStyle w:val="12"/>
        <w:widowControl/>
        <w:shd w:val="clear" w:color="auto" w:fill="FFFFFF"/>
        <w:spacing w:before="0" w:beforeAutospacing="0" w:after="0" w:afterAutospacing="0" w:line="315" w:lineRule="atLeast"/>
        <w:ind w:firstLine="645"/>
        <w:jc w:val="both"/>
        <w:textAlignment w:val="top"/>
        <w:rPr>
          <w:rFonts w:ascii="Calibri" w:hAnsi="Calibri" w:cs="Calibri"/>
          <w:color w:val="000000"/>
          <w:sz w:val="21"/>
          <w:szCs w:val="21"/>
        </w:rPr>
      </w:pPr>
      <w:r>
        <w:rPr>
          <w:rFonts w:hint="eastAsia" w:ascii="仿宋_GB2312" w:hAnsi="Calibri" w:cs="仿宋_GB2312"/>
          <w:color w:val="000000"/>
          <w:sz w:val="31"/>
          <w:szCs w:val="31"/>
          <w:shd w:val="clear" w:color="auto" w:fill="FFFFFF"/>
        </w:rPr>
        <w:t>监管评级工作应坚持独立、客观、公正、科学的原则，突出典当行的合规经营和风险防范，减少主观人为因素影响。市、县（市、区）地方金融工作部门要依据监管评级结果，合理分配监管力量实施有针对性的分类监管工作，不得将评级结果误用滥用。</w:t>
      </w:r>
    </w:p>
    <w:p>
      <w:pPr>
        <w:pStyle w:val="12"/>
        <w:widowControl/>
        <w:shd w:val="clear" w:color="auto" w:fill="FFFFFF"/>
        <w:spacing w:before="0" w:beforeAutospacing="0" w:after="0" w:afterAutospacing="0" w:line="315" w:lineRule="atLeast"/>
        <w:ind w:firstLine="645"/>
        <w:jc w:val="both"/>
        <w:textAlignment w:val="top"/>
        <w:rPr>
          <w:rFonts w:ascii="Calibri" w:hAnsi="Calibri" w:cs="Calibri"/>
          <w:color w:val="000000"/>
          <w:sz w:val="21"/>
          <w:szCs w:val="21"/>
        </w:rPr>
      </w:pPr>
      <w:r>
        <w:rPr>
          <w:rFonts w:hint="eastAsia" w:ascii="仿宋_GB2312" w:hAnsi="Calibri" w:cs="仿宋_GB2312"/>
          <w:color w:val="000000"/>
          <w:sz w:val="31"/>
          <w:szCs w:val="31"/>
          <w:shd w:val="clear" w:color="auto" w:fill="FFFFFF"/>
        </w:rPr>
        <w:t>（二）结果运用</w:t>
      </w:r>
    </w:p>
    <w:p>
      <w:pPr>
        <w:pStyle w:val="12"/>
        <w:widowControl/>
        <w:shd w:val="clear" w:color="auto" w:fill="FFFFFF"/>
        <w:spacing w:before="0" w:beforeAutospacing="0" w:after="0" w:afterAutospacing="0" w:line="315" w:lineRule="atLeast"/>
        <w:ind w:firstLine="645"/>
        <w:jc w:val="both"/>
        <w:textAlignment w:val="top"/>
        <w:rPr>
          <w:rFonts w:ascii="Calibri" w:hAnsi="Calibri" w:cs="Calibri"/>
          <w:color w:val="000000"/>
          <w:sz w:val="21"/>
          <w:szCs w:val="21"/>
        </w:rPr>
      </w:pPr>
      <w:r>
        <w:rPr>
          <w:rFonts w:hint="eastAsia" w:ascii="仿宋_GB2312" w:hAnsi="Calibri" w:cs="仿宋_GB2312"/>
          <w:color w:val="000000"/>
          <w:sz w:val="31"/>
          <w:szCs w:val="31"/>
          <w:shd w:val="clear" w:color="auto" w:fill="FFFFFF"/>
        </w:rPr>
        <w:t>监管评级结果仅作为各级监管部门实施分类监管和支持发展的依据，典当行不得将评级结果用于典当业务以外的其他商业用途。一经查实，三年内监管评级一律不得高于Ⅳ级。</w:t>
      </w:r>
    </w:p>
    <w:p>
      <w:pPr>
        <w:pStyle w:val="12"/>
        <w:widowControl/>
        <w:shd w:val="clear" w:color="auto" w:fill="FFFFFF"/>
        <w:spacing w:before="0" w:beforeAutospacing="0" w:after="0" w:afterAutospacing="0" w:line="315" w:lineRule="atLeast"/>
        <w:ind w:firstLine="645"/>
        <w:jc w:val="both"/>
        <w:textAlignment w:val="top"/>
        <w:rPr>
          <w:rFonts w:ascii="Calibri" w:hAnsi="Calibri" w:cs="Calibri"/>
          <w:color w:val="000000"/>
          <w:sz w:val="21"/>
          <w:szCs w:val="21"/>
        </w:rPr>
      </w:pPr>
      <w:r>
        <w:rPr>
          <w:rFonts w:hint="eastAsia" w:ascii="仿宋_GB2312" w:hAnsi="Calibri" w:cs="仿宋_GB2312"/>
          <w:color w:val="000000"/>
          <w:sz w:val="31"/>
          <w:szCs w:val="31"/>
          <w:shd w:val="clear" w:color="auto" w:fill="FFFFFF"/>
        </w:rPr>
        <w:t>监管评级结果为Ⅰ级的，以非现场监管为主，可给予适量的监管关注，原则上当年度不安排现场检查（有举报、投诉、专项检查等情形除外）和典当行年审工作（三年内须年审一次）。</w:t>
      </w:r>
    </w:p>
    <w:p>
      <w:pPr>
        <w:pStyle w:val="12"/>
        <w:widowControl/>
        <w:shd w:val="clear" w:color="auto" w:fill="FFFFFF"/>
        <w:spacing w:before="0" w:beforeAutospacing="0" w:after="0" w:afterAutospacing="0" w:line="315" w:lineRule="atLeast"/>
        <w:ind w:firstLine="645"/>
        <w:jc w:val="both"/>
        <w:textAlignment w:val="top"/>
        <w:rPr>
          <w:rFonts w:ascii="Calibri" w:hAnsi="Calibri" w:cs="Calibri"/>
          <w:color w:val="000000"/>
          <w:sz w:val="21"/>
          <w:szCs w:val="21"/>
        </w:rPr>
      </w:pPr>
      <w:r>
        <w:rPr>
          <w:rFonts w:hint="eastAsia" w:ascii="仿宋_GB2312" w:hAnsi="Calibri" w:cs="仿宋_GB2312"/>
          <w:color w:val="000000"/>
          <w:sz w:val="31"/>
          <w:szCs w:val="31"/>
          <w:shd w:val="clear" w:color="auto" w:fill="FFFFFF"/>
        </w:rPr>
        <w:t>监管评级结果为Ⅱ级的，应给予一定的监管关注，县（市、区）地方金融工作部门根据需要开展监管谈话，指出公司存在的薄弱环节，原则上当年度不安排现场检查（有举报、投诉、专项检查等情形除外）。</w:t>
      </w:r>
    </w:p>
    <w:p>
      <w:pPr>
        <w:pStyle w:val="12"/>
        <w:widowControl/>
        <w:shd w:val="clear" w:color="auto" w:fill="FFFFFF"/>
        <w:spacing w:before="0" w:beforeAutospacing="0" w:after="0" w:afterAutospacing="0" w:line="315" w:lineRule="atLeast"/>
        <w:ind w:firstLine="645"/>
        <w:jc w:val="both"/>
        <w:textAlignment w:val="top"/>
        <w:rPr>
          <w:rFonts w:ascii="Calibri" w:hAnsi="Calibri" w:cs="Calibri"/>
          <w:color w:val="000000"/>
          <w:sz w:val="21"/>
          <w:szCs w:val="21"/>
        </w:rPr>
      </w:pPr>
      <w:r>
        <w:rPr>
          <w:rFonts w:hint="eastAsia" w:ascii="仿宋_GB2312" w:hAnsi="Calibri" w:cs="仿宋_GB2312"/>
          <w:color w:val="000000"/>
          <w:sz w:val="31"/>
          <w:szCs w:val="31"/>
          <w:shd w:val="clear" w:color="auto" w:fill="FFFFFF"/>
        </w:rPr>
        <w:t>监管评级结果为Ⅲ级的，应给予监管关注，市、县（市、区）地方金融工作部门应加强现场检查和非现场监管，有针对性地开展监管巡查、谈话、警示、风险提示等监管措施，并根据风险情况合理安排现场检查。</w:t>
      </w:r>
    </w:p>
    <w:p>
      <w:pPr>
        <w:pStyle w:val="12"/>
        <w:widowControl/>
        <w:shd w:val="clear" w:color="auto" w:fill="FFFFFF"/>
        <w:spacing w:before="0" w:beforeAutospacing="0" w:after="0" w:afterAutospacing="0" w:line="315" w:lineRule="atLeast"/>
        <w:ind w:firstLine="645"/>
        <w:jc w:val="both"/>
        <w:textAlignment w:val="top"/>
        <w:rPr>
          <w:rFonts w:ascii="Calibri" w:hAnsi="Calibri" w:cs="Calibri"/>
          <w:color w:val="000000"/>
          <w:sz w:val="21"/>
          <w:szCs w:val="21"/>
        </w:rPr>
      </w:pPr>
      <w:r>
        <w:rPr>
          <w:rFonts w:hint="eastAsia" w:ascii="仿宋_GB2312" w:hAnsi="Calibri" w:cs="仿宋_GB2312"/>
          <w:color w:val="000000"/>
          <w:sz w:val="31"/>
          <w:szCs w:val="31"/>
          <w:shd w:val="clear" w:color="auto" w:fill="FFFFFF"/>
        </w:rPr>
        <w:t>监管评级结果为Ⅳ级的，应给予特别的监管关注，市、县（市、区）地方金融工作部门应采用多种监管手段及时了解典当行最新的经营管理情况并采取有效风险控制和化解措施，重点对典当行及其关联方账户的异常交易进行动态监测和风险排查，要根据风险情况适度增加现场检查频次。</w:t>
      </w:r>
    </w:p>
    <w:p>
      <w:pPr>
        <w:pStyle w:val="12"/>
        <w:widowControl/>
        <w:shd w:val="clear" w:color="auto" w:fill="FFFFFF"/>
        <w:spacing w:before="0" w:beforeAutospacing="0" w:after="0" w:afterAutospacing="0" w:line="315" w:lineRule="atLeast"/>
        <w:ind w:firstLine="645"/>
        <w:jc w:val="both"/>
        <w:textAlignment w:val="top"/>
        <w:rPr>
          <w:rFonts w:ascii="Calibri" w:hAnsi="Calibri" w:cs="Calibri"/>
          <w:color w:val="000000"/>
          <w:sz w:val="21"/>
          <w:szCs w:val="21"/>
        </w:rPr>
      </w:pPr>
      <w:r>
        <w:rPr>
          <w:rFonts w:hint="eastAsia" w:ascii="仿宋_GB2312" w:hAnsi="Calibri" w:cs="仿宋_GB2312"/>
          <w:color w:val="000000"/>
          <w:sz w:val="31"/>
          <w:szCs w:val="31"/>
          <w:shd w:val="clear" w:color="auto" w:fill="FFFFFF"/>
        </w:rPr>
        <w:t>监管评级结果为Ⅴ级的，应给予重点监管关注，市、县（市、区）地方金融工作部门应</w:t>
      </w:r>
      <w:r>
        <w:rPr>
          <w:rFonts w:hint="eastAsia" w:ascii="仿宋" w:hAnsi="仿宋" w:eastAsia="仿宋" w:cs="仿宋"/>
          <w:color w:val="333333"/>
          <w:sz w:val="31"/>
          <w:szCs w:val="31"/>
          <w:shd w:val="clear" w:color="auto" w:fill="FFFFFF"/>
        </w:rPr>
        <w:t>采取</w:t>
      </w:r>
      <w:r>
        <w:rPr>
          <w:rFonts w:hint="eastAsia" w:ascii="仿宋_GB2312" w:hAnsi="Calibri" w:cs="仿宋_GB2312"/>
          <w:color w:val="000000"/>
          <w:sz w:val="31"/>
          <w:szCs w:val="31"/>
          <w:shd w:val="clear" w:color="auto" w:fill="FFFFFF"/>
        </w:rPr>
        <w:t>股东和高管</w:t>
      </w:r>
      <w:r>
        <w:rPr>
          <w:rFonts w:hint="eastAsia" w:ascii="仿宋" w:hAnsi="仿宋" w:eastAsia="仿宋" w:cs="仿宋"/>
          <w:color w:val="333333"/>
          <w:sz w:val="31"/>
          <w:szCs w:val="31"/>
          <w:shd w:val="clear" w:color="auto" w:fill="FFFFFF"/>
        </w:rPr>
        <w:t>监管谈话、出具警示函、责令限期改正、通报批评等</w:t>
      </w:r>
      <w:r>
        <w:rPr>
          <w:rFonts w:hint="eastAsia" w:ascii="仿宋_GB2312" w:hAnsi="Calibri" w:cs="仿宋_GB2312"/>
          <w:color w:val="000000"/>
          <w:sz w:val="31"/>
          <w:szCs w:val="31"/>
          <w:shd w:val="clear" w:color="auto" w:fill="FFFFFF"/>
        </w:rPr>
        <w:t>多种</w:t>
      </w:r>
      <w:r>
        <w:rPr>
          <w:rFonts w:hint="eastAsia" w:ascii="仿宋" w:hAnsi="仿宋" w:eastAsia="仿宋" w:cs="仿宋"/>
          <w:color w:val="333333"/>
          <w:sz w:val="31"/>
          <w:szCs w:val="31"/>
          <w:shd w:val="clear" w:color="auto" w:fill="FFFFFF"/>
        </w:rPr>
        <w:t>监管措施</w:t>
      </w:r>
      <w:r>
        <w:rPr>
          <w:rFonts w:hint="eastAsia" w:ascii="仿宋_GB2312" w:hAnsi="Calibri" w:cs="仿宋_GB2312"/>
          <w:color w:val="000000"/>
          <w:sz w:val="31"/>
          <w:szCs w:val="31"/>
          <w:shd w:val="clear" w:color="auto" w:fill="FFFFFF"/>
        </w:rPr>
        <w:t>持续关注典当行经营及风险状况，要重点对典当行及其关联方账户的异常交易进行动态监测和风险排查，并根据公司风险情况加大现场检查和监管巡查频次，必要时启动风险处置预案。对已经不具备持续经营条件的典当行，要</w:t>
      </w:r>
      <w:r>
        <w:rPr>
          <w:rFonts w:hint="eastAsia" w:ascii="仿宋" w:hAnsi="仿宋" w:eastAsia="仿宋" w:cs="仿宋"/>
          <w:color w:val="000000"/>
          <w:sz w:val="31"/>
          <w:szCs w:val="31"/>
          <w:shd w:val="clear" w:color="auto" w:fill="FFFFFF"/>
        </w:rPr>
        <w:t>按照《中华人民共和国市场主体登记管理条例》</w:t>
      </w:r>
      <w:r>
        <w:rPr>
          <w:rFonts w:hint="eastAsia" w:ascii="仿宋_GB2312" w:hAnsi="Calibri" w:cs="仿宋_GB2312"/>
          <w:color w:val="000000"/>
          <w:sz w:val="31"/>
          <w:szCs w:val="31"/>
          <w:shd w:val="clear" w:color="auto" w:fill="FFFFFF"/>
        </w:rPr>
        <w:t>《无证无照经营查处办法》</w:t>
      </w:r>
      <w:r>
        <w:rPr>
          <w:rFonts w:hint="eastAsia" w:ascii="仿宋" w:hAnsi="仿宋" w:eastAsia="仿宋" w:cs="仿宋"/>
          <w:color w:val="000000"/>
          <w:sz w:val="31"/>
          <w:szCs w:val="31"/>
          <w:shd w:val="clear" w:color="auto" w:fill="FFFFFF"/>
        </w:rPr>
        <w:t>和《河南省加快完善市场主体退出制度改革实施方案》等有关要求，依法依规做好清理退出工作。</w:t>
      </w:r>
    </w:p>
    <w:p>
      <w:pPr>
        <w:pStyle w:val="12"/>
        <w:widowControl/>
        <w:shd w:val="clear" w:color="auto" w:fill="FFFFFF"/>
        <w:spacing w:before="0" w:beforeAutospacing="0" w:after="0" w:afterAutospacing="0" w:line="315" w:lineRule="atLeast"/>
        <w:ind w:firstLine="645"/>
        <w:jc w:val="both"/>
        <w:textAlignment w:val="top"/>
        <w:rPr>
          <w:rFonts w:ascii="Calibri" w:hAnsi="Calibri" w:cs="Calibri"/>
          <w:color w:val="000000"/>
          <w:sz w:val="21"/>
          <w:szCs w:val="21"/>
        </w:rPr>
      </w:pPr>
      <w:r>
        <w:rPr>
          <w:rFonts w:hint="eastAsia" w:ascii="仿宋_GB2312" w:hAnsi="Calibri" w:cs="仿宋_GB2312"/>
          <w:color w:val="000000"/>
          <w:sz w:val="31"/>
          <w:szCs w:val="31"/>
          <w:shd w:val="clear" w:color="auto" w:fill="FFFFFF"/>
        </w:rPr>
        <w:t>（三）差异化监管服务支持政策</w:t>
      </w:r>
    </w:p>
    <w:p>
      <w:pPr>
        <w:pStyle w:val="12"/>
        <w:widowControl/>
        <w:shd w:val="clear" w:color="auto" w:fill="FFFFFF"/>
        <w:spacing w:before="0" w:beforeAutospacing="0" w:after="0" w:afterAutospacing="0" w:line="315" w:lineRule="atLeast"/>
        <w:ind w:firstLine="645"/>
        <w:jc w:val="both"/>
        <w:textAlignment w:val="top"/>
        <w:rPr>
          <w:rFonts w:ascii="Calibri" w:hAnsi="Calibri" w:cs="Calibri"/>
          <w:color w:val="000000"/>
          <w:sz w:val="21"/>
          <w:szCs w:val="21"/>
        </w:rPr>
      </w:pPr>
      <w:r>
        <w:rPr>
          <w:rFonts w:hint="eastAsia" w:ascii="仿宋_GB2312" w:hAnsi="Calibri" w:cs="仿宋_GB2312"/>
          <w:color w:val="000000"/>
          <w:sz w:val="31"/>
          <w:szCs w:val="31"/>
          <w:shd w:val="clear" w:color="auto" w:fill="FFFFFF"/>
        </w:rPr>
        <w:t>监管评级结果为Ⅰ级和Ⅱ级的，应优先支持其享受相关政府扶持和奖励政策，支持其在坚守风险底线前提下开展业务创新，</w:t>
      </w:r>
      <w:r>
        <w:rPr>
          <w:rFonts w:hint="eastAsia" w:ascii="仿宋" w:hAnsi="仿宋" w:eastAsia="仿宋" w:cs="仿宋"/>
          <w:color w:val="000000"/>
          <w:sz w:val="31"/>
          <w:szCs w:val="31"/>
          <w:shd w:val="clear" w:color="auto" w:fill="FFFFFF"/>
        </w:rPr>
        <w:t>定期向河南省金融服务共享平台或本辖区企业复制推广其特色业务产品</w:t>
      </w:r>
      <w:r>
        <w:rPr>
          <w:rFonts w:hint="eastAsia" w:ascii="仿宋_GB2312" w:hAnsi="Calibri" w:cs="仿宋_GB2312"/>
          <w:color w:val="000000"/>
          <w:sz w:val="31"/>
          <w:szCs w:val="31"/>
          <w:shd w:val="clear" w:color="auto" w:fill="FFFFFF"/>
        </w:rPr>
        <w:t>。典当行监管评价Ⅰ级的，支持其增设分支机构做大做强；合并、分立、减少注册资本金和变更持有5%以上股权的股东、实际控制人正常报省级备案，其他备案事项由省辖市金融工作局负责办理，备案意见和材料报省地方金融监管局。典当行监管评价Ⅱ级的，合并、分立、减少注册资本金和变更持有5%以上股权的股东、实际控制人正常报省级备案，其他备案事项由省辖市金融工作局负责，备案意见和材料报省地方金融监管局。</w:t>
      </w:r>
    </w:p>
    <w:p>
      <w:pPr>
        <w:pStyle w:val="12"/>
        <w:widowControl/>
        <w:shd w:val="clear" w:color="auto" w:fill="FFFFFF"/>
        <w:spacing w:before="0" w:beforeAutospacing="0" w:after="0" w:afterAutospacing="0" w:line="315" w:lineRule="atLeast"/>
        <w:ind w:firstLine="645"/>
        <w:jc w:val="both"/>
        <w:textAlignment w:val="top"/>
        <w:rPr>
          <w:rFonts w:ascii="Calibri" w:hAnsi="Calibri" w:cs="Calibri"/>
          <w:color w:val="000000"/>
          <w:sz w:val="21"/>
          <w:szCs w:val="21"/>
        </w:rPr>
      </w:pPr>
      <w:r>
        <w:rPr>
          <w:rFonts w:hint="eastAsia" w:ascii="仿宋_GB2312" w:hAnsi="Calibri" w:cs="仿宋_GB2312"/>
          <w:color w:val="000000"/>
          <w:sz w:val="31"/>
          <w:szCs w:val="31"/>
          <w:shd w:val="clear" w:color="auto" w:fill="FFFFFF"/>
        </w:rPr>
        <w:t>监管评级结果为Ⅲ级的，支持其享受相关政府扶持政策，在其合规经营达到风险可控的情况下，适度支持其开展业务创新。</w:t>
      </w:r>
    </w:p>
    <w:p>
      <w:pPr>
        <w:pStyle w:val="12"/>
        <w:widowControl/>
        <w:shd w:val="clear" w:color="auto" w:fill="FFFFFF"/>
        <w:spacing w:before="0" w:beforeAutospacing="0" w:after="0" w:afterAutospacing="0" w:line="315" w:lineRule="atLeast"/>
        <w:ind w:firstLine="645"/>
        <w:jc w:val="both"/>
        <w:textAlignment w:val="top"/>
        <w:rPr>
          <w:rFonts w:ascii="Calibri" w:hAnsi="Calibri" w:cs="Calibri"/>
          <w:color w:val="000000"/>
          <w:sz w:val="21"/>
          <w:szCs w:val="21"/>
        </w:rPr>
      </w:pPr>
      <w:r>
        <w:rPr>
          <w:rFonts w:hint="eastAsia" w:ascii="仿宋_GB2312" w:hAnsi="Calibri" w:cs="仿宋_GB2312"/>
          <w:color w:val="000000"/>
          <w:sz w:val="31"/>
          <w:szCs w:val="31"/>
          <w:shd w:val="clear" w:color="auto" w:fill="FFFFFF"/>
        </w:rPr>
        <w:t>监管评级结果为Ⅳ级和Ⅴ级的，以整改、风险化解或者行业出清工作为主，风险化解完毕前严控相关股东、高管的变更备案申请。</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widowControl/>
        <w:jc w:val="center"/>
        <w:rPr>
          <w:rFonts w:hint="eastAsia" w:ascii="方正小标宋_GBK" w:hAnsi="方正小标宋_GBK" w:eastAsia="方正小标宋_GBK" w:cs="方正小标宋_GBK"/>
          <w:color w:val="000000"/>
          <w:kern w:val="0"/>
          <w:sz w:val="39"/>
          <w:szCs w:val="39"/>
        </w:rPr>
      </w:pPr>
      <w:r>
        <w:rPr>
          <w:rFonts w:hint="eastAsia" w:ascii="方正小标宋_GBK" w:hAnsi="方正小标宋_GBK" w:eastAsia="方正小标宋_GBK" w:cs="方正小标宋_GBK"/>
          <w:color w:val="000000"/>
          <w:kern w:val="0"/>
          <w:sz w:val="39"/>
          <w:szCs w:val="39"/>
        </w:rPr>
        <w:t>第二篇河南省地方金融监督管理局 关于做好我省融资租赁企业商业保理企业 规范清理工作的通知</w:t>
      </w:r>
    </w:p>
    <w:p>
      <w:pPr>
        <w:keepNext/>
        <w:keepLines/>
        <w:spacing w:line="560" w:lineRule="exact"/>
        <w:ind w:firstLine="480" w:firstLineChars="200"/>
        <w:jc w:val="center"/>
        <w:rPr>
          <w:rStyle w:val="19"/>
          <w:rFonts w:hint="eastAsia" w:ascii="楷体" w:hAnsi="楷体" w:eastAsia="楷体" w:cs="楷体"/>
          <w:color w:val="000000"/>
          <w:sz w:val="24"/>
          <w:szCs w:val="24"/>
          <w:lang w:val="en-US" w:eastAsia="zh-CN"/>
        </w:rPr>
      </w:pPr>
      <w:r>
        <w:rPr>
          <w:rStyle w:val="19"/>
          <w:rFonts w:hint="eastAsia" w:ascii="楷体" w:hAnsi="楷体" w:eastAsia="楷体" w:cs="楷体"/>
          <w:color w:val="000000"/>
          <w:sz w:val="24"/>
          <w:szCs w:val="24"/>
          <w:lang w:eastAsia="zh-CN"/>
        </w:rPr>
        <w:t>河南省地方金融监督管理局文件</w:t>
      </w:r>
      <w:r>
        <w:rPr>
          <w:rStyle w:val="19"/>
          <w:rFonts w:hint="eastAsia" w:ascii="楷体" w:hAnsi="楷体" w:eastAsia="楷体" w:cs="楷体"/>
          <w:color w:val="000000"/>
          <w:sz w:val="24"/>
          <w:szCs w:val="24"/>
          <w:lang w:val="en-US" w:eastAsia="zh-CN"/>
        </w:rPr>
        <w:t xml:space="preserve"> </w:t>
      </w:r>
      <w:r>
        <w:rPr>
          <w:rStyle w:val="19"/>
          <w:rFonts w:hint="eastAsia" w:ascii="楷体" w:hAnsi="楷体" w:eastAsia="楷体" w:cs="楷体"/>
          <w:color w:val="000000"/>
          <w:sz w:val="24"/>
          <w:szCs w:val="24"/>
          <w:lang w:eastAsia="zh-CN"/>
        </w:rPr>
        <w:t>豫金发〔2020〕</w:t>
      </w:r>
      <w:r>
        <w:rPr>
          <w:rStyle w:val="19"/>
          <w:rFonts w:hint="eastAsia" w:ascii="楷体" w:hAnsi="楷体" w:eastAsia="楷体" w:cs="楷体"/>
          <w:color w:val="000000"/>
          <w:sz w:val="24"/>
          <w:szCs w:val="24"/>
          <w:lang w:val="en-US" w:eastAsia="zh-CN"/>
        </w:rPr>
        <w:t>68</w:t>
      </w:r>
      <w:r>
        <w:rPr>
          <w:rStyle w:val="19"/>
          <w:rFonts w:hint="eastAsia" w:ascii="楷体" w:hAnsi="楷体" w:eastAsia="楷体" w:cs="楷体"/>
          <w:color w:val="000000"/>
          <w:sz w:val="24"/>
          <w:szCs w:val="24"/>
          <w:lang w:eastAsia="zh-CN"/>
        </w:rPr>
        <w:t>号</w:t>
      </w:r>
      <w:r>
        <w:rPr>
          <w:rStyle w:val="19"/>
          <w:rFonts w:hint="eastAsia" w:ascii="楷体" w:hAnsi="楷体" w:eastAsia="楷体" w:cs="楷体"/>
          <w:color w:val="000000"/>
          <w:sz w:val="24"/>
          <w:szCs w:val="24"/>
          <w:lang w:val="en-US" w:eastAsia="zh-CN"/>
        </w:rPr>
        <w:t xml:space="preserve"> </w:t>
      </w:r>
    </w:p>
    <w:p>
      <w:pPr>
        <w:keepNext/>
        <w:keepLines/>
        <w:spacing w:line="560" w:lineRule="exact"/>
        <w:ind w:firstLine="480" w:firstLineChars="200"/>
        <w:jc w:val="center"/>
        <w:rPr>
          <w:rFonts w:hint="eastAsia" w:ascii="方正小标宋_GBK" w:hAnsi="方正小标宋_GBK" w:eastAsia="方正小标宋_GBK" w:cs="方正小标宋_GBK"/>
          <w:color w:val="000000"/>
          <w:kern w:val="0"/>
          <w:sz w:val="39"/>
          <w:szCs w:val="39"/>
        </w:rPr>
      </w:pPr>
      <w:r>
        <w:rPr>
          <w:rStyle w:val="19"/>
          <w:rFonts w:hint="eastAsia" w:ascii="楷体" w:hAnsi="楷体" w:eastAsia="楷体" w:cs="楷体"/>
          <w:color w:val="000000"/>
          <w:sz w:val="24"/>
          <w:szCs w:val="24"/>
        </w:rPr>
        <w:t>20</w:t>
      </w:r>
      <w:r>
        <w:rPr>
          <w:rStyle w:val="19"/>
          <w:rFonts w:hint="eastAsia" w:ascii="楷体" w:hAnsi="楷体" w:eastAsia="楷体" w:cs="楷体"/>
          <w:color w:val="000000"/>
          <w:sz w:val="24"/>
          <w:szCs w:val="24"/>
          <w:lang w:val="en-US" w:eastAsia="zh-CN"/>
        </w:rPr>
        <w:t>20</w:t>
      </w:r>
      <w:r>
        <w:rPr>
          <w:rStyle w:val="19"/>
          <w:rFonts w:hint="eastAsia" w:ascii="楷体" w:hAnsi="楷体" w:eastAsia="楷体" w:cs="楷体"/>
          <w:color w:val="000000"/>
          <w:sz w:val="24"/>
          <w:szCs w:val="24"/>
        </w:rPr>
        <w:t>年</w:t>
      </w:r>
      <w:r>
        <w:rPr>
          <w:rStyle w:val="19"/>
          <w:rFonts w:hint="eastAsia" w:ascii="楷体" w:hAnsi="楷体" w:eastAsia="楷体" w:cs="楷体"/>
          <w:color w:val="000000"/>
          <w:sz w:val="24"/>
          <w:szCs w:val="24"/>
          <w:lang w:val="en-US" w:eastAsia="zh-CN"/>
        </w:rPr>
        <w:t>4</w:t>
      </w:r>
      <w:r>
        <w:rPr>
          <w:rStyle w:val="19"/>
          <w:rFonts w:hint="eastAsia" w:ascii="楷体" w:hAnsi="楷体" w:eastAsia="楷体" w:cs="楷体"/>
          <w:color w:val="000000"/>
          <w:sz w:val="24"/>
          <w:szCs w:val="24"/>
        </w:rPr>
        <w:t>月</w:t>
      </w:r>
      <w:r>
        <w:rPr>
          <w:rStyle w:val="19"/>
          <w:rFonts w:hint="eastAsia" w:ascii="楷体" w:hAnsi="楷体" w:eastAsia="楷体" w:cs="楷体"/>
          <w:color w:val="000000"/>
          <w:sz w:val="24"/>
          <w:szCs w:val="24"/>
          <w:lang w:val="en-US" w:eastAsia="zh-CN"/>
        </w:rPr>
        <w:t>26</w:t>
      </w:r>
      <w:r>
        <w:rPr>
          <w:rStyle w:val="19"/>
          <w:rFonts w:hint="eastAsia" w:ascii="楷体" w:hAnsi="楷体" w:eastAsia="楷体" w:cs="楷体"/>
          <w:color w:val="000000"/>
          <w:sz w:val="24"/>
          <w:szCs w:val="24"/>
        </w:rPr>
        <w:t>日印发</w:t>
      </w:r>
    </w:p>
    <w:p>
      <w:pPr>
        <w:widowControl/>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各省辖市、济源示范区金融局: </w:t>
      </w:r>
    </w:p>
    <w:p>
      <w:pPr>
        <w:widowControl/>
        <w:ind w:firstLine="620" w:firstLineChars="200"/>
        <w:rPr>
          <w:rFonts w:ascii="仿宋_GB2312" w:hAnsi="Calibri" w:eastAsia="仿宋_GB2312" w:cs="仿宋_GB2312"/>
          <w:color w:val="000000"/>
          <w:kern w:val="0"/>
          <w:sz w:val="31"/>
          <w:szCs w:val="31"/>
          <w:shd w:val="clear" w:color="auto" w:fill="FFFFFF"/>
        </w:rPr>
      </w:pPr>
      <w:r>
        <w:rPr>
          <w:rFonts w:hint="eastAsia" w:ascii="仿宋_GB2312" w:hAnsi="Calibri" w:eastAsia="仿宋_GB2312" w:cs="仿宋_GB2312"/>
          <w:color w:val="000000"/>
          <w:kern w:val="0"/>
          <w:sz w:val="31"/>
          <w:szCs w:val="31"/>
          <w:shd w:val="clear" w:color="auto" w:fill="FFFFFF"/>
        </w:rPr>
        <w:t xml:space="preserve">为规范我省融资租赁企业和商业保理企业 (以下简称两类机 构)发展,进一步营造良好的发展环境,防范行业风险,现就做 好我省两类机构规范清理工作通知如下: </w:t>
      </w:r>
    </w:p>
    <w:p>
      <w:pPr>
        <w:widowControl/>
        <w:numPr>
          <w:ilvl w:val="0"/>
          <w:numId w:val="8"/>
        </w:numPr>
        <w:ind w:firstLine="620" w:firstLineChars="200"/>
        <w:rPr>
          <w:rFonts w:ascii="黑体" w:hAnsi="黑体" w:eastAsia="黑体" w:cs="黑体"/>
          <w:color w:val="000000"/>
          <w:kern w:val="0"/>
          <w:sz w:val="31"/>
          <w:szCs w:val="31"/>
          <w:shd w:val="clear" w:color="auto" w:fill="FFFFFF"/>
        </w:rPr>
      </w:pPr>
      <w:r>
        <w:rPr>
          <w:rFonts w:hint="eastAsia" w:ascii="黑体" w:hAnsi="黑体" w:eastAsia="黑体" w:cs="黑体"/>
          <w:color w:val="000000"/>
          <w:kern w:val="0"/>
          <w:sz w:val="31"/>
          <w:szCs w:val="31"/>
          <w:shd w:val="clear" w:color="auto" w:fill="FFFFFF"/>
        </w:rPr>
        <w:t>融资租赁企业规范清理工作</w:t>
      </w:r>
    </w:p>
    <w:p>
      <w:pPr>
        <w:widowControl/>
        <w:ind w:firstLine="620" w:firstLineChars="200"/>
        <w:rPr>
          <w:rFonts w:ascii="仿宋_GB2312" w:hAnsi="Calibri" w:eastAsia="仿宋_GB2312" w:cs="仿宋_GB2312"/>
          <w:color w:val="000000"/>
          <w:kern w:val="0"/>
          <w:sz w:val="31"/>
          <w:szCs w:val="31"/>
          <w:shd w:val="clear" w:color="auto" w:fill="FFFFFF"/>
        </w:rPr>
      </w:pPr>
      <w:r>
        <w:rPr>
          <w:rFonts w:hint="eastAsia" w:ascii="仿宋_GB2312" w:hAnsi="Calibri" w:eastAsia="仿宋_GB2312" w:cs="仿宋_GB2312"/>
          <w:color w:val="000000"/>
          <w:kern w:val="0"/>
          <w:sz w:val="31"/>
          <w:szCs w:val="31"/>
          <w:shd w:val="clear" w:color="auto" w:fill="FFFFFF"/>
        </w:rPr>
        <w:t xml:space="preserve">各地金融局要对尚未纳入行业监管 (未接入全国融资租赁企业管理信息系统)的融资租赁企业进行摸底排查,规范清理。 </w:t>
      </w:r>
    </w:p>
    <w:p>
      <w:pPr>
        <w:widowControl/>
        <w:numPr>
          <w:ilvl w:val="0"/>
          <w:numId w:val="9"/>
        </w:numPr>
        <w:ind w:firstLine="640"/>
        <w:rPr>
          <w:rFonts w:ascii="仿宋_GB2312" w:hAnsi="Calibri" w:eastAsia="仿宋_GB2312" w:cs="仿宋_GB2312"/>
          <w:color w:val="000000"/>
          <w:kern w:val="0"/>
          <w:sz w:val="31"/>
          <w:szCs w:val="31"/>
          <w:shd w:val="clear" w:color="auto" w:fill="FFFFFF"/>
        </w:rPr>
      </w:pPr>
      <w:r>
        <w:rPr>
          <w:rFonts w:hint="eastAsia" w:ascii="仿宋_GB2312" w:hAnsi="Calibri" w:eastAsia="仿宋_GB2312" w:cs="仿宋_GB2312"/>
          <w:color w:val="000000"/>
          <w:kern w:val="0"/>
          <w:sz w:val="31"/>
          <w:szCs w:val="31"/>
          <w:shd w:val="clear" w:color="auto" w:fill="FFFFFF"/>
        </w:rPr>
        <w:t xml:space="preserve">各级金融局要按照《河南省地方金融监督管理局、国 家税务总局河南省税务局关于做好融资租赁企业有关工作的通 知》(豫金发〔2020〕17号)规定的条件和程序,对达到试点标 准和备案条件的融资租赁企业,要组织企业于2020年6月30日前进行业务资格确认及备案申报,尽早纳入行业监管。 </w:t>
      </w:r>
    </w:p>
    <w:p>
      <w:pPr>
        <w:widowControl/>
        <w:numPr>
          <w:ilvl w:val="0"/>
          <w:numId w:val="10"/>
        </w:numPr>
        <w:ind w:firstLine="620" w:firstLineChars="200"/>
        <w:rPr>
          <w:rFonts w:ascii="仿宋_GB2312" w:hAnsi="Calibri" w:eastAsia="仿宋_GB2312" w:cs="仿宋_GB2312"/>
          <w:color w:val="000000"/>
          <w:kern w:val="0"/>
          <w:sz w:val="31"/>
          <w:szCs w:val="31"/>
          <w:shd w:val="clear" w:color="auto" w:fill="FFFFFF"/>
        </w:rPr>
      </w:pPr>
      <w:r>
        <w:rPr>
          <w:rFonts w:hint="eastAsia" w:ascii="仿宋_GB2312" w:hAnsi="Calibri" w:eastAsia="仿宋_GB2312" w:cs="仿宋_GB2312"/>
          <w:color w:val="000000"/>
          <w:kern w:val="0"/>
          <w:sz w:val="31"/>
          <w:szCs w:val="31"/>
          <w:shd w:val="clear" w:color="auto" w:fill="FFFFFF"/>
        </w:rPr>
        <w:t xml:space="preserve">公司名称:申请融资租赁业务试点资格及备案的融资租 赁企业,公司名称中应当标明“融资租赁”字样。若名称中不含“融资租赁”字样的,应到市场监管部门进行名称变更。 </w:t>
      </w:r>
    </w:p>
    <w:p>
      <w:pPr>
        <w:widowControl/>
        <w:numPr>
          <w:ilvl w:val="0"/>
          <w:numId w:val="10"/>
        </w:numPr>
        <w:ind w:firstLine="620" w:firstLineChars="200"/>
        <w:rPr>
          <w:rFonts w:ascii="仿宋_GB2312" w:hAnsi="Calibri" w:eastAsia="仿宋_GB2312" w:cs="仿宋_GB2312"/>
          <w:color w:val="000000"/>
          <w:kern w:val="0"/>
          <w:sz w:val="31"/>
          <w:szCs w:val="31"/>
          <w:shd w:val="clear" w:color="auto" w:fill="FFFFFF"/>
        </w:rPr>
      </w:pPr>
      <w:r>
        <w:rPr>
          <w:rFonts w:hint="eastAsia" w:ascii="仿宋_GB2312" w:hAnsi="Calibri" w:eastAsia="仿宋_GB2312" w:cs="仿宋_GB2312"/>
          <w:color w:val="000000"/>
          <w:kern w:val="0"/>
          <w:sz w:val="31"/>
          <w:szCs w:val="31"/>
          <w:shd w:val="clear" w:color="auto" w:fill="FFFFFF"/>
        </w:rPr>
        <w:t xml:space="preserve">注册资本金:注册资本金未达到20000万元人民币或等 值外币要求的融资租赁企业,应在申请试点资格或备案时实缴到位,一并提交相关材料。 </w:t>
      </w:r>
    </w:p>
    <w:p>
      <w:pPr>
        <w:widowControl/>
        <w:numPr>
          <w:ilvl w:val="0"/>
          <w:numId w:val="10"/>
        </w:numPr>
        <w:ind w:firstLine="620" w:firstLineChars="200"/>
        <w:rPr>
          <w:rFonts w:ascii="仿宋_GB2312" w:hAnsi="Calibri" w:eastAsia="仿宋_GB2312" w:cs="仿宋_GB2312"/>
          <w:color w:val="000000"/>
          <w:kern w:val="0"/>
          <w:sz w:val="31"/>
          <w:szCs w:val="31"/>
          <w:shd w:val="clear" w:color="auto" w:fill="FFFFFF"/>
        </w:rPr>
      </w:pPr>
      <w:r>
        <w:rPr>
          <w:rFonts w:hint="eastAsia" w:ascii="仿宋_GB2312" w:hAnsi="Calibri" w:eastAsia="仿宋_GB2312" w:cs="仿宋_GB2312"/>
          <w:color w:val="000000"/>
          <w:kern w:val="0"/>
          <w:sz w:val="31"/>
          <w:szCs w:val="31"/>
          <w:shd w:val="clear" w:color="auto" w:fill="FFFFFF"/>
        </w:rPr>
        <w:t xml:space="preserve">媒体公告:融资租赁企业在申报业务资格试点或备案时, 须在当地主流报纸进行公告,公告期不少于5个工作日。公告包 括但不限于如下内容:企业名称、住所、注册资本、股东及股权 比例、拟任董事长、拟任监事长、拟任总经理人选,承诺申报材 料真实合法、依法合规经营,并承担相应法律责任。公告内容与营业执照所载内容不一致的,须按照营业执照所载内容进行公告。融资租赁企业需要变更相关事项的,可在向属地金融局申请试点资格或备案时一并提交相应变更材料,取得试点资格或备案后再到市场监管部门进行营业执照变更。 </w:t>
      </w:r>
    </w:p>
    <w:p>
      <w:pPr>
        <w:widowControl/>
        <w:numPr>
          <w:ilvl w:val="0"/>
          <w:numId w:val="9"/>
        </w:numPr>
        <w:ind w:firstLine="640"/>
        <w:rPr>
          <w:rFonts w:ascii="仿宋_GB2312" w:hAnsi="Calibri" w:eastAsia="仿宋_GB2312" w:cs="仿宋_GB2312"/>
          <w:color w:val="000000"/>
          <w:kern w:val="0"/>
          <w:sz w:val="31"/>
          <w:szCs w:val="31"/>
          <w:shd w:val="clear" w:color="auto" w:fill="FFFFFF"/>
        </w:rPr>
      </w:pPr>
      <w:r>
        <w:rPr>
          <w:rFonts w:hint="eastAsia" w:ascii="仿宋_GB2312" w:hAnsi="Calibri" w:eastAsia="仿宋_GB2312" w:cs="仿宋_GB2312"/>
          <w:color w:val="000000"/>
          <w:kern w:val="0"/>
          <w:sz w:val="31"/>
          <w:szCs w:val="31"/>
          <w:shd w:val="clear" w:color="auto" w:fill="FFFFFF"/>
        </w:rPr>
        <w:t xml:space="preserve">对正常经营、未达到试点标准和备案条件的融资租赁 企业,由属地金融局将其列入重点监管对象,切实加强日常监 管,加大现场检查力度,防止企业开展融资租赁业务,督促其按 照豫金发〔2020〕17 号要求认真进行整改,整改期限不晚于 2020年12月31日前。 </w:t>
      </w:r>
    </w:p>
    <w:p>
      <w:pPr>
        <w:widowControl/>
        <w:numPr>
          <w:ilvl w:val="0"/>
          <w:numId w:val="9"/>
        </w:numPr>
        <w:ind w:firstLine="640"/>
        <w:rPr>
          <w:rFonts w:ascii="仿宋_GB2312" w:hAnsi="Calibri" w:eastAsia="仿宋_GB2312" w:cs="仿宋_GB2312"/>
          <w:color w:val="000000"/>
          <w:kern w:val="0"/>
          <w:sz w:val="31"/>
          <w:szCs w:val="31"/>
          <w:shd w:val="clear" w:color="auto" w:fill="FFFFFF"/>
        </w:rPr>
      </w:pPr>
      <w:r>
        <w:rPr>
          <w:rFonts w:hint="eastAsia" w:ascii="仿宋_GB2312" w:hAnsi="Calibri" w:eastAsia="仿宋_GB2312" w:cs="仿宋_GB2312"/>
          <w:color w:val="000000"/>
          <w:kern w:val="0"/>
          <w:sz w:val="31"/>
          <w:szCs w:val="31"/>
          <w:shd w:val="clear" w:color="auto" w:fill="FFFFFF"/>
        </w:rPr>
        <w:t xml:space="preserve">对未经审批开展融资租赁业务的融资租赁企业,属地 金融局应依据《融资租赁企业监督管理办法》等相关规定,下达 整改通知书,责令其停止开展新业务,消化存量业务;限期整改 不到位的,属地金融局应根据相关法律法规,将相关信息归集至 “双随机、一公开”及信用河南等平台,提请有关部门依法依程 序纳入经营异常名录。 </w:t>
      </w:r>
    </w:p>
    <w:p>
      <w:pPr>
        <w:widowControl/>
        <w:numPr>
          <w:ilvl w:val="0"/>
          <w:numId w:val="9"/>
        </w:numPr>
        <w:ind w:firstLine="640"/>
        <w:rPr>
          <w:rFonts w:ascii="仿宋_GB2312" w:hAnsi="Calibri" w:eastAsia="仿宋_GB2312" w:cs="仿宋_GB2312"/>
          <w:color w:val="000000"/>
          <w:kern w:val="0"/>
          <w:sz w:val="31"/>
          <w:szCs w:val="31"/>
          <w:shd w:val="clear" w:color="auto" w:fill="FFFFFF"/>
        </w:rPr>
      </w:pPr>
      <w:r>
        <w:rPr>
          <w:rFonts w:hint="eastAsia" w:ascii="仿宋_GB2312" w:hAnsi="Calibri" w:eastAsia="仿宋_GB2312" w:cs="仿宋_GB2312"/>
          <w:color w:val="000000"/>
          <w:kern w:val="0"/>
          <w:sz w:val="31"/>
          <w:szCs w:val="31"/>
          <w:shd w:val="clear" w:color="auto" w:fill="FFFFFF"/>
        </w:rPr>
        <w:t>对于失联和空壳类融资租赁企业,属地金融局应在当 地主流媒体上进行公告,责令其限期到属地金融局接受监管约 谈;限期内仍无法联系的,属地金融局应根据相关法律法规采取 进一步监管措施,并将相关信息归集至“双随机、一公开”及信 用河南等平台,提请有关部门依法依程序纳入经营异常名录,并 将名单上报省地方金融监管局。</w:t>
      </w:r>
    </w:p>
    <w:p>
      <w:pPr>
        <w:widowControl/>
        <w:ind w:firstLine="620" w:firstLineChars="200"/>
        <w:rPr>
          <w:rFonts w:ascii="仿宋_GB2312" w:hAnsi="Calibri" w:eastAsia="仿宋_GB2312" w:cs="仿宋_GB2312"/>
          <w:color w:val="000000"/>
          <w:kern w:val="0"/>
          <w:sz w:val="31"/>
          <w:szCs w:val="31"/>
          <w:shd w:val="clear" w:color="auto" w:fill="FFFFFF"/>
        </w:rPr>
      </w:pPr>
      <w:r>
        <w:rPr>
          <w:rFonts w:hint="eastAsia" w:ascii="仿宋_GB2312" w:hAnsi="Calibri" w:eastAsia="仿宋_GB2312" w:cs="仿宋_GB2312"/>
          <w:color w:val="000000"/>
          <w:kern w:val="0"/>
          <w:sz w:val="31"/>
          <w:szCs w:val="31"/>
          <w:shd w:val="clear" w:color="auto" w:fill="FFFFFF"/>
        </w:rPr>
        <w:t xml:space="preserve">本文所称失联企业是指满足以下条件之一的企业:无法取得联系;在企业登记住所实地排查无法找到;虽然可以联系到企业工作人员,但其并不知情也不能联系到企业实际控制人。本文所称空壳企业是指满足以下条件之一的企业:上一年度 市场监管部门年度报告显示无经营;近6个月无纳税记录或“零申报” ;近6个月无社保缴纳记录。 </w:t>
      </w:r>
    </w:p>
    <w:p>
      <w:pPr>
        <w:widowControl/>
        <w:numPr>
          <w:ilvl w:val="0"/>
          <w:numId w:val="1"/>
        </w:numPr>
        <w:ind w:firstLine="620" w:firstLineChars="200"/>
        <w:rPr>
          <w:rFonts w:ascii="仿宋_GB2312" w:hAnsi="Calibri" w:eastAsia="仿宋_GB2312" w:cs="仿宋_GB2312"/>
          <w:color w:val="000000"/>
          <w:kern w:val="0"/>
          <w:sz w:val="31"/>
          <w:szCs w:val="31"/>
          <w:shd w:val="clear" w:color="auto" w:fill="FFFFFF"/>
        </w:rPr>
      </w:pPr>
      <w:r>
        <w:rPr>
          <w:rFonts w:hint="eastAsia" w:ascii="黑体" w:hAnsi="黑体" w:eastAsia="黑体" w:cs="黑体"/>
          <w:color w:val="000000"/>
          <w:kern w:val="0"/>
          <w:sz w:val="31"/>
          <w:szCs w:val="31"/>
          <w:shd w:val="clear" w:color="auto" w:fill="FFFFFF"/>
        </w:rPr>
        <w:t>商业保理企业规范清理工作</w:t>
      </w:r>
    </w:p>
    <w:p>
      <w:pPr>
        <w:widowControl/>
        <w:ind w:firstLine="620" w:firstLineChars="200"/>
        <w:rPr>
          <w:rFonts w:ascii="仿宋_GB2312" w:hAnsi="Calibri" w:eastAsia="仿宋_GB2312" w:cs="仿宋_GB2312"/>
          <w:color w:val="000000"/>
          <w:kern w:val="0"/>
          <w:sz w:val="31"/>
          <w:szCs w:val="31"/>
          <w:shd w:val="clear" w:color="auto" w:fill="FFFFFF"/>
        </w:rPr>
      </w:pPr>
      <w:r>
        <w:rPr>
          <w:rFonts w:hint="eastAsia" w:ascii="仿宋_GB2312" w:hAnsi="Calibri" w:eastAsia="仿宋_GB2312" w:cs="仿宋_GB2312"/>
          <w:color w:val="000000"/>
          <w:kern w:val="0"/>
          <w:sz w:val="31"/>
          <w:szCs w:val="31"/>
          <w:shd w:val="clear" w:color="auto" w:fill="FFFFFF"/>
        </w:rPr>
        <w:t xml:space="preserve">各级金融局要按照《中国银保监会办公厅关于加强商业保 理企业监督管理的通知》(银保监办发 〔2019〕205号)和 《河 南省地方金融监督管理局关于做好商业保理行业有关工作的通 知》(豫金发 〔2020〕6号)要求,做好商业保理企业规范清理工作。 </w:t>
      </w:r>
    </w:p>
    <w:p>
      <w:pPr>
        <w:widowControl/>
        <w:ind w:firstLine="620" w:firstLineChars="200"/>
        <w:rPr>
          <w:rFonts w:ascii="仿宋_GB2312" w:hAnsi="Calibri" w:eastAsia="仿宋_GB2312" w:cs="仿宋_GB2312"/>
          <w:color w:val="000000"/>
          <w:kern w:val="0"/>
          <w:sz w:val="31"/>
          <w:szCs w:val="31"/>
          <w:shd w:val="clear" w:color="auto" w:fill="FFFFFF"/>
        </w:rPr>
      </w:pPr>
      <w:r>
        <w:rPr>
          <w:rFonts w:hint="eastAsia" w:ascii="仿宋_GB2312" w:hAnsi="Calibri" w:eastAsia="仿宋_GB2312" w:cs="仿宋_GB2312"/>
          <w:color w:val="000000"/>
          <w:kern w:val="0"/>
          <w:sz w:val="31"/>
          <w:szCs w:val="31"/>
          <w:shd w:val="clear" w:color="auto" w:fill="FFFFFF"/>
        </w:rPr>
        <w:t xml:space="preserve">（一）对现存的达到豫金发〔2020〕6号通知要求符合准入 标准的商业保理企业,属地金融局要督促其按程序于2020年6 月30日前进行申报,尽早纳入行业监管。 </w:t>
      </w:r>
    </w:p>
    <w:p>
      <w:pPr>
        <w:widowControl/>
        <w:numPr>
          <w:ilvl w:val="0"/>
          <w:numId w:val="11"/>
        </w:numPr>
        <w:ind w:firstLine="620" w:firstLineChars="200"/>
        <w:rPr>
          <w:rFonts w:ascii="仿宋_GB2312" w:hAnsi="Calibri" w:eastAsia="仿宋_GB2312" w:cs="仿宋_GB2312"/>
          <w:color w:val="000000"/>
          <w:kern w:val="0"/>
          <w:sz w:val="31"/>
          <w:szCs w:val="31"/>
          <w:shd w:val="clear" w:color="auto" w:fill="FFFFFF"/>
        </w:rPr>
      </w:pPr>
      <w:r>
        <w:rPr>
          <w:rFonts w:hint="eastAsia" w:ascii="仿宋_GB2312" w:hAnsi="Calibri" w:eastAsia="仿宋_GB2312" w:cs="仿宋_GB2312"/>
          <w:color w:val="000000"/>
          <w:kern w:val="0"/>
          <w:sz w:val="31"/>
          <w:szCs w:val="31"/>
          <w:shd w:val="clear" w:color="auto" w:fill="FFFFFF"/>
        </w:rPr>
        <w:t xml:space="preserve">公司名称:经营商业保理业务的商业保理企业,名称中 应标明 “商业保理”字样。若名称中不含 “商业保理”字样的, 应到市场监管部门进行名称变更。 </w:t>
      </w:r>
    </w:p>
    <w:p>
      <w:pPr>
        <w:widowControl/>
        <w:numPr>
          <w:ilvl w:val="0"/>
          <w:numId w:val="11"/>
        </w:numPr>
        <w:ind w:firstLine="620" w:firstLineChars="200"/>
        <w:rPr>
          <w:rFonts w:ascii="仿宋_GB2312" w:hAnsi="Calibri" w:eastAsia="仿宋_GB2312" w:cs="仿宋_GB2312"/>
          <w:color w:val="000000"/>
          <w:kern w:val="0"/>
          <w:sz w:val="31"/>
          <w:szCs w:val="31"/>
          <w:shd w:val="clear" w:color="auto" w:fill="FFFFFF"/>
        </w:rPr>
      </w:pPr>
      <w:r>
        <w:rPr>
          <w:rFonts w:hint="eastAsia" w:ascii="仿宋_GB2312" w:hAnsi="Calibri" w:eastAsia="仿宋_GB2312" w:cs="仿宋_GB2312"/>
          <w:color w:val="000000"/>
          <w:kern w:val="0"/>
          <w:sz w:val="31"/>
          <w:szCs w:val="31"/>
          <w:shd w:val="clear" w:color="auto" w:fill="FFFFFF"/>
        </w:rPr>
        <w:t xml:space="preserve">注册资本金:注册资本金未达到10000万元人民币或等 值外币要求的商业保理企业,应在申报时实缴到位,一并提交相 关材料。 </w:t>
      </w:r>
    </w:p>
    <w:p>
      <w:pPr>
        <w:widowControl/>
        <w:numPr>
          <w:ilvl w:val="0"/>
          <w:numId w:val="11"/>
        </w:numPr>
        <w:ind w:firstLine="620" w:firstLineChars="200"/>
        <w:rPr>
          <w:rFonts w:ascii="仿宋_GB2312" w:hAnsi="Calibri" w:eastAsia="仿宋_GB2312" w:cs="仿宋_GB2312"/>
          <w:color w:val="000000"/>
          <w:kern w:val="0"/>
          <w:sz w:val="31"/>
          <w:szCs w:val="31"/>
          <w:shd w:val="clear" w:color="auto" w:fill="FFFFFF"/>
        </w:rPr>
      </w:pPr>
      <w:r>
        <w:rPr>
          <w:rFonts w:hint="eastAsia" w:ascii="仿宋_GB2312" w:hAnsi="Calibri" w:eastAsia="仿宋_GB2312" w:cs="仿宋_GB2312"/>
          <w:color w:val="000000"/>
          <w:kern w:val="0"/>
          <w:sz w:val="31"/>
          <w:szCs w:val="31"/>
          <w:shd w:val="clear" w:color="auto" w:fill="FFFFFF"/>
        </w:rPr>
        <w:t>媒体公告:商业保理企业在申报时,须在当地主流报纸 进行公告,公告期不少于5个工作日。公告包括但不限于如下内 容:企业名称、住所、注册资本、股东及股权比例、拟任董事 长、拟任监事长、拟任总经理人选,承诺申报材料真实合法、依 法合规经营,并承担相应法律法规责任。公告内容与营业执照所 载内容不一致的,须按照营业执照所载内容进行公告。商业保理 企业需要变更相关事项的,可在向属地金融局申请设立时一并提交相应变更材料,取得批复文件后再到市场监管部门进行营业执 照变更。</w:t>
      </w:r>
    </w:p>
    <w:p>
      <w:pPr>
        <w:widowControl/>
        <w:ind w:firstLine="620" w:firstLineChars="200"/>
        <w:rPr>
          <w:rFonts w:ascii="仿宋_GB2312" w:hAnsi="Calibri" w:eastAsia="仿宋_GB2312" w:cs="仿宋_GB2312"/>
          <w:color w:val="000000"/>
          <w:kern w:val="0"/>
          <w:sz w:val="31"/>
          <w:szCs w:val="31"/>
          <w:shd w:val="clear" w:color="auto" w:fill="FFFFFF"/>
        </w:rPr>
      </w:pPr>
      <w:r>
        <w:rPr>
          <w:rFonts w:hint="eastAsia" w:ascii="仿宋_GB2312" w:hAnsi="Calibri" w:eastAsia="仿宋_GB2312" w:cs="仿宋_GB2312"/>
          <w:color w:val="000000"/>
          <w:kern w:val="0"/>
          <w:sz w:val="31"/>
          <w:szCs w:val="31"/>
          <w:shd w:val="clear" w:color="auto" w:fill="FFFFFF"/>
        </w:rPr>
        <w:t xml:space="preserve">（二）对正常经营、未达到准入标准的商业保理企业,属地 金融局要列入重点监管对象,切实加强日常监管,加大现场检查 力度,督促企业按要求进行整改,整改期限不晚于2020年12月 31日前。 </w:t>
      </w:r>
    </w:p>
    <w:p>
      <w:pPr>
        <w:widowControl/>
        <w:ind w:firstLine="620" w:firstLineChars="200"/>
        <w:rPr>
          <w:rFonts w:ascii="仿宋_GB2312" w:hAnsi="Calibri" w:eastAsia="仿宋_GB2312" w:cs="仿宋_GB2312"/>
          <w:color w:val="000000"/>
          <w:kern w:val="0"/>
          <w:sz w:val="31"/>
          <w:szCs w:val="31"/>
          <w:shd w:val="clear" w:color="auto" w:fill="FFFFFF"/>
        </w:rPr>
      </w:pPr>
      <w:r>
        <w:rPr>
          <w:rFonts w:hint="eastAsia" w:ascii="仿宋_GB2312" w:hAnsi="Calibri" w:eastAsia="仿宋_GB2312" w:cs="仿宋_GB2312"/>
          <w:color w:val="000000"/>
          <w:kern w:val="0"/>
          <w:sz w:val="31"/>
          <w:szCs w:val="31"/>
          <w:shd w:val="clear" w:color="auto" w:fill="FFFFFF"/>
        </w:rPr>
        <w:t xml:space="preserve">（三）对未经审批开展商业保理业务的商业保理企业,属地金融局要下达相关整改通知书,责令其禁止开展新业务,消化存量业务;限期整改不到位的,属地金融局应依法依规将相关信息 归集至 “双随机、一公开”及信用河南等平台,提请有关部门依 法依程序纳入经营异常名录。 </w:t>
      </w:r>
    </w:p>
    <w:p>
      <w:pPr>
        <w:widowControl/>
        <w:ind w:left="420" w:leftChars="200" w:firstLine="620" w:firstLineChars="200"/>
        <w:rPr>
          <w:rFonts w:ascii="仿宋_GB2312" w:hAnsi="Calibri" w:eastAsia="仿宋_GB2312" w:cs="仿宋_GB2312"/>
          <w:color w:val="000000"/>
          <w:kern w:val="0"/>
          <w:sz w:val="31"/>
          <w:szCs w:val="31"/>
          <w:shd w:val="clear" w:color="auto" w:fill="FFFFFF"/>
        </w:rPr>
      </w:pPr>
      <w:r>
        <w:rPr>
          <w:rFonts w:hint="eastAsia" w:ascii="仿宋_GB2312" w:hAnsi="Calibri" w:eastAsia="仿宋_GB2312" w:cs="仿宋_GB2312"/>
          <w:color w:val="000000"/>
          <w:kern w:val="0"/>
          <w:sz w:val="31"/>
          <w:szCs w:val="31"/>
          <w:shd w:val="clear" w:color="auto" w:fill="FFFFFF"/>
        </w:rPr>
        <w:t xml:space="preserve">（四）对于失联和空壳类商业保理企业,属地金融局应在当地主流媒体上进行公告,责令其限期到属地金融局接受监管约 谈;限期内仍无法联系的,属地金融局应根据相关法律法规采取 进一步监管措施,并将相关信息归集至 “双随机、一公开”及信 用河南等平台,提请有关部门依法依程序纳入经营异常名录,并 将名单上报省地方金融监管局。 </w:t>
      </w:r>
    </w:p>
    <w:p>
      <w:pPr>
        <w:widowControl/>
        <w:ind w:left="420" w:leftChars="200" w:firstLine="620" w:firstLineChars="200"/>
        <w:rPr>
          <w:rFonts w:ascii="黑体" w:hAnsi="黑体" w:eastAsia="黑体" w:cs="黑体"/>
          <w:color w:val="000000"/>
          <w:kern w:val="0"/>
          <w:sz w:val="31"/>
          <w:szCs w:val="31"/>
          <w:shd w:val="clear" w:color="auto" w:fill="FFFFFF"/>
        </w:rPr>
      </w:pPr>
      <w:r>
        <w:rPr>
          <w:rFonts w:hint="eastAsia" w:ascii="黑体" w:hAnsi="黑体" w:eastAsia="黑体" w:cs="黑体"/>
          <w:color w:val="000000"/>
          <w:kern w:val="0"/>
          <w:sz w:val="31"/>
          <w:szCs w:val="31"/>
          <w:shd w:val="clear" w:color="auto" w:fill="FFFFFF"/>
        </w:rPr>
        <w:t xml:space="preserve">三、工作要求 </w:t>
      </w:r>
    </w:p>
    <w:p>
      <w:pPr>
        <w:widowControl/>
        <w:ind w:left="420" w:leftChars="200" w:firstLine="620" w:firstLineChars="200"/>
        <w:rPr>
          <w:rFonts w:ascii="仿宋_GB2312" w:hAnsi="Calibri" w:eastAsia="仿宋_GB2312" w:cs="仿宋_GB2312"/>
          <w:color w:val="000000"/>
          <w:kern w:val="0"/>
          <w:sz w:val="31"/>
          <w:szCs w:val="31"/>
          <w:shd w:val="clear" w:color="auto" w:fill="FFFFFF"/>
        </w:rPr>
      </w:pPr>
      <w:r>
        <w:rPr>
          <w:rFonts w:hint="eastAsia" w:ascii="仿宋_GB2312" w:hAnsi="Calibri" w:eastAsia="仿宋_GB2312" w:cs="仿宋_GB2312"/>
          <w:color w:val="000000"/>
          <w:kern w:val="0"/>
          <w:sz w:val="31"/>
          <w:szCs w:val="31"/>
          <w:shd w:val="clear" w:color="auto" w:fill="FFFFFF"/>
        </w:rPr>
        <w:t xml:space="preserve">(一)各级金融局要认真做好融资租赁企业和商业保理行业 的政策解读、问题解答、帮扶指导等工作,对于符合申报条件的 两类机构,开辟绿色通道,最大限度地压缩审批申报时限,促进 两类机构尽早纳入行业监管。 </w:t>
      </w:r>
    </w:p>
    <w:p>
      <w:pPr>
        <w:widowControl/>
        <w:ind w:left="420" w:leftChars="200" w:firstLine="620" w:firstLineChars="200"/>
        <w:rPr>
          <w:rFonts w:ascii="仿宋_GB2312" w:hAnsi="Calibri" w:eastAsia="仿宋_GB2312" w:cs="仿宋_GB2312"/>
          <w:color w:val="000000"/>
          <w:kern w:val="0"/>
          <w:sz w:val="31"/>
          <w:szCs w:val="31"/>
          <w:shd w:val="clear" w:color="auto" w:fill="FFFFFF"/>
        </w:rPr>
      </w:pPr>
      <w:r>
        <w:rPr>
          <w:rFonts w:hint="eastAsia" w:ascii="仿宋_GB2312" w:hAnsi="Calibri" w:eastAsia="仿宋_GB2312" w:cs="仿宋_GB2312"/>
          <w:color w:val="000000"/>
          <w:kern w:val="0"/>
          <w:sz w:val="31"/>
          <w:szCs w:val="31"/>
          <w:shd w:val="clear" w:color="auto" w:fill="FFFFFF"/>
        </w:rPr>
        <w:t xml:space="preserve">(二)各级金融局要组织纳入监管的两类机构及时准确地报 送月度经营情况表、登陆全国融资租赁企业管理信息系统或全国商业保理信息管理系统并定期汇总、分析、研判,切实做好行业发展、企业监管、风险防控工作,帮助企业解决困难和问题,强化两类机构依法合规经营意识,促进行业健康发展。 </w:t>
      </w:r>
    </w:p>
    <w:p>
      <w:pPr>
        <w:widowControl/>
        <w:ind w:left="420" w:leftChars="200" w:firstLine="1240" w:firstLineChars="400"/>
        <w:rPr>
          <w:rFonts w:ascii="仿宋_GB2312" w:hAnsi="Calibri" w:eastAsia="仿宋_GB2312" w:cs="仿宋_GB2312"/>
          <w:color w:val="000000"/>
          <w:kern w:val="0"/>
          <w:sz w:val="31"/>
          <w:szCs w:val="31"/>
          <w:shd w:val="clear" w:color="auto" w:fill="FFFFFF"/>
        </w:rPr>
      </w:pPr>
    </w:p>
    <w:p>
      <w:pPr>
        <w:widowControl/>
        <w:ind w:left="420" w:leftChars="200" w:firstLine="1240" w:firstLineChars="400"/>
        <w:rPr>
          <w:rFonts w:ascii="仿宋_GB2312" w:hAnsi="Calibri" w:eastAsia="仿宋_GB2312" w:cs="仿宋_GB2312"/>
          <w:color w:val="000000"/>
          <w:kern w:val="0"/>
          <w:sz w:val="31"/>
          <w:szCs w:val="31"/>
          <w:shd w:val="clear" w:color="auto" w:fill="FFFFFF"/>
        </w:rPr>
      </w:pPr>
    </w:p>
    <w:p>
      <w:pPr>
        <w:widowControl/>
        <w:ind w:left="420" w:leftChars="200" w:firstLine="3720" w:firstLineChars="1200"/>
        <w:rPr>
          <w:rFonts w:ascii="仿宋_GB2312" w:hAnsi="Calibri" w:eastAsia="仿宋_GB2312" w:cs="仿宋_GB2312"/>
          <w:color w:val="000000"/>
          <w:kern w:val="0"/>
          <w:sz w:val="31"/>
          <w:szCs w:val="31"/>
          <w:shd w:val="clear" w:color="auto" w:fill="FFFFFF"/>
        </w:rPr>
      </w:pPr>
      <w:r>
        <w:rPr>
          <w:rFonts w:hint="eastAsia" w:ascii="仿宋_GB2312" w:hAnsi="Calibri" w:eastAsia="仿宋_GB2312" w:cs="仿宋_GB2312"/>
          <w:color w:val="000000"/>
          <w:kern w:val="0"/>
          <w:sz w:val="31"/>
          <w:szCs w:val="31"/>
          <w:shd w:val="clear" w:color="auto" w:fill="FFFFFF"/>
        </w:rPr>
        <w:t>2020年4月26日</w:t>
      </w:r>
    </w:p>
    <w:p>
      <w:pPr>
        <w:rPr>
          <w:rFonts w:ascii="仿宋_GB2312" w:hAnsi="Calibri" w:eastAsia="仿宋_GB2312" w:cs="仿宋_GB2312"/>
          <w:color w:val="000000"/>
          <w:kern w:val="0"/>
          <w:sz w:val="31"/>
          <w:szCs w:val="31"/>
          <w:shd w:val="clear" w:color="auto" w:fill="FFFFFF"/>
        </w:rPr>
      </w:pPr>
      <w:r>
        <w:rPr>
          <w:rFonts w:hint="eastAsia" w:ascii="仿宋_GB2312" w:hAnsi="Calibri" w:eastAsia="仿宋_GB2312" w:cs="仿宋_GB2312"/>
          <w:color w:val="000000"/>
          <w:kern w:val="0"/>
          <w:sz w:val="31"/>
          <w:szCs w:val="31"/>
          <w:shd w:val="clear" w:color="auto" w:fill="FFFFFF"/>
        </w:rPr>
        <w:br w:type="page"/>
      </w:r>
    </w:p>
    <w:p>
      <w:pPr>
        <w:pStyle w:val="12"/>
        <w:widowControl/>
        <w:shd w:val="clear" w:color="auto" w:fill="FFFFFF"/>
        <w:spacing w:before="0" w:beforeAutospacing="0" w:after="0" w:afterAutospacing="0"/>
        <w:jc w:val="center"/>
        <w:textAlignment w:val="top"/>
        <w:rPr>
          <w:rFonts w:ascii="方正小标宋_GBK" w:hAnsi="方正小标宋_GBK" w:eastAsia="方正小标宋_GBK" w:cs="方正小标宋_GBK"/>
          <w:color w:val="000000"/>
          <w:sz w:val="39"/>
          <w:szCs w:val="39"/>
        </w:rPr>
      </w:pPr>
      <w:r>
        <w:rPr>
          <w:rFonts w:hint="eastAsia" w:ascii="方正小标宋_GBK" w:hAnsi="方正小标宋_GBK" w:eastAsia="方正小标宋_GBK" w:cs="方正小标宋_GBK"/>
          <w:color w:val="000000"/>
          <w:sz w:val="39"/>
          <w:szCs w:val="39"/>
        </w:rPr>
        <w:t>第三篇：河南省地方金融监督管理局</w:t>
      </w:r>
    </w:p>
    <w:p>
      <w:pPr>
        <w:pStyle w:val="12"/>
        <w:widowControl/>
        <w:shd w:val="clear" w:color="auto" w:fill="FFFFFF"/>
        <w:spacing w:before="0" w:beforeAutospacing="0" w:after="0" w:afterAutospacing="0"/>
        <w:jc w:val="center"/>
        <w:textAlignment w:val="top"/>
        <w:rPr>
          <w:rFonts w:ascii="方正小标宋_GBK" w:hAnsi="方正小标宋_GBK" w:eastAsia="方正小标宋_GBK" w:cs="方正小标宋_GBK"/>
          <w:color w:val="000000"/>
          <w:sz w:val="39"/>
          <w:szCs w:val="39"/>
        </w:rPr>
      </w:pPr>
      <w:r>
        <w:rPr>
          <w:rFonts w:hint="eastAsia" w:ascii="方正小标宋_GBK" w:hAnsi="方正小标宋_GBK" w:eastAsia="方正小标宋_GBK" w:cs="方正小标宋_GBK"/>
          <w:color w:val="000000"/>
          <w:sz w:val="39"/>
          <w:szCs w:val="39"/>
        </w:rPr>
        <w:t>关于加强地方金融组织新设机构监管的通知</w:t>
      </w:r>
    </w:p>
    <w:p>
      <w:pPr>
        <w:keepNext/>
        <w:keepLines/>
        <w:spacing w:line="560" w:lineRule="exact"/>
        <w:ind w:firstLine="480" w:firstLineChars="200"/>
        <w:jc w:val="center"/>
        <w:rPr>
          <w:rStyle w:val="19"/>
          <w:rFonts w:hint="eastAsia" w:ascii="楷体" w:hAnsi="楷体" w:eastAsia="楷体" w:cs="楷体"/>
          <w:color w:val="000000"/>
          <w:sz w:val="24"/>
          <w:szCs w:val="24"/>
          <w:lang w:val="en-US" w:eastAsia="zh-CN"/>
        </w:rPr>
      </w:pPr>
      <w:r>
        <w:rPr>
          <w:rStyle w:val="19"/>
          <w:rFonts w:hint="eastAsia" w:ascii="楷体" w:hAnsi="楷体" w:eastAsia="楷体" w:cs="楷体"/>
          <w:color w:val="000000"/>
          <w:sz w:val="24"/>
          <w:szCs w:val="24"/>
          <w:lang w:eastAsia="zh-CN"/>
        </w:rPr>
        <w:t>河南省地方金融监督管理局文件</w:t>
      </w:r>
      <w:r>
        <w:rPr>
          <w:rStyle w:val="19"/>
          <w:rFonts w:hint="eastAsia" w:ascii="楷体" w:hAnsi="楷体" w:eastAsia="楷体" w:cs="楷体"/>
          <w:color w:val="000000"/>
          <w:sz w:val="24"/>
          <w:szCs w:val="24"/>
          <w:lang w:val="en-US" w:eastAsia="zh-CN"/>
        </w:rPr>
        <w:t xml:space="preserve"> </w:t>
      </w:r>
      <w:r>
        <w:rPr>
          <w:rStyle w:val="19"/>
          <w:rFonts w:hint="eastAsia" w:ascii="楷体" w:hAnsi="楷体" w:eastAsia="楷体" w:cs="楷体"/>
          <w:color w:val="000000"/>
          <w:sz w:val="24"/>
          <w:szCs w:val="24"/>
          <w:lang w:eastAsia="zh-CN"/>
        </w:rPr>
        <w:t>豫金监〔202</w:t>
      </w:r>
      <w:r>
        <w:rPr>
          <w:rStyle w:val="19"/>
          <w:rFonts w:hint="eastAsia" w:ascii="楷体" w:hAnsi="楷体" w:eastAsia="楷体" w:cs="楷体"/>
          <w:color w:val="000000"/>
          <w:sz w:val="24"/>
          <w:szCs w:val="24"/>
          <w:lang w:val="en-US" w:eastAsia="zh-CN"/>
        </w:rPr>
        <w:t>2</w:t>
      </w:r>
      <w:r>
        <w:rPr>
          <w:rStyle w:val="19"/>
          <w:rFonts w:hint="eastAsia" w:ascii="楷体" w:hAnsi="楷体" w:eastAsia="楷体" w:cs="楷体"/>
          <w:color w:val="000000"/>
          <w:sz w:val="24"/>
          <w:szCs w:val="24"/>
          <w:lang w:eastAsia="zh-CN"/>
        </w:rPr>
        <w:t>〕</w:t>
      </w:r>
      <w:r>
        <w:rPr>
          <w:rStyle w:val="19"/>
          <w:rFonts w:hint="eastAsia" w:ascii="楷体" w:hAnsi="楷体" w:eastAsia="楷体" w:cs="楷体"/>
          <w:color w:val="000000"/>
          <w:sz w:val="24"/>
          <w:szCs w:val="24"/>
          <w:lang w:val="en-US" w:eastAsia="zh-CN"/>
        </w:rPr>
        <w:t>111</w:t>
      </w:r>
      <w:r>
        <w:rPr>
          <w:rStyle w:val="19"/>
          <w:rFonts w:hint="eastAsia" w:ascii="楷体" w:hAnsi="楷体" w:eastAsia="楷体" w:cs="楷体"/>
          <w:color w:val="000000"/>
          <w:sz w:val="24"/>
          <w:szCs w:val="24"/>
          <w:lang w:eastAsia="zh-CN"/>
        </w:rPr>
        <w:t>号</w:t>
      </w:r>
      <w:r>
        <w:rPr>
          <w:rStyle w:val="19"/>
          <w:rFonts w:hint="eastAsia" w:ascii="楷体" w:hAnsi="楷体" w:eastAsia="楷体" w:cs="楷体"/>
          <w:color w:val="000000"/>
          <w:sz w:val="24"/>
          <w:szCs w:val="24"/>
          <w:lang w:val="en-US" w:eastAsia="zh-CN"/>
        </w:rPr>
        <w:t xml:space="preserve"> </w:t>
      </w:r>
    </w:p>
    <w:p>
      <w:pPr>
        <w:keepNext/>
        <w:keepLines/>
        <w:spacing w:line="560" w:lineRule="exact"/>
        <w:ind w:firstLine="480" w:firstLineChars="200"/>
        <w:jc w:val="center"/>
        <w:rPr>
          <w:rFonts w:hint="eastAsia" w:ascii="仿宋" w:hAnsi="仿宋" w:eastAsia="仿宋" w:cs="仿宋"/>
          <w:color w:val="000000"/>
          <w:sz w:val="31"/>
          <w:szCs w:val="31"/>
          <w:shd w:val="clear" w:color="auto" w:fill="FFFFFF"/>
        </w:rPr>
      </w:pPr>
      <w:r>
        <w:rPr>
          <w:rStyle w:val="19"/>
          <w:rFonts w:hint="eastAsia" w:ascii="楷体" w:hAnsi="楷体" w:eastAsia="楷体" w:cs="楷体"/>
          <w:color w:val="000000"/>
          <w:sz w:val="24"/>
          <w:szCs w:val="24"/>
        </w:rPr>
        <w:t>20</w:t>
      </w:r>
      <w:r>
        <w:rPr>
          <w:rStyle w:val="19"/>
          <w:rFonts w:hint="eastAsia" w:ascii="楷体" w:hAnsi="楷体" w:eastAsia="楷体" w:cs="楷体"/>
          <w:color w:val="000000"/>
          <w:sz w:val="24"/>
          <w:szCs w:val="24"/>
          <w:lang w:val="en-US" w:eastAsia="zh-CN"/>
        </w:rPr>
        <w:t>22</w:t>
      </w:r>
      <w:r>
        <w:rPr>
          <w:rStyle w:val="19"/>
          <w:rFonts w:hint="eastAsia" w:ascii="楷体" w:hAnsi="楷体" w:eastAsia="楷体" w:cs="楷体"/>
          <w:color w:val="000000"/>
          <w:sz w:val="24"/>
          <w:szCs w:val="24"/>
        </w:rPr>
        <w:t>年</w:t>
      </w:r>
      <w:r>
        <w:rPr>
          <w:rStyle w:val="19"/>
          <w:rFonts w:hint="eastAsia" w:ascii="楷体" w:hAnsi="楷体" w:eastAsia="楷体" w:cs="楷体"/>
          <w:color w:val="000000"/>
          <w:sz w:val="24"/>
          <w:szCs w:val="24"/>
          <w:lang w:val="en-US" w:eastAsia="zh-CN"/>
        </w:rPr>
        <w:t>6</w:t>
      </w:r>
      <w:r>
        <w:rPr>
          <w:rStyle w:val="19"/>
          <w:rFonts w:hint="eastAsia" w:ascii="楷体" w:hAnsi="楷体" w:eastAsia="楷体" w:cs="楷体"/>
          <w:color w:val="000000"/>
          <w:sz w:val="24"/>
          <w:szCs w:val="24"/>
        </w:rPr>
        <w:t>月</w:t>
      </w:r>
      <w:r>
        <w:rPr>
          <w:rStyle w:val="19"/>
          <w:rFonts w:hint="eastAsia" w:ascii="楷体" w:hAnsi="楷体" w:eastAsia="楷体" w:cs="楷体"/>
          <w:color w:val="000000"/>
          <w:sz w:val="24"/>
          <w:szCs w:val="24"/>
          <w:lang w:val="en-US" w:eastAsia="zh-CN"/>
        </w:rPr>
        <w:t>20</w:t>
      </w:r>
      <w:r>
        <w:rPr>
          <w:rStyle w:val="19"/>
          <w:rFonts w:hint="eastAsia" w:ascii="楷体" w:hAnsi="楷体" w:eastAsia="楷体" w:cs="楷体"/>
          <w:color w:val="000000"/>
          <w:sz w:val="24"/>
          <w:szCs w:val="24"/>
        </w:rPr>
        <w:t>日印发</w:t>
      </w:r>
    </w:p>
    <w:p>
      <w:pPr>
        <w:pStyle w:val="12"/>
        <w:widowControl/>
        <w:shd w:val="clear" w:color="auto" w:fill="FFFFFF"/>
        <w:spacing w:before="0" w:beforeAutospacing="0" w:after="0" w:afterAutospacing="0"/>
        <w:jc w:val="both"/>
        <w:textAlignment w:val="top"/>
        <w:rPr>
          <w:rFonts w:ascii="Calibri" w:hAnsi="Calibri" w:cs="Calibri"/>
          <w:color w:val="000000"/>
          <w:sz w:val="21"/>
          <w:szCs w:val="21"/>
        </w:rPr>
      </w:pPr>
      <w:r>
        <w:rPr>
          <w:rFonts w:hint="eastAsia" w:ascii="仿宋" w:hAnsi="仿宋" w:eastAsia="仿宋" w:cs="仿宋"/>
          <w:color w:val="000000"/>
          <w:sz w:val="31"/>
          <w:szCs w:val="31"/>
          <w:shd w:val="clear" w:color="auto" w:fill="FFFFFF"/>
        </w:rPr>
        <w:t>各省辖市金融工作局、济源示范区财政金融局、航空港区财政审计局：</w:t>
      </w:r>
    </w:p>
    <w:p>
      <w:pPr>
        <w:pStyle w:val="12"/>
        <w:widowControl/>
        <w:shd w:val="clear" w:color="auto" w:fill="FFFFFF"/>
        <w:spacing w:before="0" w:beforeAutospacing="0" w:after="0" w:afterAutospacing="0"/>
        <w:jc w:val="both"/>
        <w:textAlignment w:val="top"/>
        <w:rPr>
          <w:rFonts w:ascii="Calibri" w:hAnsi="Calibri" w:cs="Calibri"/>
          <w:color w:val="000000"/>
          <w:sz w:val="21"/>
          <w:szCs w:val="21"/>
        </w:rPr>
      </w:pPr>
      <w:r>
        <w:rPr>
          <w:rFonts w:hint="eastAsia" w:ascii="仿宋" w:hAnsi="仿宋" w:eastAsia="仿宋" w:cs="仿宋"/>
          <w:color w:val="000000"/>
          <w:sz w:val="31"/>
          <w:szCs w:val="31"/>
          <w:shd w:val="clear" w:color="auto" w:fill="FFFFFF"/>
        </w:rPr>
        <w:t>    为促进地方金融组织新设机构（取得河南省地方金融监督管理局同意设立批复未满一年的地方金融组织）健康发展，督促其树立依法合规经营意识，推动</w:t>
      </w:r>
      <w:r>
        <w:rPr>
          <w:rFonts w:hint="eastAsia" w:ascii="仿宋" w:hAnsi="仿宋" w:eastAsia="仿宋" w:cs="仿宋"/>
          <w:color w:val="333333"/>
          <w:sz w:val="31"/>
          <w:szCs w:val="31"/>
          <w:shd w:val="clear" w:color="auto" w:fill="FFFFFF"/>
        </w:rPr>
        <w:t>实施分类监管，</w:t>
      </w:r>
      <w:r>
        <w:rPr>
          <w:rFonts w:hint="eastAsia" w:ascii="仿宋" w:hAnsi="仿宋" w:eastAsia="仿宋" w:cs="仿宋"/>
          <w:color w:val="000000"/>
          <w:sz w:val="31"/>
          <w:szCs w:val="31"/>
          <w:shd w:val="clear" w:color="auto" w:fill="FFFFFF"/>
        </w:rPr>
        <w:t>根据《中国银保监会办公厅关于加强典当行监督管理的通知》《中国银保监会关于印发&lt;融资租赁公司监督管理暂行办法&gt;的通知》《中国银保监会办公厅关于加强商业保理企业监督管理的通知》等有关规定，现通知如下。</w:t>
      </w:r>
    </w:p>
    <w:p>
      <w:pPr>
        <w:pStyle w:val="12"/>
        <w:widowControl/>
        <w:shd w:val="clear" w:color="auto" w:fill="FFFFFF"/>
        <w:spacing w:before="0" w:beforeAutospacing="0" w:after="0" w:afterAutospacing="0"/>
        <w:ind w:firstLine="645"/>
        <w:jc w:val="both"/>
        <w:textAlignment w:val="top"/>
        <w:rPr>
          <w:rFonts w:ascii="Calibri" w:hAnsi="Calibri" w:cs="Calibri"/>
          <w:color w:val="000000"/>
          <w:sz w:val="21"/>
          <w:szCs w:val="21"/>
        </w:rPr>
      </w:pPr>
      <w:r>
        <w:rPr>
          <w:rFonts w:ascii="黑体" w:hAnsi="宋体" w:eastAsia="黑体" w:cs="黑体"/>
          <w:color w:val="000000"/>
          <w:sz w:val="31"/>
          <w:szCs w:val="31"/>
          <w:shd w:val="clear" w:color="auto" w:fill="FFFFFF"/>
        </w:rPr>
        <w:t>一、加强资本金使用情况的管理。</w:t>
      </w:r>
      <w:r>
        <w:rPr>
          <w:rFonts w:hint="eastAsia" w:ascii="仿宋" w:hAnsi="仿宋" w:eastAsia="仿宋" w:cs="仿宋"/>
          <w:color w:val="000000"/>
          <w:sz w:val="31"/>
          <w:szCs w:val="31"/>
          <w:shd w:val="clear" w:color="auto" w:fill="FFFFFF"/>
        </w:rPr>
        <w:t>地方金融组织新设机构应当按照国家有关规定，真实记录并全面反映其业务活动和财务状况，每月10日前向住所地县(市、区)地方金融工作部门报送上月银行流水和</w:t>
      </w:r>
      <w:r>
        <w:rPr>
          <w:rFonts w:hint="eastAsia" w:ascii="仿宋" w:hAnsi="仿宋" w:eastAsia="仿宋" w:cs="仿宋"/>
          <w:color w:val="000000"/>
          <w:sz w:val="30"/>
          <w:szCs w:val="30"/>
          <w:shd w:val="clear" w:color="auto" w:fill="FFFFFF"/>
        </w:rPr>
        <w:t>资产负债表</w:t>
      </w:r>
      <w:r>
        <w:rPr>
          <w:rFonts w:hint="eastAsia" w:ascii="仿宋" w:hAnsi="仿宋" w:eastAsia="仿宋" w:cs="仿宋"/>
          <w:color w:val="000000"/>
          <w:sz w:val="31"/>
          <w:szCs w:val="31"/>
          <w:shd w:val="clear" w:color="auto" w:fill="FFFFFF"/>
        </w:rPr>
        <w:t>等财务信息。</w:t>
      </w:r>
    </w:p>
    <w:p>
      <w:pPr>
        <w:pStyle w:val="12"/>
        <w:widowControl/>
        <w:shd w:val="clear" w:color="auto" w:fill="FFFFFF"/>
        <w:spacing w:before="0" w:beforeAutospacing="0" w:after="0" w:afterAutospacing="0"/>
        <w:ind w:firstLine="645"/>
        <w:jc w:val="both"/>
        <w:textAlignment w:val="top"/>
        <w:rPr>
          <w:rFonts w:ascii="Calibri" w:hAnsi="Calibri" w:cs="Calibri"/>
          <w:color w:val="000000"/>
          <w:sz w:val="21"/>
          <w:szCs w:val="21"/>
        </w:rPr>
      </w:pPr>
      <w:r>
        <w:rPr>
          <w:rFonts w:hint="eastAsia" w:ascii="黑体" w:hAnsi="宋体" w:eastAsia="黑体" w:cs="黑体"/>
          <w:color w:val="000000"/>
          <w:sz w:val="31"/>
          <w:szCs w:val="31"/>
          <w:shd w:val="clear" w:color="auto" w:fill="FFFFFF"/>
        </w:rPr>
        <w:t>二、加强业务开展情况的管理。</w:t>
      </w:r>
      <w:r>
        <w:rPr>
          <w:rFonts w:hint="eastAsia" w:ascii="仿宋" w:hAnsi="仿宋" w:eastAsia="仿宋" w:cs="仿宋"/>
          <w:color w:val="000000"/>
          <w:sz w:val="31"/>
          <w:szCs w:val="31"/>
          <w:shd w:val="clear" w:color="auto" w:fill="FFFFFF"/>
        </w:rPr>
        <w:t>地方金融组织新设机构开展业务活动应当遵守法律法规，要严格在河南省地方金融监督管理局核准的经营范围之内开展活动，不得违反本行业的经营规则，不得经营法律法规、银保监会和地方金融监管部门禁止开展的业务或活动，每月10日前向住所地县(市、区)地方金融工作部门报送上月业务开展情况等经营信息。</w:t>
      </w:r>
    </w:p>
    <w:p>
      <w:pPr>
        <w:pStyle w:val="12"/>
        <w:widowControl/>
        <w:shd w:val="clear" w:color="auto" w:fill="FFFFFF"/>
        <w:spacing w:before="0" w:beforeAutospacing="0" w:after="0" w:afterAutospacing="0"/>
        <w:ind w:firstLine="645"/>
        <w:jc w:val="both"/>
        <w:textAlignment w:val="top"/>
        <w:rPr>
          <w:rFonts w:ascii="Calibri" w:hAnsi="Calibri" w:cs="Calibri"/>
          <w:color w:val="000000"/>
          <w:sz w:val="21"/>
          <w:szCs w:val="21"/>
        </w:rPr>
      </w:pPr>
      <w:r>
        <w:rPr>
          <w:rFonts w:hint="eastAsia" w:ascii="黑体" w:hAnsi="宋体" w:eastAsia="黑体" w:cs="黑体"/>
          <w:color w:val="000000"/>
          <w:sz w:val="31"/>
          <w:szCs w:val="31"/>
          <w:shd w:val="clear" w:color="auto" w:fill="FFFFFF"/>
        </w:rPr>
        <w:t>三、加强重要情况报告的管理。</w:t>
      </w:r>
      <w:r>
        <w:rPr>
          <w:rFonts w:hint="eastAsia" w:ascii="仿宋" w:hAnsi="仿宋" w:eastAsia="仿宋" w:cs="仿宋"/>
          <w:color w:val="000000"/>
          <w:sz w:val="31"/>
          <w:szCs w:val="31"/>
          <w:shd w:val="clear" w:color="auto" w:fill="FFFFFF"/>
        </w:rPr>
        <w:t>地方金融组织新设机构应建立良好的公司治理、内部控制和风险管理机制，相关制度应在设立后两个月内向住所地县(市、区)地方金融工作部门报备。经营期间发生可能会对正常经营造成严重不利影响情况的，包括：主要资产被查封、冻结、扣押、损失；新设机构或其股东被吊销或者注销营业执照；新设机构或其股东涉及</w:t>
      </w:r>
      <w:r>
        <w:rPr>
          <w:rFonts w:hint="eastAsia" w:ascii="仿宋" w:hAnsi="仿宋" w:eastAsia="仿宋" w:cs="仿宋"/>
          <w:color w:val="333333"/>
          <w:sz w:val="31"/>
          <w:szCs w:val="31"/>
          <w:shd w:val="clear" w:color="auto" w:fill="FFFFFF"/>
        </w:rPr>
        <w:t>重大待决诉讼、仲裁；</w:t>
      </w:r>
      <w:r>
        <w:rPr>
          <w:rFonts w:hint="eastAsia" w:ascii="仿宋" w:hAnsi="仿宋" w:eastAsia="仿宋" w:cs="仿宋"/>
          <w:color w:val="000000"/>
          <w:sz w:val="31"/>
          <w:szCs w:val="31"/>
          <w:shd w:val="clear" w:color="auto" w:fill="FFFFFF"/>
        </w:rPr>
        <w:t>新设机构或其股东</w:t>
      </w:r>
      <w:r>
        <w:rPr>
          <w:rFonts w:hint="eastAsia" w:ascii="仿宋" w:hAnsi="仿宋" w:eastAsia="仿宋" w:cs="仿宋"/>
          <w:color w:val="333333"/>
          <w:sz w:val="31"/>
          <w:szCs w:val="31"/>
          <w:shd w:val="clear" w:color="auto" w:fill="FFFFFF"/>
        </w:rPr>
        <w:t>因</w:t>
      </w:r>
      <w:r>
        <w:rPr>
          <w:rFonts w:hint="eastAsia" w:ascii="仿宋" w:hAnsi="仿宋" w:eastAsia="仿宋" w:cs="仿宋"/>
          <w:color w:val="2F2F2F"/>
          <w:sz w:val="31"/>
          <w:szCs w:val="31"/>
          <w:shd w:val="clear" w:color="auto" w:fill="FFFFFF"/>
        </w:rPr>
        <w:t>违法经营被行政处罚或者立案调查</w:t>
      </w:r>
      <w:r>
        <w:rPr>
          <w:rFonts w:hint="eastAsia" w:ascii="仿宋" w:hAnsi="仿宋" w:eastAsia="仿宋" w:cs="仿宋"/>
          <w:color w:val="000000"/>
          <w:sz w:val="31"/>
          <w:szCs w:val="31"/>
          <w:shd w:val="clear" w:color="auto" w:fill="FFFFFF"/>
        </w:rPr>
        <w:t>；新设机构住所临时变更或者高管大量辞职等，应在</w:t>
      </w:r>
      <w:r>
        <w:rPr>
          <w:rFonts w:hint="eastAsia" w:ascii="仿宋" w:hAnsi="仿宋" w:eastAsia="仿宋" w:cs="仿宋"/>
          <w:color w:val="333333"/>
          <w:sz w:val="31"/>
          <w:szCs w:val="31"/>
          <w:shd w:val="clear" w:color="auto" w:fill="FFFFFF"/>
        </w:rPr>
        <w:t>5个工作日内明确紧急处置措施并逐级上报至省地方金融监管局。</w:t>
      </w:r>
      <w:r>
        <w:rPr>
          <w:rFonts w:hint="eastAsia" w:ascii="仿宋" w:hAnsi="仿宋" w:eastAsia="仿宋" w:cs="仿宋"/>
          <w:color w:val="000000"/>
          <w:sz w:val="31"/>
          <w:szCs w:val="31"/>
          <w:shd w:val="clear" w:color="auto" w:fill="FFFFFF"/>
        </w:rPr>
        <w:t>地方金融组织新设机构应于每月10日前向住所地县(市、区)地方金融工作部门报送上月本机构股东、高管、住所等有无变化的监管信息。</w:t>
      </w:r>
    </w:p>
    <w:p>
      <w:pPr>
        <w:pStyle w:val="12"/>
        <w:widowControl/>
        <w:shd w:val="clear" w:color="auto" w:fill="FFFFFF"/>
        <w:spacing w:before="0" w:beforeAutospacing="0" w:after="0" w:afterAutospacing="0"/>
        <w:ind w:firstLine="645"/>
        <w:jc w:val="both"/>
        <w:textAlignment w:val="top"/>
        <w:rPr>
          <w:rFonts w:ascii="Calibri" w:hAnsi="Calibri" w:cs="Calibri"/>
          <w:color w:val="000000"/>
          <w:sz w:val="21"/>
          <w:szCs w:val="21"/>
        </w:rPr>
      </w:pPr>
      <w:r>
        <w:rPr>
          <w:rFonts w:hint="eastAsia" w:ascii="黑体" w:hAnsi="宋体" w:eastAsia="黑体" w:cs="黑体"/>
          <w:color w:val="000000"/>
          <w:sz w:val="31"/>
          <w:szCs w:val="31"/>
          <w:shd w:val="clear" w:color="auto" w:fill="FFFFFF"/>
        </w:rPr>
        <w:t>四、做好动态监管和全过程监督。</w:t>
      </w:r>
      <w:r>
        <w:rPr>
          <w:rFonts w:hint="eastAsia" w:ascii="仿宋" w:hAnsi="仿宋" w:eastAsia="仿宋" w:cs="仿宋"/>
          <w:color w:val="000000"/>
          <w:sz w:val="31"/>
          <w:szCs w:val="31"/>
          <w:shd w:val="clear" w:color="auto" w:fill="FFFFFF"/>
        </w:rPr>
        <w:t>地方金融组织新设机构监管工作实行分级管理、分级负责，进一步强化属地管理责任。</w:t>
      </w:r>
    </w:p>
    <w:p>
      <w:pPr>
        <w:pStyle w:val="12"/>
        <w:widowControl/>
        <w:shd w:val="clear" w:color="auto" w:fill="FFFFFF"/>
        <w:spacing w:before="0" w:beforeAutospacing="0" w:after="0" w:afterAutospacing="0"/>
        <w:ind w:firstLine="645"/>
        <w:jc w:val="both"/>
        <w:textAlignment w:val="top"/>
        <w:rPr>
          <w:rFonts w:ascii="Calibri" w:hAnsi="Calibri" w:cs="Calibri"/>
          <w:color w:val="000000"/>
          <w:sz w:val="21"/>
          <w:szCs w:val="21"/>
        </w:rPr>
      </w:pPr>
      <w:r>
        <w:rPr>
          <w:rFonts w:hint="eastAsia" w:ascii="仿宋" w:hAnsi="仿宋" w:eastAsia="仿宋" w:cs="仿宋"/>
          <w:color w:val="000000"/>
          <w:sz w:val="31"/>
          <w:szCs w:val="31"/>
          <w:shd w:val="clear" w:color="auto" w:fill="FFFFFF"/>
        </w:rPr>
        <w:t>地方金融组织新设机构要在一年内，按照通知要求如实报送财务信息、经营信息和监管信息，一年后纳入常态化监管。对隐瞒真实情况、提供虚假材料或者不提交相关信息，经各级地方金融工作部门责令限期整改但</w:t>
      </w:r>
      <w:r>
        <w:rPr>
          <w:rFonts w:hint="eastAsia" w:ascii="仿宋" w:hAnsi="仿宋" w:eastAsia="仿宋" w:cs="仿宋"/>
          <w:color w:val="333333"/>
          <w:sz w:val="31"/>
          <w:szCs w:val="31"/>
          <w:shd w:val="clear" w:color="auto" w:fill="FFFFFF"/>
        </w:rPr>
        <w:t>拒绝整改或整改验收不合格的，</w:t>
      </w:r>
      <w:r>
        <w:rPr>
          <w:rFonts w:hint="eastAsia" w:ascii="仿宋" w:hAnsi="仿宋" w:eastAsia="仿宋" w:cs="仿宋"/>
          <w:color w:val="000000"/>
          <w:sz w:val="31"/>
          <w:szCs w:val="31"/>
          <w:shd w:val="clear" w:color="auto" w:fill="FFFFFF"/>
        </w:rPr>
        <w:t>将依法取消其地方金融业务的经营资格。</w:t>
      </w:r>
    </w:p>
    <w:p>
      <w:pPr>
        <w:pStyle w:val="12"/>
        <w:widowControl/>
        <w:shd w:val="clear" w:color="auto" w:fill="FFFFFF"/>
        <w:spacing w:before="0" w:beforeAutospacing="0" w:after="0" w:afterAutospacing="0"/>
        <w:ind w:firstLine="645"/>
        <w:jc w:val="both"/>
        <w:textAlignment w:val="top"/>
        <w:rPr>
          <w:rFonts w:ascii="Calibri" w:hAnsi="Calibri" w:cs="Calibri"/>
          <w:color w:val="000000"/>
          <w:sz w:val="21"/>
          <w:szCs w:val="21"/>
        </w:rPr>
      </w:pPr>
      <w:r>
        <w:rPr>
          <w:rFonts w:hint="eastAsia" w:ascii="仿宋" w:hAnsi="仿宋" w:eastAsia="仿宋" w:cs="仿宋"/>
          <w:color w:val="000000"/>
          <w:sz w:val="31"/>
          <w:szCs w:val="31"/>
          <w:shd w:val="clear" w:color="auto" w:fill="FFFFFF"/>
        </w:rPr>
        <w:t>县(市、区)地方金融工作部门要通过报表数据分析、多渠道查证股东现状或者实地现场检查等监管措施，核查本辖区地方金融组织新设机构每月上报的财务信息、经营信息和监管信息；发现有违法违规行为的，要立即制止并明确意见报上一级地方金融工作部门；核查结果及相关材料于每月15日前报上一级地方金融工作部门。</w:t>
      </w:r>
    </w:p>
    <w:p>
      <w:pPr>
        <w:pStyle w:val="12"/>
        <w:widowControl/>
        <w:shd w:val="clear" w:color="auto" w:fill="FFFFFF"/>
        <w:spacing w:before="0" w:beforeAutospacing="0" w:after="0" w:afterAutospacing="0"/>
        <w:ind w:firstLine="645"/>
        <w:jc w:val="both"/>
        <w:textAlignment w:val="top"/>
        <w:rPr>
          <w:rFonts w:ascii="Calibri" w:hAnsi="Calibri" w:cs="Calibri"/>
          <w:color w:val="000000"/>
          <w:sz w:val="21"/>
          <w:szCs w:val="21"/>
        </w:rPr>
      </w:pPr>
      <w:r>
        <w:rPr>
          <w:rFonts w:hint="eastAsia" w:ascii="仿宋" w:hAnsi="仿宋" w:eastAsia="仿宋" w:cs="仿宋"/>
          <w:color w:val="000000"/>
          <w:sz w:val="31"/>
          <w:szCs w:val="31"/>
          <w:shd w:val="clear" w:color="auto" w:fill="FFFFFF"/>
        </w:rPr>
        <w:t>省辖市金融工作局、济源示范区财政金融局和航空港区财政审计局要主动落实动态监管和全过程监督责任，对县(市、区)地方金融工作部门上报的核查结果进行抽查复查；每季度至少对地方金融组织新设机构的主要股东或者高管约谈一次，对其进行法律知识和业务政策讲解；要及时防范和处置其违法违规行为，提高其依法合规经营意识；每季度末20日内向省地方金融监管局上报本辖区地方金融组织新设机构发展与监管的情况。</w:t>
      </w:r>
    </w:p>
    <w:p>
      <w:pPr>
        <w:pStyle w:val="12"/>
        <w:widowControl/>
        <w:shd w:val="clear" w:color="auto" w:fill="FFFFFF"/>
        <w:spacing w:before="0" w:beforeAutospacing="0" w:after="0" w:afterAutospacing="0"/>
        <w:ind w:firstLine="645"/>
        <w:jc w:val="both"/>
        <w:textAlignment w:val="top"/>
        <w:rPr>
          <w:rFonts w:ascii="Calibri" w:hAnsi="Calibri" w:cs="Calibri"/>
          <w:color w:val="000000"/>
          <w:sz w:val="21"/>
          <w:szCs w:val="21"/>
        </w:rPr>
      </w:pPr>
      <w:r>
        <w:rPr>
          <w:rFonts w:hint="eastAsia" w:ascii="仿宋" w:hAnsi="仿宋" w:eastAsia="仿宋" w:cs="仿宋"/>
          <w:color w:val="000000"/>
          <w:sz w:val="31"/>
          <w:szCs w:val="31"/>
          <w:shd w:val="clear" w:color="auto" w:fill="FFFFFF"/>
        </w:rPr>
        <w:t>省地方金融监管局结合各地上报的发展与监管情况，随机抽选部分设立满一年的地方金融组织新设机构进行实地督导或现场检查。各级地方金融工作部门在履职期间，应自觉保守地方金融组织新设机构的商业秘密，收集的各类信息应作为日常监管档案妥善保管。请省辖市金融工作局、济源示范区财政金融局和航空港区财政审计局将本通知转发至辖内地方金融组织新设机构。</w:t>
      </w:r>
    </w:p>
    <w:p>
      <w:pPr>
        <w:pStyle w:val="12"/>
        <w:widowControl/>
        <w:shd w:val="clear" w:color="auto" w:fill="FFFFFF"/>
        <w:spacing w:before="0" w:beforeAutospacing="0" w:after="0" w:afterAutospacing="0"/>
        <w:jc w:val="both"/>
        <w:textAlignment w:val="top"/>
        <w:rPr>
          <w:rFonts w:ascii="Calibri" w:hAnsi="Calibri" w:cs="Calibri"/>
          <w:color w:val="000000"/>
          <w:sz w:val="21"/>
          <w:szCs w:val="21"/>
        </w:rPr>
      </w:pPr>
    </w:p>
    <w:p>
      <w:pPr>
        <w:pStyle w:val="12"/>
        <w:widowControl/>
        <w:shd w:val="clear" w:color="auto" w:fill="FFFFFF"/>
        <w:spacing w:before="0" w:beforeAutospacing="0" w:after="0" w:afterAutospacing="0"/>
        <w:jc w:val="both"/>
        <w:textAlignment w:val="top"/>
        <w:rPr>
          <w:rFonts w:asciiTheme="majorEastAsia" w:hAnsiTheme="majorEastAsia" w:eastAsiaTheme="majorEastAsia" w:cstheme="majorEastAsia"/>
          <w:b/>
          <w:bCs/>
          <w:spacing w:val="-20"/>
          <w:sz w:val="44"/>
        </w:rPr>
      </w:pPr>
      <w:r>
        <w:rPr>
          <w:rFonts w:hint="eastAsia" w:ascii="仿宋" w:hAnsi="仿宋" w:eastAsia="仿宋" w:cs="仿宋"/>
          <w:color w:val="000000"/>
          <w:sz w:val="31"/>
          <w:szCs w:val="31"/>
          <w:shd w:val="clear" w:color="auto" w:fill="FFFFFF"/>
        </w:rPr>
        <w:t>                                                2022年6月20日</w:t>
      </w:r>
    </w:p>
    <w:p>
      <w:pPr>
        <w:pStyle w:val="3"/>
        <w:spacing w:line="560" w:lineRule="exact"/>
        <w:jc w:val="center"/>
        <w:rPr>
          <w:rFonts w:asciiTheme="majorEastAsia" w:hAnsiTheme="majorEastAsia" w:cstheme="majorEastAsia"/>
          <w:spacing w:val="-20"/>
          <w:sz w:val="44"/>
        </w:rPr>
      </w:pPr>
      <w:bookmarkStart w:id="56" w:name="_Toc1877"/>
      <w:r>
        <w:rPr>
          <w:rFonts w:hint="eastAsia" w:asciiTheme="majorEastAsia" w:hAnsiTheme="majorEastAsia" w:cstheme="majorEastAsia"/>
          <w:spacing w:val="-20"/>
          <w:sz w:val="44"/>
        </w:rPr>
        <w:t>二十二、典当行相关法规、规章及政策</w:t>
      </w:r>
      <w:bookmarkEnd w:id="56"/>
    </w:p>
    <w:p>
      <w:pPr>
        <w:widowControl/>
        <w:jc w:val="center"/>
        <w:rPr>
          <w:rFonts w:hint="eastAsia" w:ascii="方正小标宋_GBK" w:hAnsi="方正小标宋_GBK" w:eastAsia="方正小标宋_GBK" w:cs="方正小标宋_GBK"/>
          <w:color w:val="000000"/>
          <w:kern w:val="0"/>
          <w:sz w:val="39"/>
          <w:szCs w:val="39"/>
        </w:rPr>
      </w:pPr>
      <w:r>
        <w:rPr>
          <w:rFonts w:hint="eastAsia" w:ascii="方正小标宋_GBK" w:hAnsi="方正小标宋_GBK" w:eastAsia="方正小标宋_GBK" w:cs="方正小标宋_GBK"/>
          <w:color w:val="000000"/>
          <w:kern w:val="0"/>
          <w:sz w:val="39"/>
          <w:szCs w:val="39"/>
        </w:rPr>
        <w:t>第一篇：河南省典当行设立审批工作指引</w:t>
      </w:r>
    </w:p>
    <w:p>
      <w:pPr>
        <w:keepNext/>
        <w:keepLines/>
        <w:spacing w:line="560" w:lineRule="exact"/>
        <w:ind w:firstLine="480" w:firstLineChars="200"/>
        <w:jc w:val="center"/>
        <w:rPr>
          <w:rStyle w:val="19"/>
          <w:rFonts w:hint="eastAsia" w:ascii="楷体" w:hAnsi="楷体" w:eastAsia="楷体" w:cs="楷体"/>
          <w:color w:val="000000"/>
          <w:sz w:val="24"/>
          <w:szCs w:val="24"/>
          <w:lang w:val="en-US" w:eastAsia="zh-CN"/>
        </w:rPr>
      </w:pPr>
      <w:r>
        <w:rPr>
          <w:rStyle w:val="19"/>
          <w:rFonts w:hint="eastAsia" w:ascii="楷体" w:hAnsi="楷体" w:eastAsia="楷体" w:cs="楷体"/>
          <w:color w:val="000000"/>
          <w:sz w:val="24"/>
          <w:szCs w:val="24"/>
          <w:lang w:eastAsia="zh-CN"/>
        </w:rPr>
        <w:t>河南省地方金融监督管理局文件</w:t>
      </w:r>
      <w:r>
        <w:rPr>
          <w:rStyle w:val="19"/>
          <w:rFonts w:hint="eastAsia" w:ascii="楷体" w:hAnsi="楷体" w:eastAsia="楷体" w:cs="楷体"/>
          <w:color w:val="000000"/>
          <w:sz w:val="24"/>
          <w:szCs w:val="24"/>
          <w:lang w:val="en-US" w:eastAsia="zh-CN"/>
        </w:rPr>
        <w:t xml:space="preserve"> </w:t>
      </w:r>
      <w:r>
        <w:rPr>
          <w:rStyle w:val="19"/>
          <w:rFonts w:hint="eastAsia" w:ascii="楷体" w:hAnsi="楷体" w:eastAsia="楷体" w:cs="楷体"/>
          <w:color w:val="000000"/>
          <w:sz w:val="24"/>
          <w:szCs w:val="24"/>
          <w:lang w:eastAsia="zh-CN"/>
        </w:rPr>
        <w:t>豫金发〔2020〕</w:t>
      </w:r>
      <w:r>
        <w:rPr>
          <w:rStyle w:val="19"/>
          <w:rFonts w:hint="eastAsia" w:ascii="楷体" w:hAnsi="楷体" w:eastAsia="楷体" w:cs="楷体"/>
          <w:color w:val="000000"/>
          <w:sz w:val="24"/>
          <w:szCs w:val="24"/>
          <w:lang w:val="en-US" w:eastAsia="zh-CN"/>
        </w:rPr>
        <w:t>3</w:t>
      </w:r>
      <w:r>
        <w:rPr>
          <w:rStyle w:val="19"/>
          <w:rFonts w:hint="eastAsia" w:ascii="楷体" w:hAnsi="楷体" w:eastAsia="楷体" w:cs="楷体"/>
          <w:color w:val="000000"/>
          <w:sz w:val="24"/>
          <w:szCs w:val="24"/>
          <w:lang w:eastAsia="zh-CN"/>
        </w:rPr>
        <w:t>号</w:t>
      </w:r>
      <w:r>
        <w:rPr>
          <w:rStyle w:val="19"/>
          <w:rFonts w:hint="eastAsia" w:ascii="楷体" w:hAnsi="楷体" w:eastAsia="楷体" w:cs="楷体"/>
          <w:color w:val="000000"/>
          <w:sz w:val="24"/>
          <w:szCs w:val="24"/>
          <w:lang w:val="en-US" w:eastAsia="zh-CN"/>
        </w:rPr>
        <w:t xml:space="preserve"> </w:t>
      </w:r>
    </w:p>
    <w:p>
      <w:pPr>
        <w:keepNext/>
        <w:keepLines/>
        <w:spacing w:line="560" w:lineRule="exact"/>
        <w:ind w:firstLine="480" w:firstLineChars="200"/>
        <w:jc w:val="center"/>
        <w:rPr>
          <w:rFonts w:hint="eastAsia" w:ascii="方正小标宋_GBK" w:hAnsi="方正小标宋_GBK" w:eastAsia="方正小标宋_GBK" w:cs="方正小标宋_GBK"/>
          <w:color w:val="000000"/>
          <w:kern w:val="0"/>
          <w:sz w:val="39"/>
          <w:szCs w:val="39"/>
        </w:rPr>
      </w:pPr>
      <w:r>
        <w:rPr>
          <w:rStyle w:val="19"/>
          <w:rFonts w:hint="eastAsia" w:ascii="楷体" w:hAnsi="楷体" w:eastAsia="楷体" w:cs="楷体"/>
          <w:color w:val="000000"/>
          <w:sz w:val="24"/>
          <w:szCs w:val="24"/>
        </w:rPr>
        <w:t>20</w:t>
      </w:r>
      <w:r>
        <w:rPr>
          <w:rStyle w:val="19"/>
          <w:rFonts w:hint="eastAsia" w:ascii="楷体" w:hAnsi="楷体" w:eastAsia="楷体" w:cs="楷体"/>
          <w:color w:val="000000"/>
          <w:sz w:val="24"/>
          <w:szCs w:val="24"/>
          <w:lang w:val="en-US" w:eastAsia="zh-CN"/>
        </w:rPr>
        <w:t>20</w:t>
      </w:r>
      <w:r>
        <w:rPr>
          <w:rStyle w:val="19"/>
          <w:rFonts w:hint="eastAsia" w:ascii="楷体" w:hAnsi="楷体" w:eastAsia="楷体" w:cs="楷体"/>
          <w:color w:val="000000"/>
          <w:sz w:val="24"/>
          <w:szCs w:val="24"/>
        </w:rPr>
        <w:t>年</w:t>
      </w:r>
      <w:r>
        <w:rPr>
          <w:rStyle w:val="19"/>
          <w:rFonts w:hint="eastAsia" w:ascii="楷体" w:hAnsi="楷体" w:eastAsia="楷体" w:cs="楷体"/>
          <w:color w:val="000000"/>
          <w:sz w:val="24"/>
          <w:szCs w:val="24"/>
          <w:lang w:val="en-US" w:eastAsia="zh-CN"/>
        </w:rPr>
        <w:t>1</w:t>
      </w:r>
      <w:r>
        <w:rPr>
          <w:rStyle w:val="19"/>
          <w:rFonts w:hint="eastAsia" w:ascii="楷体" w:hAnsi="楷体" w:eastAsia="楷体" w:cs="楷体"/>
          <w:color w:val="000000"/>
          <w:sz w:val="24"/>
          <w:szCs w:val="24"/>
        </w:rPr>
        <w:t>月</w:t>
      </w:r>
      <w:r>
        <w:rPr>
          <w:rStyle w:val="19"/>
          <w:rFonts w:hint="eastAsia" w:ascii="楷体" w:hAnsi="楷体" w:eastAsia="楷体" w:cs="楷体"/>
          <w:color w:val="000000"/>
          <w:sz w:val="24"/>
          <w:szCs w:val="24"/>
          <w:lang w:val="en-US" w:eastAsia="zh-CN"/>
        </w:rPr>
        <w:t>17</w:t>
      </w:r>
      <w:r>
        <w:rPr>
          <w:rStyle w:val="19"/>
          <w:rFonts w:hint="eastAsia" w:ascii="楷体" w:hAnsi="楷体" w:eastAsia="楷体" w:cs="楷体"/>
          <w:color w:val="000000"/>
          <w:sz w:val="24"/>
          <w:szCs w:val="24"/>
        </w:rPr>
        <w:t>日印发</w:t>
      </w:r>
    </w:p>
    <w:p>
      <w:pPr>
        <w:pStyle w:val="12"/>
        <w:widowControl/>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为贯彻落实党的十九届四中全会精神和国家和省委、省政府 “放管服”改革工作的决策部署,规范我省典当行审批工作,进 一步优化营商环境,根据 《典当管理办法》(商务部公安部令 2005年第8号) 《典当行业监管规定》 (商流通发 〔2012〕423 号)和我省典当行的有关管理规定,制定本指引。   </w:t>
      </w:r>
    </w:p>
    <w:p>
      <w:pPr>
        <w:pStyle w:val="12"/>
        <w:widowControl/>
        <w:shd w:val="clear" w:color="auto" w:fill="FFFFFF"/>
        <w:spacing w:before="0" w:beforeAutospacing="0" w:after="0" w:afterAutospacing="0" w:line="315" w:lineRule="atLeast"/>
        <w:ind w:firstLine="640" w:firstLineChars="200"/>
        <w:jc w:val="both"/>
        <w:textAlignment w:val="top"/>
        <w:rPr>
          <w:rFonts w:ascii="仿宋" w:hAnsi="仿宋" w:eastAsia="仿宋" w:cs="仿宋"/>
          <w:color w:val="000000"/>
          <w:sz w:val="31"/>
          <w:szCs w:val="31"/>
          <w:shd w:val="clear" w:color="auto" w:fill="FFFFFF"/>
        </w:rPr>
      </w:pPr>
      <w:r>
        <w:rPr>
          <w:rFonts w:hint="eastAsia" w:ascii="黑体" w:hAnsi="黑体" w:eastAsia="黑体" w:cs="黑体"/>
          <w:color w:val="000000"/>
          <w:sz w:val="32"/>
          <w:shd w:val="clear" w:color="auto" w:fill="FFFFFF"/>
        </w:rPr>
        <w:t>一、资格条件</w:t>
      </w:r>
    </w:p>
    <w:p>
      <w:pPr>
        <w:pStyle w:val="12"/>
        <w:widowControl/>
        <w:shd w:val="clear" w:color="auto" w:fill="FFFFFF"/>
        <w:spacing w:before="0" w:beforeAutospacing="0" w:after="0" w:afterAutospacing="0" w:line="315" w:lineRule="atLeast"/>
        <w:ind w:firstLine="645"/>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根据 《典当管理办法》第五条等有关规定,未取得 《典当经 营许可证》的任何经营性组织和机构不得经营或者变相经营典当 业务。申请 《典当经营许可证》的典当行,应当同时具备下列条件: </w:t>
      </w:r>
    </w:p>
    <w:p>
      <w:pPr>
        <w:pStyle w:val="12"/>
        <w:widowControl/>
        <w:shd w:val="clear" w:color="auto" w:fill="FFFFFF"/>
        <w:spacing w:before="0" w:beforeAutospacing="0" w:after="0" w:afterAutospacing="0" w:line="315" w:lineRule="atLeast"/>
        <w:ind w:firstLine="645"/>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(一)择优准入。属地监管部门要结合实际,对本地区典当 行进行统筹规划、合理布局,优先支持经营规范、实力雄厚、资 本充足、信用良好、具备持续盈利能力的法人企业发起设立典当 行。 </w:t>
      </w:r>
    </w:p>
    <w:p>
      <w:pPr>
        <w:pStyle w:val="12"/>
        <w:widowControl/>
        <w:shd w:val="clear" w:color="auto" w:fill="FFFFFF"/>
        <w:spacing w:before="0" w:beforeAutospacing="0" w:after="0" w:afterAutospacing="0" w:line="315" w:lineRule="atLeast"/>
        <w:ind w:firstLine="645"/>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(二)注册资本金。典当行入股资金为股东自有货币资金, 且一次性缴纳到位,不得以债务资金或者委托资金等非自有货币 资金或非货币资金入股。 在省辖市及其各区注册的典当行注册资本金不低于人民币 6000万元 (含),在县 (市)注册的典当行注册资本金不低于人 民币3000万元 (含)。 </w:t>
      </w:r>
    </w:p>
    <w:p>
      <w:pPr>
        <w:pStyle w:val="12"/>
        <w:widowControl/>
        <w:shd w:val="clear" w:color="auto" w:fill="FFFFFF"/>
        <w:spacing w:before="0" w:beforeAutospacing="0" w:after="0" w:afterAutospacing="0" w:line="315" w:lineRule="atLeast"/>
        <w:ind w:firstLine="645"/>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(三)股东资格。第一大股东 (主发起人)为法人股东,依 法设立满3年;社会声誉、诚信记录纳税信用和财务状况良好 (最近2个会计年度连续盈利;最近1年年末净资产不低于总资 产的30%,权益性投资余额不超过净资产的50%);以自有资金 入股;承诺3年内不转让所持股权,不将所持股权进行质押或设 立信托。</w:t>
      </w:r>
    </w:p>
    <w:p>
      <w:pPr>
        <w:pStyle w:val="12"/>
        <w:widowControl/>
        <w:shd w:val="clear" w:color="auto" w:fill="FFFFFF"/>
        <w:spacing w:before="0" w:beforeAutospacing="0" w:after="0" w:afterAutospacing="0" w:line="315" w:lineRule="atLeast"/>
        <w:ind w:firstLine="645"/>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(四)股东股权结构。应当有两个以上法人股东,法人股东 相对控股;法人股东合计持股比例占全部股份1/2以上,第一大 股东持股比例占全部股份40%以上;单个自然人不能成为控股 股东。法人股东的自然人股东不能作为自然人投资同一家典当 行。 </w:t>
      </w:r>
    </w:p>
    <w:p>
      <w:pPr>
        <w:pStyle w:val="12"/>
        <w:widowControl/>
        <w:shd w:val="clear" w:color="auto" w:fill="FFFFFF"/>
        <w:spacing w:before="0" w:beforeAutospacing="0" w:after="0" w:afterAutospacing="0" w:line="315" w:lineRule="atLeast"/>
        <w:ind w:firstLine="645"/>
        <w:jc w:val="both"/>
        <w:textAlignment w:val="top"/>
        <w:rPr>
          <w:rFonts w:ascii="仿宋" w:hAnsi="仿宋" w:eastAsia="仿宋" w:cs="仿宋"/>
          <w:color w:val="000000"/>
          <w:sz w:val="31"/>
          <w:szCs w:val="31"/>
          <w:shd w:val="clear" w:color="auto" w:fill="FFFFFF"/>
        </w:rPr>
      </w:pPr>
      <w:r>
        <w:rPr>
          <w:rFonts w:hint="eastAsia" w:ascii="黑体" w:hAnsi="黑体" w:eastAsia="黑体" w:cs="黑体"/>
          <w:color w:val="000000"/>
          <w:sz w:val="32"/>
          <w:shd w:val="clear" w:color="auto" w:fill="FFFFFF"/>
        </w:rPr>
        <w:t>二、申请材料</w:t>
      </w:r>
    </w:p>
    <w:p>
      <w:pPr>
        <w:pStyle w:val="12"/>
        <w:widowControl/>
        <w:shd w:val="clear" w:color="auto" w:fill="FFFFFF"/>
        <w:spacing w:before="0" w:beforeAutospacing="0" w:after="0" w:afterAutospacing="0" w:line="315" w:lineRule="atLeast"/>
        <w:ind w:firstLine="645"/>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(一)《河南省典当行基本情况表》(原件1份)。 </w:t>
      </w:r>
    </w:p>
    <w:p>
      <w:pPr>
        <w:pStyle w:val="12"/>
        <w:widowControl/>
        <w:shd w:val="clear" w:color="auto" w:fill="FFFFFF"/>
        <w:spacing w:before="0" w:beforeAutospacing="0" w:after="0" w:afterAutospacing="0" w:line="315" w:lineRule="atLeast"/>
        <w:ind w:firstLine="645"/>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(二)典当行的可行性研究报告 (原件1份)。 </w:t>
      </w:r>
    </w:p>
    <w:p>
      <w:pPr>
        <w:pStyle w:val="12"/>
        <w:widowControl/>
        <w:shd w:val="clear" w:color="auto" w:fill="FFFFFF"/>
        <w:spacing w:before="0" w:beforeAutospacing="0" w:after="0" w:afterAutospacing="0" w:line="315" w:lineRule="atLeast"/>
        <w:ind w:firstLine="645"/>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(三)典当行在媒体 (当地主流报纸)刊登的基本情况和合 规经营承诺的公告 (原件1份)。 </w:t>
      </w:r>
    </w:p>
    <w:p>
      <w:pPr>
        <w:pStyle w:val="12"/>
        <w:widowControl/>
        <w:shd w:val="clear" w:color="auto" w:fill="FFFFFF"/>
        <w:spacing w:before="0" w:beforeAutospacing="0" w:after="0" w:afterAutospacing="0" w:line="315" w:lineRule="atLeast"/>
        <w:ind w:firstLine="645"/>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(四)典当行的股东会、董事会 (设董事会时提供)和监事 会 (设监事会时提供)的决议 (原件1份)。 </w:t>
      </w:r>
    </w:p>
    <w:p>
      <w:pPr>
        <w:pStyle w:val="12"/>
        <w:widowControl/>
        <w:shd w:val="clear" w:color="auto" w:fill="FFFFFF"/>
        <w:spacing w:before="0" w:beforeAutospacing="0" w:after="0" w:afterAutospacing="0" w:line="315" w:lineRule="atLeast"/>
        <w:ind w:firstLine="645"/>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(五)典当行章程 (原件1份)。 </w:t>
      </w:r>
    </w:p>
    <w:p>
      <w:pPr>
        <w:pStyle w:val="12"/>
        <w:widowControl/>
        <w:shd w:val="clear" w:color="auto" w:fill="FFFFFF"/>
        <w:spacing w:before="0" w:beforeAutospacing="0" w:after="0" w:afterAutospacing="0" w:line="315" w:lineRule="atLeast"/>
        <w:ind w:firstLine="645"/>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(六)典当行的验资报告 (原件1份)。</w:t>
      </w:r>
    </w:p>
    <w:p>
      <w:pPr>
        <w:pStyle w:val="12"/>
        <w:widowControl/>
        <w:shd w:val="clear" w:color="auto" w:fill="FFFFFF"/>
        <w:spacing w:before="0" w:beforeAutospacing="0" w:after="0" w:afterAutospacing="0" w:line="315" w:lineRule="atLeast"/>
        <w:ind w:firstLine="645"/>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(七)典当行的股东提交以下资料:法人股东近3年 (不足3 年,按实际提供)的审计报告 (复印件1份),人民银行的信用 报告 (原件1份),法人股东加盖公章;自然人股东 《资金来源 说明》(原件1份),个人信用记录 (原件1份),签字和按指印; 《出资承诺书》 (原件1份),法人股东加盖公章、自然人股东签 字和按指印。 </w:t>
      </w:r>
    </w:p>
    <w:p>
      <w:pPr>
        <w:pStyle w:val="12"/>
        <w:widowControl/>
        <w:shd w:val="clear" w:color="auto" w:fill="FFFFFF"/>
        <w:spacing w:before="0" w:beforeAutospacing="0" w:after="0" w:afterAutospacing="0" w:line="315" w:lineRule="atLeast"/>
        <w:ind w:firstLine="645"/>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(八)典当行 《董事、监事、高级管理人员基本情况表》(原 件1份),个人信用记录报告 (原件1份),任职人签字和按指 印。 </w:t>
      </w:r>
    </w:p>
    <w:p>
      <w:pPr>
        <w:pStyle w:val="12"/>
        <w:widowControl/>
        <w:shd w:val="clear" w:color="auto" w:fill="FFFFFF"/>
        <w:spacing w:before="0" w:beforeAutospacing="0" w:after="0" w:afterAutospacing="0" w:line="315" w:lineRule="atLeast"/>
        <w:ind w:firstLine="645"/>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(九)典当行营业场所符合国家有关安全标准和消防管理规 定的有关材料 (复印件1份)。 </w:t>
      </w:r>
    </w:p>
    <w:p>
      <w:pPr>
        <w:pStyle w:val="12"/>
        <w:widowControl/>
        <w:shd w:val="clear" w:color="auto" w:fill="FFFFFF"/>
        <w:spacing w:before="0" w:beforeAutospacing="0" w:after="0" w:afterAutospacing="0" w:line="315" w:lineRule="atLeast"/>
        <w:ind w:firstLine="645"/>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(十)典当行制度:信息披露制度,内部控制制度,突发事 件应急预案、业务规范和风险控制等内部管理制度,收当、续 当、赎当查验证件 (照)、可疑情况报告制度,以及当物查验、 保管制度,通缉协查核对制度等安全制度 (原件各1份)。 </w:t>
      </w:r>
    </w:p>
    <w:p>
      <w:pPr>
        <w:pStyle w:val="12"/>
        <w:widowControl/>
        <w:shd w:val="clear" w:color="auto" w:fill="FFFFFF"/>
        <w:spacing w:before="0" w:beforeAutospacing="0" w:after="0" w:afterAutospacing="0" w:line="315" w:lineRule="atLeast"/>
        <w:ind w:firstLine="645"/>
        <w:jc w:val="both"/>
        <w:textAlignment w:val="top"/>
        <w:rPr>
          <w:rFonts w:ascii="黑体" w:hAnsi="黑体" w:eastAsia="黑体" w:cs="黑体"/>
          <w:color w:val="000000"/>
          <w:sz w:val="31"/>
          <w:szCs w:val="31"/>
          <w:shd w:val="clear" w:color="auto" w:fill="FFFFFF"/>
        </w:rPr>
      </w:pPr>
      <w:r>
        <w:rPr>
          <w:rFonts w:hint="eastAsia" w:ascii="黑体" w:hAnsi="黑体" w:eastAsia="黑体" w:cs="黑体"/>
          <w:color w:val="000000"/>
          <w:sz w:val="31"/>
          <w:szCs w:val="31"/>
          <w:shd w:val="clear" w:color="auto" w:fill="FFFFFF"/>
        </w:rPr>
        <w:t xml:space="preserve">三、审查要点 </w:t>
      </w:r>
    </w:p>
    <w:p>
      <w:pPr>
        <w:pStyle w:val="12"/>
        <w:widowControl/>
        <w:shd w:val="clear" w:color="auto" w:fill="FFFFFF"/>
        <w:spacing w:before="0" w:beforeAutospacing="0" w:after="0" w:afterAutospacing="0" w:line="315" w:lineRule="atLeast"/>
        <w:ind w:firstLine="645"/>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(一)资格条件审查。应结合 《河南省典当行基本情况表》 以及本地区对典当行统筹规划、合理布局等要求,对典当行的有 关资格条件进行调查核实,可借助律师事务所、会计师事务所等 第三方机构的力量,采取材料审查、现场勘察和面签约谈等审核 方式把好初审关。 </w:t>
      </w:r>
    </w:p>
    <w:p>
      <w:pPr>
        <w:pStyle w:val="12"/>
        <w:widowControl/>
        <w:shd w:val="clear" w:color="auto" w:fill="FFFFFF"/>
        <w:spacing w:before="0" w:beforeAutospacing="0" w:after="0" w:afterAutospacing="0" w:line="315" w:lineRule="atLeast"/>
        <w:ind w:firstLine="645"/>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(二)股东和高管面签约谈。要对典当行股东、董事、监事 </w:t>
      </w:r>
    </w:p>
    <w:p>
      <w:pPr>
        <w:pStyle w:val="12"/>
        <w:widowControl/>
        <w:shd w:val="clear" w:color="auto" w:fill="FFFFFF"/>
        <w:spacing w:before="0" w:beforeAutospacing="0" w:after="0" w:afterAutospacing="0" w:line="315" w:lineRule="atLeast"/>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和高级管理人员进行监管谈话,告知其从事典当业务的禁止性规 定。可通过信用 (中国)或国家企业信用信息公示系统等查询股 东的信用信息,或直接向公安、市场监管、税务和打击和处置非 法集资领导小组办公室等有关部门,以发函等方式了解股东信 誉、纳税记录和涉嫌非法集资风险等情况,做出初步的客观评 价;可通过对典当业务相关的法律、法规、规章和规范性文件进 行测试或监管谈话等方式,对董事、监事和高级管理人员的从业 经验和管理能力做出初步的客观评价。监管约谈时,须现场核验 被约谈人的身份证信息。 </w:t>
      </w:r>
    </w:p>
    <w:p>
      <w:pPr>
        <w:pStyle w:val="12"/>
        <w:widowControl/>
        <w:numPr>
          <w:ilvl w:val="0"/>
          <w:numId w:val="2"/>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公司住所审查。应实地到公司的住所进行现场勘查, 典当行应签署消防安全承诺书,确保典当行住所符合 《典当管理 办法》相关规定。安全防范措施 (图)的审核要求:1. 经营场 所内设置录像设备 (录像资料至少保存60天以上);2. 营业柜 台防护设施、典当物品保管库房、保险箱 (柜、库)、报警装置、 防护设施、必要的消防设施及器材需用不同图标标注清楚;3. 图示符合比例;4. 安全设施分布图应包括下列各图:①营业场 所平面图②消防设施分布图③监控消防点位图④经营场所区位示 意图。说明:典当行的安全防范设施在未审批前不需要实物到 位,但要根据上述要求制定安全防范设施规划方案。按照 《典当 管理办法》第16条5、6、7款要求,提供经营场所及保管库房 平面图、建筑结构图;录像设备、防护设施、保险箱 (柜、库) 及消防设施安装、设置位置分布图。    </w:t>
      </w:r>
    </w:p>
    <w:p>
      <w:pPr>
        <w:pStyle w:val="12"/>
        <w:widowControl/>
        <w:shd w:val="clear" w:color="auto" w:fill="FFFFFF"/>
        <w:spacing w:before="0" w:beforeAutospacing="0" w:after="0" w:afterAutospacing="0" w:line="315" w:lineRule="atLeast"/>
        <w:ind w:left="63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（四）报纸公告审查。公告内容至少包括:典当行名称、股 东、住所、注册资本金、法定代表人,承诺申报材料真实合法、 依法合规经营,并承担相应法律责任。 </w:t>
      </w:r>
    </w:p>
    <w:p>
      <w:pPr>
        <w:pStyle w:val="12"/>
        <w:widowControl/>
        <w:numPr>
          <w:ilvl w:val="0"/>
          <w:numId w:val="9"/>
        </w:numPr>
        <w:shd w:val="clear" w:color="auto" w:fill="FFFFFF"/>
        <w:spacing w:before="0" w:beforeAutospacing="0" w:after="0" w:afterAutospacing="0" w:line="315" w:lineRule="atLeast"/>
        <w:ind w:firstLine="64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可行性研究报告审查。可行性研究报告内容至少包括: 设立的可行性和必要性、市场前景分析、经营发展战略和规划等 相关内容,可行性研究报告要有明确的结论性意见。 </w:t>
      </w:r>
    </w:p>
    <w:p>
      <w:pPr>
        <w:pStyle w:val="12"/>
        <w:widowControl/>
        <w:numPr>
          <w:ilvl w:val="0"/>
          <w:numId w:val="9"/>
        </w:numPr>
        <w:shd w:val="clear" w:color="auto" w:fill="FFFFFF"/>
        <w:spacing w:before="0" w:beforeAutospacing="0" w:after="0" w:afterAutospacing="0" w:line="315" w:lineRule="atLeast"/>
        <w:ind w:firstLine="64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有关决议审查。设董事会或监事会时,相关决议和流 程符合 《公司法》要求。股东会选取董事和监事,董事会和监事 会选举相应董事长和监事长,董事或监事的人数与公司章程明确 的人数一致。股东会决议须参会的法人股东盖章、自然人股东签 字和按指印,董事会或监事会决议须参会人员签字。 </w:t>
      </w:r>
    </w:p>
    <w:p>
      <w:pPr>
        <w:pStyle w:val="12"/>
        <w:widowControl/>
        <w:numPr>
          <w:ilvl w:val="0"/>
          <w:numId w:val="9"/>
        </w:numPr>
        <w:shd w:val="clear" w:color="auto" w:fill="FFFFFF"/>
        <w:spacing w:before="0" w:beforeAutospacing="0" w:after="0" w:afterAutospacing="0" w:line="315" w:lineRule="atLeast"/>
        <w:ind w:firstLine="64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公司章程审查。应符合 《公司法》要求,还要列明典 当行业的特殊规定和禁止性条款,国有企业要把党建工作要求写 入国有企业公司章程,典当行的法人股东盖章、自然人股东签 字。 </w:t>
      </w:r>
    </w:p>
    <w:p>
      <w:pPr>
        <w:pStyle w:val="12"/>
        <w:widowControl/>
        <w:numPr>
          <w:ilvl w:val="0"/>
          <w:numId w:val="9"/>
        </w:numPr>
        <w:shd w:val="clear" w:color="auto" w:fill="FFFFFF"/>
        <w:spacing w:before="0" w:beforeAutospacing="0" w:after="0" w:afterAutospacing="0" w:line="315" w:lineRule="atLeast"/>
        <w:ind w:firstLine="64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验资报告审查。验资报告在90日内,带验证码或防伪 标识,可登录河南省注册会计师网等有关官方网站查询或者贴有 会计师事务所的审验标识;验资报告要有2名注册会计师签章, 其提供的证书应在有效期内,必要时可以登录河南省注册会计师 网查询会计师事务所和注会人员的信息现状;每页加盖会计师事 务所公章并加盖骑缝章;验资报告中的股东名称、出资金额、股 权比例等与典当行的股东会决议、章程中的有关股东信息必须 致;附银行询证函和对账单、注册会计师证复印件,会计师事务 所营业执照副本复印件。 </w:t>
      </w:r>
    </w:p>
    <w:p>
      <w:pPr>
        <w:pStyle w:val="12"/>
        <w:widowControl/>
        <w:numPr>
          <w:ilvl w:val="0"/>
          <w:numId w:val="9"/>
        </w:numPr>
        <w:shd w:val="clear" w:color="auto" w:fill="FFFFFF"/>
        <w:spacing w:before="0" w:beforeAutospacing="0" w:after="0" w:afterAutospacing="0" w:line="315" w:lineRule="atLeast"/>
        <w:ind w:firstLine="64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法人股东审查。股东资格是否符合 《典当行业监管规 定》第十六条的规定;审计报告的审查可参考验资报告的审查要 点;审查应付账款、短期借款或长期借款等往来科目,合理确定 资金来源,保证入股资金来源合法;审计报告应包括资产负债 表、损益表或利润表、现金流量表和报表附注说明等;审计报告 中的流动货币资金须超过拟出资额 (不含抵押、存货、担保类等 资产)或投资设立典当行的资金已体现在 “资产负债表”股权投 资科目;有对外投资的法人股东企业,应承诺如实申报长期股权 投资。 </w:t>
      </w:r>
    </w:p>
    <w:p>
      <w:pPr>
        <w:pStyle w:val="12"/>
        <w:widowControl/>
        <w:numPr>
          <w:ilvl w:val="0"/>
          <w:numId w:val="9"/>
        </w:numPr>
        <w:shd w:val="clear" w:color="auto" w:fill="FFFFFF"/>
        <w:spacing w:before="0" w:beforeAutospacing="0" w:after="0" w:afterAutospacing="0" w:line="315" w:lineRule="atLeast"/>
        <w:ind w:firstLine="64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自然人股东审查。重点审查,股东资格是否符合 《典 当行业监管规定》第十六条的有关规定;自然人股东资金来源说 明,合理确定资金来源,保证入股资金来源合法,不以他人资金 入股。若入股资金主要来源于股权投资或兴办的经济实体,可登 陆信用 (中国)或国家企业信用信息公示系统等查证有关经济实 体情况;若来源其他的,可在监管约谈或面签时了解判断。 </w:t>
      </w:r>
    </w:p>
    <w:p>
      <w:pPr>
        <w:pStyle w:val="12"/>
        <w:widowControl/>
        <w:numPr>
          <w:ilvl w:val="0"/>
          <w:numId w:val="9"/>
        </w:numPr>
        <w:shd w:val="clear" w:color="auto" w:fill="FFFFFF"/>
        <w:spacing w:before="0" w:beforeAutospacing="0" w:after="0" w:afterAutospacing="0" w:line="315" w:lineRule="atLeast"/>
        <w:ind w:firstLine="64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从业人员审查。可结合 《董事、监事、高级管理人 员基本情况表》进行审查。高级管理人员包括法定代表人、总经 理、副总经理、鉴定评估人员、财务负责人等。其中,财务负责 人要有相应的中级会计证书或等同证书,在监管约谈或面签时负 责查看董事、监事和高级管理人员的身份证原件和相关证书。</w:t>
      </w:r>
    </w:p>
    <w:p>
      <w:pPr>
        <w:pStyle w:val="12"/>
        <w:widowControl/>
        <w:numPr>
          <w:ilvl w:val="0"/>
          <w:numId w:val="9"/>
        </w:numPr>
        <w:shd w:val="clear" w:color="auto" w:fill="FFFFFF"/>
        <w:spacing w:before="0" w:beforeAutospacing="0" w:after="0" w:afterAutospacing="0" w:line="315" w:lineRule="atLeast"/>
        <w:ind w:firstLine="64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公司制度审查。审核新设典当行是否制定了相关安 全制度。</w:t>
      </w:r>
    </w:p>
    <w:p>
      <w:pPr>
        <w:pStyle w:val="12"/>
        <w:widowControl/>
        <w:shd w:val="clear" w:color="auto" w:fill="FFFFFF"/>
        <w:spacing w:before="0" w:beforeAutospacing="0" w:after="0" w:afterAutospacing="0" w:line="315" w:lineRule="atLeast"/>
        <w:ind w:left="420" w:leftChars="200"/>
        <w:jc w:val="both"/>
        <w:textAlignment w:val="top"/>
        <w:rPr>
          <w:rFonts w:ascii="黑体" w:hAnsi="黑体" w:eastAsia="黑体" w:cs="黑体"/>
          <w:color w:val="000000"/>
          <w:sz w:val="31"/>
          <w:szCs w:val="31"/>
          <w:shd w:val="clear" w:color="auto" w:fill="FFFFFF"/>
        </w:rPr>
      </w:pPr>
      <w:r>
        <w:rPr>
          <w:rFonts w:hint="eastAsia" w:ascii="黑体" w:hAnsi="黑体" w:eastAsia="黑体" w:cs="黑体"/>
          <w:color w:val="000000"/>
          <w:sz w:val="31"/>
          <w:szCs w:val="31"/>
          <w:shd w:val="clear" w:color="auto" w:fill="FFFFFF"/>
        </w:rPr>
        <w:t xml:space="preserve">四、典当行分支机构申请条件 </w:t>
      </w:r>
    </w:p>
    <w:p>
      <w:pPr>
        <w:pStyle w:val="12"/>
        <w:widowControl/>
        <w:numPr>
          <w:ilvl w:val="0"/>
          <w:numId w:val="12"/>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总公司注册资本金不低于6000万元人民币,经营典当 业务3年以上、无重大违法违规记录 (年审评价 A 级),最近2 个会计年度连续盈利。 </w:t>
      </w:r>
    </w:p>
    <w:p>
      <w:pPr>
        <w:pStyle w:val="12"/>
        <w:widowControl/>
        <w:numPr>
          <w:ilvl w:val="0"/>
          <w:numId w:val="12"/>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总公司注入分支机构的运营资金总额最高不超过总公 司注册资本金的50%。其中,子公司注册资本金为实缴货币资 本,且一次性缴纳到位,不得低于2000万人民币。 </w:t>
      </w:r>
    </w:p>
    <w:p>
      <w:pPr>
        <w:pStyle w:val="12"/>
        <w:widowControl/>
        <w:numPr>
          <w:ilvl w:val="0"/>
          <w:numId w:val="12"/>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分支机构住所应当制定 《典当管理办法》第九条规定 的安全制度,具备第十条规定的安全防范设施。 </w:t>
      </w:r>
    </w:p>
    <w:p>
      <w:pPr>
        <w:pStyle w:val="12"/>
        <w:widowControl/>
        <w:shd w:val="clear" w:color="auto" w:fill="FFFFFF"/>
        <w:spacing w:before="0" w:beforeAutospacing="0" w:after="0" w:afterAutospacing="0" w:line="315" w:lineRule="atLeast"/>
        <w:ind w:left="420" w:leftChars="200"/>
        <w:jc w:val="both"/>
        <w:textAlignment w:val="top"/>
        <w:rPr>
          <w:rFonts w:ascii="黑体" w:hAnsi="黑体" w:eastAsia="黑体" w:cs="黑体"/>
          <w:color w:val="000000"/>
          <w:sz w:val="31"/>
          <w:szCs w:val="31"/>
          <w:shd w:val="clear" w:color="auto" w:fill="FFFFFF"/>
        </w:rPr>
      </w:pPr>
      <w:r>
        <w:rPr>
          <w:rFonts w:hint="eastAsia" w:ascii="黑体" w:hAnsi="黑体" w:eastAsia="黑体" w:cs="黑体"/>
          <w:color w:val="000000"/>
          <w:sz w:val="31"/>
          <w:szCs w:val="31"/>
          <w:shd w:val="clear" w:color="auto" w:fill="FFFFFF"/>
        </w:rPr>
        <w:t xml:space="preserve">五、典当行分支机构申请材料 </w:t>
      </w:r>
    </w:p>
    <w:p>
      <w:pPr>
        <w:pStyle w:val="12"/>
        <w:widowControl/>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设立子公司应参照典当行设立的要求提交相关材料。设立分 公司需要提交以下材料: </w:t>
      </w:r>
    </w:p>
    <w:p>
      <w:pPr>
        <w:pStyle w:val="12"/>
        <w:widowControl/>
        <w:numPr>
          <w:ilvl w:val="0"/>
          <w:numId w:val="13"/>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总公司关于设立分公司的申请 (原件1份)。设立分支 机构的申请 (应当载明拟设立分支机构的名称、住所、负责人、 营运资金数额、可行性分析等)。 </w:t>
      </w:r>
    </w:p>
    <w:p>
      <w:pPr>
        <w:pStyle w:val="12"/>
        <w:widowControl/>
        <w:numPr>
          <w:ilvl w:val="0"/>
          <w:numId w:val="13"/>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总公司股东会或董事会决议 (原件1份)。</w:t>
      </w:r>
    </w:p>
    <w:p>
      <w:pPr>
        <w:pStyle w:val="12"/>
        <w:widowControl/>
        <w:numPr>
          <w:ilvl w:val="0"/>
          <w:numId w:val="13"/>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总公司最近2年的财务会计报告 (原件1份)。 </w:t>
      </w:r>
    </w:p>
    <w:p>
      <w:pPr>
        <w:pStyle w:val="12"/>
        <w:widowControl/>
        <w:numPr>
          <w:ilvl w:val="0"/>
          <w:numId w:val="13"/>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拟任分支机构负责人的简历 (原件1份)。 </w:t>
      </w:r>
    </w:p>
    <w:p>
      <w:pPr>
        <w:pStyle w:val="12"/>
        <w:widowControl/>
        <w:numPr>
          <w:ilvl w:val="0"/>
          <w:numId w:val="13"/>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符合要求的营业场所的所有权或者使用权的有效文件 (复印件1份)。 </w:t>
      </w:r>
    </w:p>
    <w:p>
      <w:pPr>
        <w:pStyle w:val="12"/>
        <w:widowControl/>
        <w:numPr>
          <w:ilvl w:val="0"/>
          <w:numId w:val="13"/>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分公司在当地主流报纸刊登的基本情况、材料真实性 承诺和合规经营承诺情况的公告 (原件1份)。 </w:t>
      </w:r>
    </w:p>
    <w:p>
      <w:pPr>
        <w:pStyle w:val="12"/>
        <w:widowControl/>
        <w:shd w:val="clear" w:color="auto" w:fill="FFFFFF"/>
        <w:spacing w:before="0" w:beforeAutospacing="0" w:after="0" w:afterAutospacing="0" w:line="315" w:lineRule="atLeast"/>
        <w:ind w:left="420" w:leftChars="200" w:firstLine="310" w:firstLineChars="100"/>
        <w:jc w:val="both"/>
        <w:textAlignment w:val="top"/>
        <w:rPr>
          <w:rFonts w:ascii="黑体" w:hAnsi="黑体" w:eastAsia="黑体" w:cs="黑体"/>
          <w:color w:val="000000"/>
          <w:sz w:val="31"/>
          <w:szCs w:val="31"/>
          <w:shd w:val="clear" w:color="auto" w:fill="FFFFFF"/>
        </w:rPr>
      </w:pPr>
      <w:r>
        <w:rPr>
          <w:rFonts w:hint="eastAsia" w:ascii="黑体" w:hAnsi="黑体" w:eastAsia="黑体" w:cs="黑体"/>
          <w:color w:val="000000"/>
          <w:sz w:val="31"/>
          <w:szCs w:val="31"/>
          <w:shd w:val="clear" w:color="auto" w:fill="FFFFFF"/>
        </w:rPr>
        <w:t xml:space="preserve">六、申请流程 </w:t>
      </w:r>
    </w:p>
    <w:p>
      <w:pPr>
        <w:pStyle w:val="12"/>
        <w:widowControl/>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(一)申请。申请人应按照材料清单准备相关材料,向属地 监管部门提交设立典当行及分支机构的申请文件和申报材料。提 交的材料为复印件的,申请人应在复印件上签署 “经核对与原件 无误”的字样,并签署姓名和日期。 </w:t>
      </w:r>
    </w:p>
    <w:p>
      <w:pPr>
        <w:pStyle w:val="12"/>
        <w:widowControl/>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(二)核实。属地监管部门按照 《典当行业监管规定》第十 六、十七条的规定,对照本指引的审查要点,指导申请人完善设 立申请文件和申报材料,对申请人的实际情况和拟设典当行的场 所等进行核实。申请材料齐全并符合法定形式后,向省辖市金融 局 (以下包括济源示范区金融局)提交设立相关材料。 调查核实应书面告知申请人需要核实的事项、理由及时间。 需要补正或说明情况的,应一次性告知需要补正的清单,并要求 申请人限期完善;需要现场核查或面签约谈的,可组织律师事务 所、会计师事务所等第三方机构参与核查;需要询证函查的,可 向有关部门函证确认;需要公开的,应将审查结果通过监管部门 官方网站进行公示。 </w:t>
      </w:r>
    </w:p>
    <w:p>
      <w:pPr>
        <w:pStyle w:val="12"/>
        <w:widowControl/>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(三)初审。省辖市金融局对设立申请文件和申报材料进行 完整性、合规性审查。申请材料齐全、符合法定形式且公示无异 议后,向省地方金融监管局提交设立请示、《设立典当行推荐表》 和申请材料。  </w:t>
      </w:r>
    </w:p>
    <w:p>
      <w:pPr>
        <w:pStyle w:val="12"/>
        <w:widowControl/>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(四)决定。省地方金融监管局受理省辖市金融局提交的有 关材料,对材料进行完整性、合规性审查,研究同意的在官方网 站进行公示。公示无异议的,报国家银保监会备案,通过全国典 当行业监督管理系统打印《典当经营许可证》正副本,申请全国 典当行业监督管理信息系统秘钥。不予批准的,书面告知申请 人。 </w:t>
      </w:r>
    </w:p>
    <w:p>
      <w:pPr>
        <w:pStyle w:val="12"/>
        <w:widowControl/>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(五)送达。省地方金融监管局将准予同意设立的批复、《典 当经营许可证》正副本和全国典当行业监督管理信息系统秘钥, 通过邮寄或自行领取等方式送达省辖市金融局或申请人。</w:t>
      </w:r>
    </w:p>
    <w:p>
      <w:pPr>
        <w:pStyle w:val="12"/>
        <w:widowControl/>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p>
    <w:p>
      <w:pPr>
        <w:pStyle w:val="12"/>
        <w:widowControl/>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p>
    <w:p>
      <w:pPr>
        <w:pStyle w:val="12"/>
        <w:widowControl/>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p>
    <w:p>
      <w:pPr>
        <w:pStyle w:val="12"/>
        <w:widowControl/>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p>
    <w:p>
      <w:pPr>
        <w:pStyle w:val="12"/>
        <w:widowControl/>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p>
    <w:p>
      <w:pPr>
        <w:pStyle w:val="12"/>
        <w:widowControl/>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p>
    <w:p>
      <w:pPr>
        <w:pStyle w:val="12"/>
        <w:widowControl/>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p>
    <w:p>
      <w:pPr>
        <w:pStyle w:val="12"/>
        <w:widowControl/>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p>
    <w:p>
      <w:pPr>
        <w:pStyle w:val="12"/>
        <w:widowControl/>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p>
    <w:p>
      <w:pPr>
        <w:pStyle w:val="12"/>
        <w:widowControl/>
        <w:numPr>
          <w:ilvl w:val="0"/>
          <w:numId w:val="14"/>
        </w:numPr>
        <w:shd w:val="clear" w:color="auto" w:fill="FFFFFF"/>
        <w:spacing w:before="0" w:beforeAutospacing="0" w:after="0" w:afterAutospacing="0" w:line="315" w:lineRule="atLeast"/>
        <w:ind w:firstLine="780" w:firstLineChars="200"/>
        <w:jc w:val="center"/>
        <w:textAlignment w:val="top"/>
        <w:rPr>
          <w:rFonts w:hint="eastAsia" w:ascii="方正小标宋_GBK" w:hAnsi="方正小标宋_GBK" w:eastAsia="方正小标宋_GBK" w:cs="方正小标宋_GBK"/>
          <w:color w:val="000000"/>
          <w:sz w:val="39"/>
          <w:szCs w:val="39"/>
        </w:rPr>
      </w:pPr>
      <w:r>
        <w:rPr>
          <w:rFonts w:hint="eastAsia" w:ascii="方正小标宋_GBK" w:hAnsi="方正小标宋_GBK" w:eastAsia="方正小标宋_GBK" w:cs="方正小标宋_GBK"/>
          <w:color w:val="000000"/>
          <w:sz w:val="39"/>
          <w:szCs w:val="39"/>
        </w:rPr>
        <w:t>河南省典当行变更备案换证审批工作指引</w:t>
      </w:r>
    </w:p>
    <w:p>
      <w:pPr>
        <w:keepNext/>
        <w:keepLines/>
        <w:spacing w:line="560" w:lineRule="exact"/>
        <w:ind w:firstLine="480" w:firstLineChars="200"/>
        <w:jc w:val="center"/>
        <w:rPr>
          <w:rStyle w:val="19"/>
          <w:rFonts w:hint="eastAsia" w:ascii="楷体" w:hAnsi="楷体" w:eastAsia="楷体" w:cs="楷体"/>
          <w:color w:val="000000"/>
          <w:sz w:val="24"/>
          <w:szCs w:val="24"/>
          <w:lang w:val="en-US" w:eastAsia="zh-CN"/>
        </w:rPr>
      </w:pPr>
      <w:r>
        <w:rPr>
          <w:rStyle w:val="19"/>
          <w:rFonts w:hint="eastAsia" w:ascii="楷体" w:hAnsi="楷体" w:eastAsia="楷体" w:cs="楷体"/>
          <w:color w:val="000000"/>
          <w:sz w:val="24"/>
          <w:szCs w:val="24"/>
          <w:lang w:eastAsia="zh-CN"/>
        </w:rPr>
        <w:t>河南省地方金融监督管理局文件</w:t>
      </w:r>
      <w:r>
        <w:rPr>
          <w:rStyle w:val="19"/>
          <w:rFonts w:hint="eastAsia" w:ascii="楷体" w:hAnsi="楷体" w:eastAsia="楷体" w:cs="楷体"/>
          <w:color w:val="000000"/>
          <w:sz w:val="24"/>
          <w:szCs w:val="24"/>
          <w:lang w:val="en-US" w:eastAsia="zh-CN"/>
        </w:rPr>
        <w:t xml:space="preserve"> </w:t>
      </w:r>
      <w:r>
        <w:rPr>
          <w:rStyle w:val="19"/>
          <w:rFonts w:hint="eastAsia" w:ascii="楷体" w:hAnsi="楷体" w:eastAsia="楷体" w:cs="楷体"/>
          <w:color w:val="000000"/>
          <w:sz w:val="24"/>
          <w:szCs w:val="24"/>
          <w:lang w:eastAsia="zh-CN"/>
        </w:rPr>
        <w:t>豫金发〔2020〕</w:t>
      </w:r>
      <w:r>
        <w:rPr>
          <w:rStyle w:val="19"/>
          <w:rFonts w:hint="eastAsia" w:ascii="楷体" w:hAnsi="楷体" w:eastAsia="楷体" w:cs="楷体"/>
          <w:color w:val="000000"/>
          <w:sz w:val="24"/>
          <w:szCs w:val="24"/>
          <w:lang w:val="en-US" w:eastAsia="zh-CN"/>
        </w:rPr>
        <w:t>3</w:t>
      </w:r>
      <w:r>
        <w:rPr>
          <w:rStyle w:val="19"/>
          <w:rFonts w:hint="eastAsia" w:ascii="楷体" w:hAnsi="楷体" w:eastAsia="楷体" w:cs="楷体"/>
          <w:color w:val="000000"/>
          <w:sz w:val="24"/>
          <w:szCs w:val="24"/>
          <w:lang w:eastAsia="zh-CN"/>
        </w:rPr>
        <w:t>号</w:t>
      </w:r>
      <w:r>
        <w:rPr>
          <w:rStyle w:val="19"/>
          <w:rFonts w:hint="eastAsia" w:ascii="楷体" w:hAnsi="楷体" w:eastAsia="楷体" w:cs="楷体"/>
          <w:color w:val="000000"/>
          <w:sz w:val="24"/>
          <w:szCs w:val="24"/>
          <w:lang w:val="en-US" w:eastAsia="zh-CN"/>
        </w:rPr>
        <w:t xml:space="preserve"> </w:t>
      </w:r>
    </w:p>
    <w:p>
      <w:pPr>
        <w:keepNext/>
        <w:keepLines/>
        <w:spacing w:line="560" w:lineRule="exact"/>
        <w:ind w:firstLine="480" w:firstLineChars="200"/>
        <w:jc w:val="center"/>
        <w:rPr>
          <w:rFonts w:hint="eastAsia" w:ascii="方正小标宋_GBK" w:hAnsi="方正小标宋_GBK" w:eastAsia="方正小标宋_GBK" w:cs="方正小标宋_GBK"/>
          <w:color w:val="000000"/>
          <w:sz w:val="39"/>
          <w:szCs w:val="39"/>
        </w:rPr>
      </w:pPr>
      <w:r>
        <w:rPr>
          <w:rStyle w:val="19"/>
          <w:rFonts w:hint="eastAsia" w:ascii="楷体" w:hAnsi="楷体" w:eastAsia="楷体" w:cs="楷体"/>
          <w:color w:val="000000"/>
          <w:sz w:val="24"/>
          <w:szCs w:val="24"/>
        </w:rPr>
        <w:t>20</w:t>
      </w:r>
      <w:r>
        <w:rPr>
          <w:rStyle w:val="19"/>
          <w:rFonts w:hint="eastAsia" w:ascii="楷体" w:hAnsi="楷体" w:eastAsia="楷体" w:cs="楷体"/>
          <w:color w:val="000000"/>
          <w:sz w:val="24"/>
          <w:szCs w:val="24"/>
          <w:lang w:val="en-US" w:eastAsia="zh-CN"/>
        </w:rPr>
        <w:t>20</w:t>
      </w:r>
      <w:r>
        <w:rPr>
          <w:rStyle w:val="19"/>
          <w:rFonts w:hint="eastAsia" w:ascii="楷体" w:hAnsi="楷体" w:eastAsia="楷体" w:cs="楷体"/>
          <w:color w:val="000000"/>
          <w:sz w:val="24"/>
          <w:szCs w:val="24"/>
        </w:rPr>
        <w:t>年</w:t>
      </w:r>
      <w:r>
        <w:rPr>
          <w:rStyle w:val="19"/>
          <w:rFonts w:hint="eastAsia" w:ascii="楷体" w:hAnsi="楷体" w:eastAsia="楷体" w:cs="楷体"/>
          <w:color w:val="000000"/>
          <w:sz w:val="24"/>
          <w:szCs w:val="24"/>
          <w:lang w:val="en-US" w:eastAsia="zh-CN"/>
        </w:rPr>
        <w:t>1</w:t>
      </w:r>
      <w:r>
        <w:rPr>
          <w:rStyle w:val="19"/>
          <w:rFonts w:hint="eastAsia" w:ascii="楷体" w:hAnsi="楷体" w:eastAsia="楷体" w:cs="楷体"/>
          <w:color w:val="000000"/>
          <w:sz w:val="24"/>
          <w:szCs w:val="24"/>
        </w:rPr>
        <w:t>月</w:t>
      </w:r>
      <w:r>
        <w:rPr>
          <w:rStyle w:val="19"/>
          <w:rFonts w:hint="eastAsia" w:ascii="楷体" w:hAnsi="楷体" w:eastAsia="楷体" w:cs="楷体"/>
          <w:color w:val="000000"/>
          <w:sz w:val="24"/>
          <w:szCs w:val="24"/>
          <w:lang w:val="en-US" w:eastAsia="zh-CN"/>
        </w:rPr>
        <w:t>17</w:t>
      </w:r>
      <w:r>
        <w:rPr>
          <w:rStyle w:val="19"/>
          <w:rFonts w:hint="eastAsia" w:ascii="楷体" w:hAnsi="楷体" w:eastAsia="楷体" w:cs="楷体"/>
          <w:color w:val="000000"/>
          <w:sz w:val="24"/>
          <w:szCs w:val="24"/>
        </w:rPr>
        <w:t>日印发</w:t>
      </w:r>
    </w:p>
    <w:p>
      <w:pPr>
        <w:pStyle w:val="12"/>
        <w:widowControl/>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为贯彻落实党的十九届四中全会精神和国家和省委、省政府 “放管服”改革工作的决策部署,规范我省典当行变更备案和换 证工作,进一步精简申报材料、简化办事程序、优化营商环境, 根据 《典当管理办法》 (商务部公安部令2005年第8号) 《典当 行业监管规定》 (商流通发 〔2012〕423号)和我省典当行的有 关监管规定,制定本指引。 </w:t>
      </w:r>
    </w:p>
    <w:p>
      <w:pPr>
        <w:pStyle w:val="12"/>
        <w:widowControl/>
        <w:numPr>
          <w:ilvl w:val="0"/>
          <w:numId w:val="15"/>
        </w:numPr>
        <w:shd w:val="clear" w:color="auto" w:fill="FFFFFF"/>
        <w:spacing w:before="0" w:beforeAutospacing="0" w:after="0" w:afterAutospacing="0" w:line="315" w:lineRule="atLeast"/>
        <w:ind w:firstLine="620" w:firstLineChars="200"/>
        <w:jc w:val="both"/>
        <w:textAlignment w:val="top"/>
        <w:rPr>
          <w:rFonts w:ascii="黑体" w:hAnsi="黑体" w:eastAsia="黑体" w:cs="黑体"/>
          <w:color w:val="000000"/>
          <w:sz w:val="31"/>
          <w:szCs w:val="31"/>
          <w:shd w:val="clear" w:color="auto" w:fill="FFFFFF"/>
        </w:rPr>
      </w:pPr>
      <w:r>
        <w:rPr>
          <w:rFonts w:hint="eastAsia" w:ascii="黑体" w:hAnsi="黑体" w:eastAsia="黑体" w:cs="黑体"/>
          <w:color w:val="000000"/>
          <w:sz w:val="31"/>
          <w:szCs w:val="31"/>
          <w:shd w:val="clear" w:color="auto" w:fill="FFFFFF"/>
        </w:rPr>
        <w:t xml:space="preserve">变更备案换证的范围和要求 </w:t>
      </w:r>
    </w:p>
    <w:p>
      <w:pPr>
        <w:pStyle w:val="12"/>
        <w:widowControl/>
        <w:numPr>
          <w:ilvl w:val="0"/>
          <w:numId w:val="16"/>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变更备案换证范围。在河南省境内,经监管部门核准 取得 《典当经营许可证》的典当行,在日常经营中发生以下变更 行为之一的,应逐级向省地方金融监管局进行备案,同时 《典当 经营许可证》刊载事项变更或有效期到期的应同时申请换证: 1. 变更机构名称; 2. 变更注册资本金; 3. 变更法定代表人; 4. 变更住所; 5. 转让股份 (变更股权结构); 6. 合并; 7. 分立。</w:t>
      </w:r>
    </w:p>
    <w:p>
      <w:pPr>
        <w:pStyle w:val="12"/>
        <w:widowControl/>
        <w:numPr>
          <w:ilvl w:val="0"/>
          <w:numId w:val="16"/>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变更备案换证要求。</w:t>
      </w:r>
    </w:p>
    <w:p>
      <w:pPr>
        <w:pStyle w:val="12"/>
        <w:widowControl/>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典当行的变更行为和变更结果要 符合 《公司法》《典当管理办法》《典当行业监管规定》和我省典 当行的有关管理规定。申请 《典当经营许可证》到期换证的,须 上年度年审通过。对涉及合并、分立或减少注册资本金的重大事 项变更还须符合以下要求: </w:t>
      </w:r>
    </w:p>
    <w:p>
      <w:pPr>
        <w:pStyle w:val="12"/>
        <w:widowControl/>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典当行合并: 1. 吸收合并或新设合并后的典当行注册资本金不得低于新 设立典当行的标准。 2. 合并各方的债权债务由合并后的公司完全承担。 3. 实行吸收合并的,公司合并完成后,由吸收方按照退出 程序,负责被吸收方的退出登记及其 《典当经营许可证》的注销 工作。 4. 实行新设合并的,公司合并完成后,由新公司负责按照 退出程序,负责合并各方的退出登记及其 《典当经营许可证》的 注销工作。 </w:t>
      </w:r>
    </w:p>
    <w:p>
      <w:pPr>
        <w:pStyle w:val="12"/>
        <w:widowControl/>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典当行分立: 1. 分立后的各典当行注册资本金不得低于新设立典当行的 标准。 2. 公司分立后,由分立各方按照公司决议规定的份额分割 公司财产,并按照公司分立前与债权人达成的清偿协议承担债 务。 3. 公司分立后,登记事项发生变更的,应当依法向公司登 记机关办理变更登记;公司解散的,应当依法办理公司注销登 记;设立新公司的,应当依法办理公司设立登记。 4. 实行新设分立 (解散分立)的,解散原公司,原公司的 财产重新分配组合后,按照 《河南省典当行设立审批工作指引》 的规定重新组建新公司。同时原公司的债权、债务由新设立的公 司分别承担。 典当行减少注册资本金: 减资后的典当行注册资本金不得低于 《河南省典当行设立审 批工作指引》规定的最低设立标准。 </w:t>
      </w:r>
    </w:p>
    <w:p>
      <w:pPr>
        <w:pStyle w:val="12"/>
        <w:widowControl/>
        <w:numPr>
          <w:ilvl w:val="0"/>
          <w:numId w:val="15"/>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黑体" w:hAnsi="黑体" w:eastAsia="黑体" w:cs="黑体"/>
          <w:color w:val="000000"/>
          <w:sz w:val="31"/>
          <w:szCs w:val="31"/>
          <w:shd w:val="clear" w:color="auto" w:fill="FFFFFF"/>
        </w:rPr>
        <w:t>变更备案换证材料清单</w:t>
      </w:r>
    </w:p>
    <w:p>
      <w:pPr>
        <w:pStyle w:val="12"/>
        <w:widowControl/>
        <w:numPr>
          <w:ilvl w:val="0"/>
          <w:numId w:val="17"/>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变更名称。 </w:t>
      </w:r>
    </w:p>
    <w:p>
      <w:pPr>
        <w:pStyle w:val="12"/>
        <w:widowControl/>
        <w:numPr>
          <w:ilvl w:val="0"/>
          <w:numId w:val="18"/>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典当行关于变更名称的备案和换证申请 (原件1份)。 2. 典当行股东会或董事会关于变更名称的决议 (复印件1 份)。 3. 典当行在当地报刊登记变更名称和承担原公司债权债务 的公告 (复印件1份)。 </w:t>
      </w:r>
    </w:p>
    <w:p>
      <w:pPr>
        <w:pStyle w:val="12"/>
        <w:widowControl/>
        <w:numPr>
          <w:ilvl w:val="0"/>
          <w:numId w:val="17"/>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变更注册资本金。 </w:t>
      </w:r>
    </w:p>
    <w:p>
      <w:pPr>
        <w:pStyle w:val="12"/>
        <w:widowControl/>
        <w:numPr>
          <w:ilvl w:val="0"/>
          <w:numId w:val="19"/>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典当行关于变更注册资本金的备案和换证申请 (原件1 份)。 2. 典当行股东会或董事会关于变更注册资本金的决议 (复 印件1份)。 3. 新进股东的申请材料参照 《河南省典当行设立审批工作指引》申请材料中 “(七)典当行的股东提交以下资料”。 4. 典当行验资报告 (带验证码、在90天内的原件1份)。 </w:t>
      </w:r>
    </w:p>
    <w:p>
      <w:pPr>
        <w:pStyle w:val="12"/>
        <w:widowControl/>
        <w:numPr>
          <w:ilvl w:val="0"/>
          <w:numId w:val="17"/>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变更法定代表人。 </w:t>
      </w:r>
    </w:p>
    <w:p>
      <w:pPr>
        <w:pStyle w:val="12"/>
        <w:widowControl/>
        <w:numPr>
          <w:ilvl w:val="0"/>
          <w:numId w:val="20"/>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典当行关于变更法定代表人的备案和换证申请 (原件1 份)。 2. 典当行股东会或董事会关于变更法定代表人的决议 (复 印件1份)。 3. 典当行拟任法定代表人的申请材料参照 《河南省典当行 设立审批工作指引》申请材料中 “(八)典当行董事、监事、高 级管理人员提交以下资料”。 </w:t>
      </w:r>
    </w:p>
    <w:p>
      <w:pPr>
        <w:pStyle w:val="12"/>
        <w:widowControl/>
        <w:numPr>
          <w:ilvl w:val="0"/>
          <w:numId w:val="17"/>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变更住所。 </w:t>
      </w:r>
    </w:p>
    <w:p>
      <w:pPr>
        <w:pStyle w:val="12"/>
        <w:widowControl/>
        <w:numPr>
          <w:ilvl w:val="0"/>
          <w:numId w:val="21"/>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典当行关于变更住所的备案和换证申请 (原件1份)。 2. 典当行股东会或董事会关于变更住所的决议 (复印件1 份)。 3. 典当行新住所的房屋建筑和经营设施符合国家有关安全 标准和消防管理规定的材料 (复印件1份)。 4. 典当行跨省辖市变更住所的,还须提交迁入地省辖市金 融局的意见 (原件1份)。 </w:t>
      </w:r>
    </w:p>
    <w:p>
      <w:pPr>
        <w:pStyle w:val="12"/>
        <w:widowControl/>
        <w:numPr>
          <w:ilvl w:val="0"/>
          <w:numId w:val="17"/>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变更股权结构。 </w:t>
      </w:r>
    </w:p>
    <w:p>
      <w:pPr>
        <w:pStyle w:val="12"/>
        <w:widowControl/>
        <w:numPr>
          <w:ilvl w:val="0"/>
          <w:numId w:val="22"/>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典 当 行 关 于 变 更 股 权 结 构 的 备 案 和 换 证 申 请 (原 件 1 份)。 2. 典当行股东会或董事会关于变更股权结构的决议 (复印 件1份)。 3. 典当行新进股东的资格条件和申请材料参照 《河南省典 当行设立审批工作指引》中对股东的有关要求。 </w:t>
      </w:r>
    </w:p>
    <w:p>
      <w:pPr>
        <w:pStyle w:val="12"/>
        <w:widowControl/>
        <w:numPr>
          <w:ilvl w:val="0"/>
          <w:numId w:val="17"/>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合并。</w:t>
      </w:r>
    </w:p>
    <w:p>
      <w:pPr>
        <w:pStyle w:val="12"/>
        <w:widowControl/>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 1. 拟合并的各典当行共同签署的合并申请 (原件1份)。 2. 合并合同或协议 (原件1份)。 3. 拟合并的典当行股东会、董事会 (设董事会时提供)和 监事会 (设监事会时提供)的决议 (原件1份)。 4. 拟合并的各典当行的审计报告 (原件1份)。 5. 合并后的典当行章程 (原件1份)。 6. 合并后的典当行提交法定验资机构出具的在有效期内的 验资报告 (原件1份)。 7. 拟合并的典当行在当地媒体 (当地主流报纸)刊登的债 权债务处置、材料真实性承诺和合规经营承诺情况的公告 (原件 1份)。 8. 合并后的典当行制度:财务管理制度、信息统计和披露 制度、重大风险事件应急管理制度、风险控制管理制度、项目评 审和业务决策内审制度、事后追偿和处置制度、客户档案管理及 保密制度等内部管理制度 (原件各1份)。 </w:t>
      </w:r>
    </w:p>
    <w:p>
      <w:pPr>
        <w:pStyle w:val="12"/>
        <w:widowControl/>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p>
    <w:p>
      <w:pPr>
        <w:pStyle w:val="12"/>
        <w:widowControl/>
        <w:numPr>
          <w:ilvl w:val="0"/>
          <w:numId w:val="17"/>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分立。 </w:t>
      </w:r>
    </w:p>
    <w:p>
      <w:pPr>
        <w:pStyle w:val="12"/>
        <w:widowControl/>
        <w:numPr>
          <w:ilvl w:val="0"/>
          <w:numId w:val="23"/>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拟分立典当行的分立申请 (原件1份)。 2. 拟分立典当行的审计报告 (原件1份)。  3. 拟分立的典当行股东会、董事会 (设董事会时提供)和 监事会 (设监事会时提供)的决议 (原件1份)。 4. 拟分立的典当行签订的分立合同或协议 (原件1份)。 5. 分立后典当行的章程 (原件1份)。 6. 分立后典当行提交法定验资机构出具的在有效期内的验 资报告 (原件1份)。 7. 拟分立的典当行在当地媒体 (当地主流报纸)刊登的债 权债务处置、材料真实性承诺和合规经营承诺情况的公告 (原件 1份)。 8. 分立后典当行的制度:财务管理制度、信息统计和披露 制度、重大风险事件应急管理制度、风险控制管理制度、项目评 审和业务决策内审制度、事后追偿和处置制度、客户档案管理及 保密制度等 (原件各1份)。 </w:t>
      </w:r>
    </w:p>
    <w:p>
      <w:pPr>
        <w:pStyle w:val="12"/>
        <w:widowControl/>
        <w:numPr>
          <w:ilvl w:val="0"/>
          <w:numId w:val="17"/>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《典当经营许可证》到期换证。</w:t>
      </w:r>
    </w:p>
    <w:p>
      <w:pPr>
        <w:pStyle w:val="12"/>
        <w:widowControl/>
        <w:numPr>
          <w:ilvl w:val="0"/>
          <w:numId w:val="24"/>
        </w:numPr>
        <w:shd w:val="clear" w:color="auto" w:fill="FFFFFF"/>
        <w:spacing w:before="0" w:beforeAutospacing="0" w:after="0" w:afterAutospacing="0" w:line="315" w:lineRule="atLeast"/>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《典当经营许可证》到期换证申请表 (原件1份)。 2. 《典当经营许可证》正本、副本 (原件1份)。 </w:t>
      </w:r>
    </w:p>
    <w:p>
      <w:pPr>
        <w:pStyle w:val="12"/>
        <w:widowControl/>
        <w:numPr>
          <w:ilvl w:val="0"/>
          <w:numId w:val="15"/>
        </w:numPr>
        <w:shd w:val="clear" w:color="auto" w:fill="FFFFFF"/>
        <w:spacing w:before="0" w:beforeAutospacing="0" w:after="0" w:afterAutospacing="0" w:line="315" w:lineRule="atLeast"/>
        <w:ind w:firstLine="620" w:firstLineChars="200"/>
        <w:jc w:val="both"/>
        <w:textAlignment w:val="top"/>
        <w:rPr>
          <w:rFonts w:ascii="黑体" w:hAnsi="黑体" w:eastAsia="黑体" w:cs="黑体"/>
          <w:color w:val="000000"/>
          <w:sz w:val="31"/>
          <w:szCs w:val="31"/>
          <w:shd w:val="clear" w:color="auto" w:fill="FFFFFF"/>
        </w:rPr>
      </w:pPr>
      <w:r>
        <w:rPr>
          <w:rFonts w:hint="eastAsia" w:ascii="黑体" w:hAnsi="黑体" w:eastAsia="黑体" w:cs="黑体"/>
          <w:color w:val="000000"/>
          <w:sz w:val="31"/>
          <w:szCs w:val="31"/>
          <w:shd w:val="clear" w:color="auto" w:fill="FFFFFF"/>
        </w:rPr>
        <w:t xml:space="preserve">变更备案换证审查要点和要求 </w:t>
      </w:r>
    </w:p>
    <w:p>
      <w:pPr>
        <w:pStyle w:val="12"/>
        <w:widowControl/>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要按照 《公司法》《典当管理办法》《典当行业监管规定》和 我省典当行的有关管理规定,可借助律师事务所、会计师事务所 等第三方机构的力量,采取材料审查、现场勘查和面签约谈等方 式,对典当行的变更行为严格审核,切实把好初审关。 </w:t>
      </w:r>
    </w:p>
    <w:p>
      <w:pPr>
        <w:pStyle w:val="12"/>
        <w:widowControl/>
        <w:numPr>
          <w:ilvl w:val="0"/>
          <w:numId w:val="25"/>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变更名称审查。</w:t>
      </w:r>
    </w:p>
    <w:p>
      <w:pPr>
        <w:pStyle w:val="12"/>
        <w:widowControl/>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典当行名称须四部分组成,即行政区 划、字号、行业、组织形式,其中行业标识仅为 “典当”。 </w:t>
      </w:r>
    </w:p>
    <w:p>
      <w:pPr>
        <w:pStyle w:val="12"/>
        <w:widowControl/>
        <w:numPr>
          <w:ilvl w:val="0"/>
          <w:numId w:val="25"/>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变更法定代表人、注册资本金或股权结构审查。</w:t>
      </w:r>
    </w:p>
    <w:p>
      <w:pPr>
        <w:pStyle w:val="12"/>
        <w:widowControl/>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参照 《河南省典当行设立审批工作指引》中董事、监事、高级管理人 员和股东的审查要点。涉及老股东退出的,老股东应在该典当行 经营满3年;增加注册资本金应当间隔1年以上;对外转让50% 以上股份,控股股东转让全部出资额,同时变更名称、法定代表 人、住所及股权结构等重大变更事项的须严格审核。 </w:t>
      </w:r>
    </w:p>
    <w:p>
      <w:pPr>
        <w:pStyle w:val="12"/>
        <w:widowControl/>
        <w:numPr>
          <w:ilvl w:val="0"/>
          <w:numId w:val="25"/>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变更住所审查。</w:t>
      </w:r>
    </w:p>
    <w:p>
      <w:pPr>
        <w:pStyle w:val="12"/>
        <w:widowControl/>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参照 《河南省典当行设立审批工作指 引》中住所审查要点。跨省辖市变更住所须征得迁入地省辖市金 融局的意见,新住所的房屋建筑和经营设施符合国家有关安全标 准和消防管理规定。迁入地省辖市金融局应及时商请迁出地省辖 市金融局,了解拟迁入典当行的经营情况和风险情况等,切实做 好风险防范工作。 </w:t>
      </w:r>
    </w:p>
    <w:p>
      <w:pPr>
        <w:pStyle w:val="12"/>
        <w:widowControl/>
        <w:numPr>
          <w:ilvl w:val="0"/>
          <w:numId w:val="25"/>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合并或分立审查。</w:t>
      </w:r>
    </w:p>
    <w:p>
      <w:pPr>
        <w:pStyle w:val="12"/>
        <w:widowControl/>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程序性审查,合并或分立须符合 《公司法》的有关规定程序,注重审查企业通知其债权人的材料、 合并方案 (包括债权债务处置计划、或有债务保障措施等)、分 立方案 (包括债权债务处置计划、或有债务保障措施,财产分割 安排等)等。新典当行股东审查,参照 《河南省典当行设立审批 工作指引》中股东审查要点。对分立或合并后的新股东进行监管 约谈,了解股东的经济实力,以及分立或合并后的内部控制和风 险防控措施等情况。新典当行注册资本金审查,新设公司可将拟 合并公司注册资本金相加,或对拟合并公司的资产进行评估,将 评估后净资产相加作为公司合并后的注册资本金,验资报告中的 股东名称、出资金额、股权比例等与新设公司的股东相关信息一 致。 </w:t>
      </w:r>
    </w:p>
    <w:p>
      <w:pPr>
        <w:pStyle w:val="12"/>
        <w:widowControl/>
        <w:numPr>
          <w:ilvl w:val="0"/>
          <w:numId w:val="15"/>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黑体" w:hAnsi="黑体" w:eastAsia="黑体" w:cs="黑体"/>
          <w:color w:val="000000"/>
          <w:sz w:val="31"/>
          <w:szCs w:val="31"/>
          <w:shd w:val="clear" w:color="auto" w:fill="FFFFFF"/>
        </w:rPr>
        <w:t>变更备案换证流程</w:t>
      </w:r>
    </w:p>
    <w:p>
      <w:pPr>
        <w:pStyle w:val="12"/>
        <w:widowControl/>
        <w:numPr>
          <w:ilvl w:val="0"/>
          <w:numId w:val="26"/>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申请。</w:t>
      </w:r>
    </w:p>
    <w:p>
      <w:pPr>
        <w:pStyle w:val="12"/>
        <w:widowControl/>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典当行向属地监管部门提交变更备案申请和备 案材料,涉及换证的还须上缴 《典当经营许可证》正副本原件。 涉及多个事项变更的可一并提出申请,不用重复提交相同的材 料。提交的材料为复印件的,申请人应在复印件上签署 “经核对 与原件无误”的字样,并签署姓名和日期。 备案申请内容包括:变更前后的具体情况,承诺对材料的真 实性负全责,保证自觉遵守典当行业相关法律法规、遵守公司章 程、依法合规经营、不从事非法金融活动。 </w:t>
      </w:r>
    </w:p>
    <w:p>
      <w:pPr>
        <w:pStyle w:val="12"/>
        <w:widowControl/>
        <w:numPr>
          <w:ilvl w:val="0"/>
          <w:numId w:val="26"/>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核实。</w:t>
      </w:r>
    </w:p>
    <w:p>
      <w:pPr>
        <w:pStyle w:val="12"/>
        <w:widowControl/>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属地监管部门按照 《典当管理办法》等有关规 定,对照本指引的审查要点,指导申请人完善变更备案材料,核 实申请人变更行为。材料齐全并符合法定形式后,向省辖市金融 局提交材料。 需要调查核实的,应书面告知申请人需要核实的事项、理由 及时间。需要补正或说明情况的,应一次性告知需要补正的清 单,并要求申请人限期完善;需要现场核查或面签约谈的,可组 织律师事务所、会计师事务所等第三方机构参与核查;需要询证 函查的,可向有关部门函证确认;需要公开的,应将审查结果通 过监管部门官方网站进行公示。 </w:t>
      </w:r>
    </w:p>
    <w:p>
      <w:pPr>
        <w:pStyle w:val="12"/>
        <w:widowControl/>
        <w:numPr>
          <w:ilvl w:val="0"/>
          <w:numId w:val="26"/>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备案。省辖市金融局对照有关监管规定和本指引的审 查要点,对材料的完整性和变更行为的合规性复核。材料齐全并 符合法定形式的,向省地方金融监管局提交 《典当行备案登记事 项变更表》和典当行备案材料。 </w:t>
      </w:r>
    </w:p>
    <w:p>
      <w:pPr>
        <w:pStyle w:val="12"/>
        <w:widowControl/>
        <w:numPr>
          <w:ilvl w:val="0"/>
          <w:numId w:val="26"/>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决定。省地方金融监管局受理省辖市金融局提交的有 关材料,研究同意的在官方网站对典当行的备案情况进行公告, 接收社会各界监督。通过全国典当行业监督管理信息系统打印 《典当行备案登记表》报国家银保监会备案,涉及 《典当经营许 可证》换发的,打印新的 《典当经营许可证》正副本。典当行变 更结果不符合监管规定的,书面告知申请人。 </w:t>
      </w:r>
    </w:p>
    <w:p>
      <w:pPr>
        <w:pStyle w:val="12"/>
        <w:widowControl/>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(五)送达。省地方金融监管局将公告文件和 《典当经营许 可证》正副本通过邮寄或自行领取等方式送达省辖市金融局或申请人。</w:t>
      </w:r>
    </w:p>
    <w:p>
      <w:pPr>
        <w:pStyle w:val="12"/>
        <w:widowControl/>
        <w:shd w:val="clear" w:color="auto" w:fill="FFFFFF"/>
        <w:spacing w:before="0" w:beforeAutospacing="0" w:after="0" w:afterAutospacing="0" w:line="315" w:lineRule="atLeast"/>
        <w:jc w:val="both"/>
        <w:textAlignment w:val="top"/>
        <w:rPr>
          <w:rFonts w:hint="eastAsia" w:ascii="方正小标宋_GBK" w:hAnsi="方正小标宋_GBK" w:eastAsia="方正小标宋_GBK" w:cs="方正小标宋_GBK"/>
          <w:color w:val="000000"/>
          <w:sz w:val="39"/>
          <w:szCs w:val="39"/>
        </w:rPr>
      </w:pPr>
      <w:r>
        <w:rPr>
          <w:rFonts w:hint="eastAsia" w:ascii="方正小标宋_GBK" w:hAnsi="方正小标宋_GBK" w:eastAsia="方正小标宋_GBK" w:cs="方正小标宋_GBK"/>
          <w:color w:val="000000"/>
          <w:sz w:val="39"/>
          <w:szCs w:val="39"/>
        </w:rPr>
        <w:t>第三篇 河南省典当行自愿退出审批工作指引</w:t>
      </w:r>
    </w:p>
    <w:p>
      <w:pPr>
        <w:keepNext/>
        <w:keepLines/>
        <w:spacing w:line="560" w:lineRule="exact"/>
        <w:ind w:firstLine="480" w:firstLineChars="200"/>
        <w:jc w:val="center"/>
        <w:rPr>
          <w:rStyle w:val="19"/>
          <w:rFonts w:hint="eastAsia" w:ascii="楷体" w:hAnsi="楷体" w:eastAsia="楷体" w:cs="楷体"/>
          <w:color w:val="000000"/>
          <w:sz w:val="24"/>
          <w:szCs w:val="24"/>
          <w:lang w:val="en-US" w:eastAsia="zh-CN"/>
        </w:rPr>
      </w:pPr>
      <w:r>
        <w:rPr>
          <w:rStyle w:val="19"/>
          <w:rFonts w:hint="eastAsia" w:ascii="楷体" w:hAnsi="楷体" w:eastAsia="楷体" w:cs="楷体"/>
          <w:color w:val="000000"/>
          <w:sz w:val="24"/>
          <w:szCs w:val="24"/>
          <w:lang w:eastAsia="zh-CN"/>
        </w:rPr>
        <w:t>河南省地方金融监督管理局文件</w:t>
      </w:r>
      <w:r>
        <w:rPr>
          <w:rStyle w:val="19"/>
          <w:rFonts w:hint="eastAsia" w:ascii="楷体" w:hAnsi="楷体" w:eastAsia="楷体" w:cs="楷体"/>
          <w:color w:val="000000"/>
          <w:sz w:val="24"/>
          <w:szCs w:val="24"/>
          <w:lang w:val="en-US" w:eastAsia="zh-CN"/>
        </w:rPr>
        <w:t xml:space="preserve"> </w:t>
      </w:r>
      <w:r>
        <w:rPr>
          <w:rStyle w:val="19"/>
          <w:rFonts w:hint="eastAsia" w:ascii="楷体" w:hAnsi="楷体" w:eastAsia="楷体" w:cs="楷体"/>
          <w:color w:val="000000"/>
          <w:sz w:val="24"/>
          <w:szCs w:val="24"/>
          <w:lang w:eastAsia="zh-CN"/>
        </w:rPr>
        <w:t>豫金发〔2020〕</w:t>
      </w:r>
      <w:r>
        <w:rPr>
          <w:rStyle w:val="19"/>
          <w:rFonts w:hint="eastAsia" w:ascii="楷体" w:hAnsi="楷体" w:eastAsia="楷体" w:cs="楷体"/>
          <w:color w:val="000000"/>
          <w:sz w:val="24"/>
          <w:szCs w:val="24"/>
          <w:lang w:val="en-US" w:eastAsia="zh-CN"/>
        </w:rPr>
        <w:t>3</w:t>
      </w:r>
      <w:r>
        <w:rPr>
          <w:rStyle w:val="19"/>
          <w:rFonts w:hint="eastAsia" w:ascii="楷体" w:hAnsi="楷体" w:eastAsia="楷体" w:cs="楷体"/>
          <w:color w:val="000000"/>
          <w:sz w:val="24"/>
          <w:szCs w:val="24"/>
          <w:lang w:eastAsia="zh-CN"/>
        </w:rPr>
        <w:t>号</w:t>
      </w:r>
      <w:r>
        <w:rPr>
          <w:rStyle w:val="19"/>
          <w:rFonts w:hint="eastAsia" w:ascii="楷体" w:hAnsi="楷体" w:eastAsia="楷体" w:cs="楷体"/>
          <w:color w:val="000000"/>
          <w:sz w:val="24"/>
          <w:szCs w:val="24"/>
          <w:lang w:val="en-US" w:eastAsia="zh-CN"/>
        </w:rPr>
        <w:t xml:space="preserve"> </w:t>
      </w:r>
    </w:p>
    <w:p>
      <w:pPr>
        <w:keepNext/>
        <w:keepLines/>
        <w:spacing w:line="560" w:lineRule="exact"/>
        <w:ind w:firstLine="480" w:firstLineChars="200"/>
        <w:jc w:val="center"/>
        <w:rPr>
          <w:rFonts w:hint="eastAsia" w:ascii="方正小标宋_GBK" w:hAnsi="方正小标宋_GBK" w:eastAsia="方正小标宋_GBK" w:cs="方正小标宋_GBK"/>
          <w:color w:val="000000"/>
          <w:sz w:val="39"/>
          <w:szCs w:val="39"/>
        </w:rPr>
      </w:pPr>
      <w:r>
        <w:rPr>
          <w:rStyle w:val="19"/>
          <w:rFonts w:hint="eastAsia" w:ascii="楷体" w:hAnsi="楷体" w:eastAsia="楷体" w:cs="楷体"/>
          <w:color w:val="000000"/>
          <w:sz w:val="24"/>
          <w:szCs w:val="24"/>
        </w:rPr>
        <w:t>20</w:t>
      </w:r>
      <w:r>
        <w:rPr>
          <w:rStyle w:val="19"/>
          <w:rFonts w:hint="eastAsia" w:ascii="楷体" w:hAnsi="楷体" w:eastAsia="楷体" w:cs="楷体"/>
          <w:color w:val="000000"/>
          <w:sz w:val="24"/>
          <w:szCs w:val="24"/>
          <w:lang w:val="en-US" w:eastAsia="zh-CN"/>
        </w:rPr>
        <w:t>20</w:t>
      </w:r>
      <w:r>
        <w:rPr>
          <w:rStyle w:val="19"/>
          <w:rFonts w:hint="eastAsia" w:ascii="楷体" w:hAnsi="楷体" w:eastAsia="楷体" w:cs="楷体"/>
          <w:color w:val="000000"/>
          <w:sz w:val="24"/>
          <w:szCs w:val="24"/>
        </w:rPr>
        <w:t>年</w:t>
      </w:r>
      <w:r>
        <w:rPr>
          <w:rStyle w:val="19"/>
          <w:rFonts w:hint="eastAsia" w:ascii="楷体" w:hAnsi="楷体" w:eastAsia="楷体" w:cs="楷体"/>
          <w:color w:val="000000"/>
          <w:sz w:val="24"/>
          <w:szCs w:val="24"/>
          <w:lang w:val="en-US" w:eastAsia="zh-CN"/>
        </w:rPr>
        <w:t>1</w:t>
      </w:r>
      <w:r>
        <w:rPr>
          <w:rStyle w:val="19"/>
          <w:rFonts w:hint="eastAsia" w:ascii="楷体" w:hAnsi="楷体" w:eastAsia="楷体" w:cs="楷体"/>
          <w:color w:val="000000"/>
          <w:sz w:val="24"/>
          <w:szCs w:val="24"/>
        </w:rPr>
        <w:t>月</w:t>
      </w:r>
      <w:r>
        <w:rPr>
          <w:rStyle w:val="19"/>
          <w:rFonts w:hint="eastAsia" w:ascii="楷体" w:hAnsi="楷体" w:eastAsia="楷体" w:cs="楷体"/>
          <w:color w:val="000000"/>
          <w:sz w:val="24"/>
          <w:szCs w:val="24"/>
          <w:lang w:val="en-US" w:eastAsia="zh-CN"/>
        </w:rPr>
        <w:t>17</w:t>
      </w:r>
      <w:r>
        <w:rPr>
          <w:rStyle w:val="19"/>
          <w:rFonts w:hint="eastAsia" w:ascii="楷体" w:hAnsi="楷体" w:eastAsia="楷体" w:cs="楷体"/>
          <w:color w:val="000000"/>
          <w:sz w:val="24"/>
          <w:szCs w:val="24"/>
        </w:rPr>
        <w:t>日印发</w:t>
      </w:r>
    </w:p>
    <w:p>
      <w:pPr>
        <w:pStyle w:val="12"/>
        <w:widowControl/>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为贯彻落实党的十九届四中全会精神和国家和省委、省政府 “放管服”改革工作的决策部署,畅通我省典当行退出机制,净 化市场环境,维护良好发展秩序,引导企业守法诚信经营,根据 《典当管理办法》(商务部公安部令2005年第8号)《典当行业监 管规定》 (商流通发 〔2012〕423号)和我省典当行的有关管理 规定,制定本指引。</w:t>
      </w:r>
    </w:p>
    <w:p>
      <w:pPr>
        <w:pStyle w:val="12"/>
        <w:widowControl/>
        <w:numPr>
          <w:ilvl w:val="0"/>
          <w:numId w:val="27"/>
        </w:numPr>
        <w:shd w:val="clear" w:color="auto" w:fill="FFFFFF"/>
        <w:spacing w:before="0" w:beforeAutospacing="0" w:after="0" w:afterAutospacing="0" w:line="315" w:lineRule="atLeast"/>
        <w:jc w:val="both"/>
        <w:textAlignment w:val="top"/>
        <w:rPr>
          <w:rFonts w:ascii="黑体" w:hAnsi="黑体" w:eastAsia="黑体" w:cs="黑体"/>
          <w:color w:val="000000"/>
          <w:sz w:val="31"/>
          <w:szCs w:val="31"/>
          <w:shd w:val="clear" w:color="auto" w:fill="FFFFFF"/>
        </w:rPr>
      </w:pPr>
      <w:r>
        <w:rPr>
          <w:rFonts w:hint="eastAsia" w:ascii="黑体" w:hAnsi="黑体" w:eastAsia="黑体" w:cs="黑体"/>
          <w:color w:val="000000"/>
          <w:sz w:val="31"/>
          <w:szCs w:val="31"/>
          <w:shd w:val="clear" w:color="auto" w:fill="FFFFFF"/>
        </w:rPr>
        <w:t xml:space="preserve">退出范围 </w:t>
      </w:r>
    </w:p>
    <w:p>
      <w:pPr>
        <w:pStyle w:val="12"/>
        <w:widowControl/>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河南省境内,经监管部门核准取得 《典当经营许可证》,在 日常经营中,因公司章程规定的营业期限届满或其他解散事由出 现、股东会或者股东大会决议解散等原因不愿继续从事典当业务 的典当行,应依法依规办理退出手续。 </w:t>
      </w:r>
    </w:p>
    <w:p>
      <w:pPr>
        <w:pStyle w:val="12"/>
        <w:widowControl/>
        <w:numPr>
          <w:ilvl w:val="0"/>
          <w:numId w:val="27"/>
        </w:numPr>
        <w:shd w:val="clear" w:color="auto" w:fill="FFFFFF"/>
        <w:spacing w:before="0" w:beforeAutospacing="0" w:after="0" w:afterAutospacing="0" w:line="315" w:lineRule="atLeast"/>
        <w:jc w:val="both"/>
        <w:textAlignment w:val="top"/>
        <w:rPr>
          <w:rFonts w:ascii="黑体" w:hAnsi="黑体" w:eastAsia="黑体" w:cs="黑体"/>
          <w:color w:val="000000"/>
          <w:sz w:val="31"/>
          <w:szCs w:val="31"/>
          <w:shd w:val="clear" w:color="auto" w:fill="FFFFFF"/>
        </w:rPr>
      </w:pPr>
      <w:r>
        <w:rPr>
          <w:rFonts w:hint="eastAsia" w:ascii="黑体" w:hAnsi="黑体" w:eastAsia="黑体" w:cs="黑体"/>
          <w:color w:val="000000"/>
          <w:sz w:val="31"/>
          <w:szCs w:val="31"/>
          <w:shd w:val="clear" w:color="auto" w:fill="FFFFFF"/>
        </w:rPr>
        <w:t xml:space="preserve">退出材料 </w:t>
      </w:r>
    </w:p>
    <w:p>
      <w:pPr>
        <w:pStyle w:val="12"/>
        <w:widowControl/>
        <w:numPr>
          <w:ilvl w:val="0"/>
          <w:numId w:val="28"/>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典当行提供以下材料:典当行退出申请 (原件1份); 股东会或董事会的相关决议 (原件1份);典当行清算报告 (原 件1份); 《典当经营许可证》正、副本、空白当票和续当凭证、 全国典当行业监督管理信息系统秘钥 (原件1份)。 </w:t>
      </w:r>
    </w:p>
    <w:p>
      <w:pPr>
        <w:pStyle w:val="12"/>
        <w:widowControl/>
        <w:numPr>
          <w:ilvl w:val="0"/>
          <w:numId w:val="28"/>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属地监管部门提供以下材料:关于清算过程监督情况 的报告 (原件1份)。 </w:t>
      </w:r>
    </w:p>
    <w:p>
      <w:pPr>
        <w:pStyle w:val="12"/>
        <w:widowControl/>
        <w:numPr>
          <w:ilvl w:val="0"/>
          <w:numId w:val="28"/>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省辖市金融局提供以下材料:注销请示 (请示含注销 典当行基本情况、风险情况、处理意见和后续监管措施等) (原 件1份);官方网站上关于注销 《典当经营许可证》的公示 (截 图1份);《典当行 (分支机构)注销备案登记审查意见表》 (原 件1份)。 </w:t>
      </w:r>
    </w:p>
    <w:p>
      <w:pPr>
        <w:pStyle w:val="12"/>
        <w:widowControl/>
        <w:numPr>
          <w:ilvl w:val="0"/>
          <w:numId w:val="27"/>
        </w:numPr>
        <w:shd w:val="clear" w:color="auto" w:fill="FFFFFF"/>
        <w:spacing w:before="0" w:beforeAutospacing="0" w:after="0" w:afterAutospacing="0" w:line="315" w:lineRule="atLeast"/>
        <w:jc w:val="both"/>
        <w:textAlignment w:val="top"/>
        <w:rPr>
          <w:rFonts w:ascii="黑体" w:hAnsi="黑体" w:eastAsia="黑体" w:cs="黑体"/>
          <w:color w:val="000000"/>
          <w:sz w:val="31"/>
          <w:szCs w:val="31"/>
          <w:shd w:val="clear" w:color="auto" w:fill="FFFFFF"/>
        </w:rPr>
      </w:pPr>
      <w:r>
        <w:rPr>
          <w:rFonts w:hint="eastAsia" w:ascii="黑体" w:hAnsi="黑体" w:eastAsia="黑体" w:cs="黑体"/>
          <w:color w:val="000000"/>
          <w:sz w:val="31"/>
          <w:szCs w:val="31"/>
          <w:shd w:val="clear" w:color="auto" w:fill="FFFFFF"/>
        </w:rPr>
        <w:t>退出程序</w:t>
      </w:r>
    </w:p>
    <w:p>
      <w:pPr>
        <w:pStyle w:val="12"/>
        <w:widowControl/>
        <w:numPr>
          <w:ilvl w:val="0"/>
          <w:numId w:val="29"/>
        </w:numPr>
        <w:shd w:val="clear" w:color="auto" w:fill="FFFFFF"/>
        <w:spacing w:before="0" w:beforeAutospacing="0" w:after="0" w:afterAutospacing="0" w:line="315" w:lineRule="atLeast"/>
        <w:ind w:left="0"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申请。典当行向属地监管部门提交注销材料。提交的 材料为复印件的,申请人应在复印件上签署 “经核对与原件无 误”的字样,并签署姓名和日期。</w:t>
      </w:r>
    </w:p>
    <w:p>
      <w:pPr>
        <w:pStyle w:val="12"/>
        <w:widowControl/>
        <w:numPr>
          <w:ilvl w:val="0"/>
          <w:numId w:val="29"/>
        </w:numPr>
        <w:shd w:val="clear" w:color="auto" w:fill="FFFFFF"/>
        <w:spacing w:before="0" w:beforeAutospacing="0" w:after="0" w:afterAutospacing="0" w:line="315" w:lineRule="atLeast"/>
        <w:ind w:left="0"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核查。属地监管部门在官方网站上公示拟申请退出典 当行原因和基本情况等,监督指导典当行进行清算。 </w:t>
      </w:r>
    </w:p>
    <w:p>
      <w:pPr>
        <w:pStyle w:val="12"/>
        <w:widowControl/>
        <w:numPr>
          <w:ilvl w:val="0"/>
          <w:numId w:val="29"/>
        </w:numPr>
        <w:shd w:val="clear" w:color="auto" w:fill="FFFFFF"/>
        <w:spacing w:before="0" w:beforeAutospacing="0" w:after="0" w:afterAutospacing="0" w:line="315" w:lineRule="atLeast"/>
        <w:ind w:left="0"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初审。省辖市金融局结合日常监管情况,对照有关监 管规定进行审核。材料齐全并符合法定形式的,向省地方金融监 管局提交退出申请、 《典当行 (分支机构)注销备案登记审查意 见表》和典当行退出材料等。</w:t>
      </w:r>
    </w:p>
    <w:p>
      <w:pPr>
        <w:pStyle w:val="12"/>
        <w:widowControl/>
        <w:numPr>
          <w:ilvl w:val="0"/>
          <w:numId w:val="29"/>
        </w:numPr>
        <w:shd w:val="clear" w:color="auto" w:fill="FFFFFF"/>
        <w:spacing w:before="0" w:beforeAutospacing="0" w:after="0" w:afterAutospacing="0" w:line="315" w:lineRule="atLeast"/>
        <w:ind w:left="0"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决定。省地方金融监管局受理省辖市金融局提交的有 关材料,研究同意的在官方网站进行公告。 </w:t>
      </w:r>
    </w:p>
    <w:p>
      <w:pPr>
        <w:pStyle w:val="12"/>
        <w:widowControl/>
        <w:numPr>
          <w:ilvl w:val="0"/>
          <w:numId w:val="29"/>
        </w:numPr>
        <w:shd w:val="clear" w:color="auto" w:fill="FFFFFF"/>
        <w:spacing w:before="0" w:beforeAutospacing="0" w:after="0" w:afterAutospacing="0" w:line="315" w:lineRule="atLeast"/>
        <w:ind w:left="0"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退出。属地监管部门负责督促典当行持省地方金融监 管局公告,到公司住所所在地市场监管部门办理注销手续,通过 变更企业名称、经营范围或注销市场主体的形式整体退出典当行业。</w:t>
      </w:r>
    </w:p>
    <w:p>
      <w:pPr>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br w:type="page"/>
      </w:r>
    </w:p>
    <w:p>
      <w:pPr>
        <w:pStyle w:val="3"/>
        <w:spacing w:before="100" w:after="0" w:line="560" w:lineRule="exact"/>
        <w:jc w:val="center"/>
        <w:rPr>
          <w:rFonts w:hint="eastAsia" w:asciiTheme="majorEastAsia" w:hAnsiTheme="majorEastAsia" w:cstheme="majorEastAsia"/>
          <w:sz w:val="44"/>
        </w:rPr>
      </w:pPr>
      <w:bookmarkStart w:id="57" w:name="_Toc24043"/>
      <w:r>
        <w:rPr>
          <w:rFonts w:hint="eastAsia" w:asciiTheme="majorEastAsia" w:hAnsiTheme="majorEastAsia" w:cstheme="majorEastAsia"/>
          <w:sz w:val="44"/>
        </w:rPr>
        <w:t>二十三：河南省地方金融监督管理局国家税务总局河南省税务局关于做好融资租赁企业有关工作的通知</w:t>
      </w:r>
      <w:bookmarkEnd w:id="57"/>
    </w:p>
    <w:p>
      <w:pPr>
        <w:keepNext/>
        <w:keepLines/>
        <w:spacing w:line="560" w:lineRule="exact"/>
        <w:ind w:firstLine="480" w:firstLineChars="200"/>
        <w:jc w:val="center"/>
        <w:rPr>
          <w:rStyle w:val="19"/>
          <w:rFonts w:hint="eastAsia" w:ascii="楷体" w:hAnsi="楷体" w:eastAsia="楷体" w:cs="楷体"/>
          <w:color w:val="000000"/>
          <w:sz w:val="24"/>
          <w:szCs w:val="24"/>
          <w:lang w:val="en-US" w:eastAsia="zh-CN"/>
        </w:rPr>
      </w:pPr>
      <w:r>
        <w:rPr>
          <w:rStyle w:val="19"/>
          <w:rFonts w:hint="eastAsia" w:ascii="楷体" w:hAnsi="楷体" w:eastAsia="楷体" w:cs="楷体"/>
          <w:color w:val="000000"/>
          <w:sz w:val="24"/>
          <w:szCs w:val="24"/>
          <w:lang w:eastAsia="zh-CN"/>
        </w:rPr>
        <w:t>河南省地方金融监督管理局文件</w:t>
      </w:r>
      <w:r>
        <w:rPr>
          <w:rStyle w:val="19"/>
          <w:rFonts w:hint="eastAsia" w:ascii="楷体" w:hAnsi="楷体" w:eastAsia="楷体" w:cs="楷体"/>
          <w:color w:val="000000"/>
          <w:sz w:val="24"/>
          <w:szCs w:val="24"/>
          <w:lang w:val="en-US" w:eastAsia="zh-CN"/>
        </w:rPr>
        <w:t xml:space="preserve"> </w:t>
      </w:r>
      <w:r>
        <w:rPr>
          <w:rStyle w:val="19"/>
          <w:rFonts w:hint="eastAsia" w:ascii="楷体" w:hAnsi="楷体" w:eastAsia="楷体" w:cs="楷体"/>
          <w:color w:val="000000"/>
          <w:sz w:val="24"/>
          <w:szCs w:val="24"/>
          <w:lang w:eastAsia="zh-CN"/>
        </w:rPr>
        <w:t>豫金发〔2020〕</w:t>
      </w:r>
      <w:r>
        <w:rPr>
          <w:rStyle w:val="19"/>
          <w:rFonts w:hint="eastAsia" w:ascii="楷体" w:hAnsi="楷体" w:eastAsia="楷体" w:cs="楷体"/>
          <w:color w:val="000000"/>
          <w:sz w:val="24"/>
          <w:szCs w:val="24"/>
          <w:lang w:val="en-US" w:eastAsia="zh-CN"/>
        </w:rPr>
        <w:t>17</w:t>
      </w:r>
      <w:r>
        <w:rPr>
          <w:rStyle w:val="19"/>
          <w:rFonts w:hint="eastAsia" w:ascii="楷体" w:hAnsi="楷体" w:eastAsia="楷体" w:cs="楷体"/>
          <w:color w:val="000000"/>
          <w:sz w:val="24"/>
          <w:szCs w:val="24"/>
          <w:lang w:eastAsia="zh-CN"/>
        </w:rPr>
        <w:t>号</w:t>
      </w:r>
      <w:r>
        <w:rPr>
          <w:rStyle w:val="19"/>
          <w:rFonts w:hint="eastAsia" w:ascii="楷体" w:hAnsi="楷体" w:eastAsia="楷体" w:cs="楷体"/>
          <w:color w:val="000000"/>
          <w:sz w:val="24"/>
          <w:szCs w:val="24"/>
          <w:lang w:val="en-US" w:eastAsia="zh-CN"/>
        </w:rPr>
        <w:t xml:space="preserve"> </w:t>
      </w:r>
    </w:p>
    <w:p>
      <w:pPr>
        <w:keepNext/>
        <w:keepLines/>
        <w:spacing w:line="560" w:lineRule="exact"/>
        <w:ind w:firstLine="480" w:firstLineChars="200"/>
        <w:jc w:val="center"/>
      </w:pPr>
      <w:r>
        <w:rPr>
          <w:rStyle w:val="19"/>
          <w:rFonts w:hint="eastAsia" w:ascii="楷体" w:hAnsi="楷体" w:eastAsia="楷体" w:cs="楷体"/>
          <w:color w:val="000000"/>
          <w:sz w:val="24"/>
          <w:szCs w:val="24"/>
        </w:rPr>
        <w:t>20</w:t>
      </w:r>
      <w:r>
        <w:rPr>
          <w:rStyle w:val="19"/>
          <w:rFonts w:hint="eastAsia" w:ascii="楷体" w:hAnsi="楷体" w:eastAsia="楷体" w:cs="楷体"/>
          <w:color w:val="000000"/>
          <w:sz w:val="24"/>
          <w:szCs w:val="24"/>
          <w:lang w:val="en-US" w:eastAsia="zh-CN"/>
        </w:rPr>
        <w:t>20</w:t>
      </w:r>
      <w:r>
        <w:rPr>
          <w:rStyle w:val="19"/>
          <w:rFonts w:hint="eastAsia" w:ascii="楷体" w:hAnsi="楷体" w:eastAsia="楷体" w:cs="楷体"/>
          <w:color w:val="000000"/>
          <w:sz w:val="24"/>
          <w:szCs w:val="24"/>
        </w:rPr>
        <w:t>年</w:t>
      </w:r>
      <w:r>
        <w:rPr>
          <w:rStyle w:val="19"/>
          <w:rFonts w:hint="eastAsia" w:ascii="楷体" w:hAnsi="楷体" w:eastAsia="楷体" w:cs="楷体"/>
          <w:color w:val="000000"/>
          <w:sz w:val="24"/>
          <w:szCs w:val="24"/>
          <w:lang w:val="en-US" w:eastAsia="zh-CN"/>
        </w:rPr>
        <w:t>2</w:t>
      </w:r>
      <w:r>
        <w:rPr>
          <w:rStyle w:val="19"/>
          <w:rFonts w:hint="eastAsia" w:ascii="楷体" w:hAnsi="楷体" w:eastAsia="楷体" w:cs="楷体"/>
          <w:color w:val="000000"/>
          <w:sz w:val="24"/>
          <w:szCs w:val="24"/>
        </w:rPr>
        <w:t>月</w:t>
      </w:r>
      <w:r>
        <w:rPr>
          <w:rStyle w:val="19"/>
          <w:rFonts w:hint="eastAsia" w:ascii="楷体" w:hAnsi="楷体" w:eastAsia="楷体" w:cs="楷体"/>
          <w:color w:val="000000"/>
          <w:sz w:val="24"/>
          <w:szCs w:val="24"/>
          <w:lang w:val="en-US" w:eastAsia="zh-CN"/>
        </w:rPr>
        <w:t>20</w:t>
      </w:r>
      <w:r>
        <w:rPr>
          <w:rStyle w:val="19"/>
          <w:rFonts w:hint="eastAsia" w:ascii="楷体" w:hAnsi="楷体" w:eastAsia="楷体" w:cs="楷体"/>
          <w:color w:val="000000"/>
          <w:sz w:val="24"/>
          <w:szCs w:val="24"/>
        </w:rPr>
        <w:t>日印发</w:t>
      </w:r>
    </w:p>
    <w:p>
      <w:pPr>
        <w:pStyle w:val="12"/>
        <w:widowControl/>
        <w:shd w:val="clear" w:color="auto" w:fill="FFFFFF"/>
        <w:spacing w:before="0" w:beforeAutospacing="0" w:after="0" w:afterAutospacing="0"/>
        <w:jc w:val="both"/>
        <w:textAlignment w:val="top"/>
        <w:rPr>
          <w:rFonts w:ascii="微软雅黑" w:hAnsi="微软雅黑" w:eastAsia="微软雅黑" w:cs="微软雅黑"/>
          <w:color w:val="000000"/>
          <w:szCs w:val="24"/>
        </w:rPr>
      </w:pPr>
      <w:r>
        <w:rPr>
          <w:rFonts w:ascii="仿宋" w:hAnsi="仿宋" w:eastAsia="仿宋" w:cs="仿宋"/>
          <w:color w:val="000000"/>
          <w:sz w:val="32"/>
          <w:shd w:val="clear" w:color="auto" w:fill="FFFFFF"/>
        </w:rPr>
        <w:t>各省辖市、济源示范区金融局</w:t>
      </w:r>
      <w:r>
        <w:rPr>
          <w:rFonts w:hint="eastAsia" w:ascii="仿宋" w:hAnsi="仿宋" w:eastAsia="仿宋" w:cs="仿宋"/>
          <w:color w:val="000000"/>
          <w:sz w:val="32"/>
          <w:shd w:val="clear" w:color="auto" w:fill="FFFFFF"/>
        </w:rPr>
        <w:t>,国家税务总局各省辖市税务局，国家税务总局郑州航空港经济综合实验区税务局，国家税务总局河南省税务局第三税务分局：</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仿宋" w:hAnsi="仿宋" w:eastAsia="仿宋" w:cs="仿宋"/>
          <w:color w:val="000000"/>
          <w:sz w:val="32"/>
          <w:shd w:val="clear" w:color="auto" w:fill="FFFFFF"/>
        </w:rPr>
        <w:t>为做好内资融资租赁企业试点资格确认及外资融资租赁公司备案工作，根据《融资租赁企业监督管理办法》《外商投资租赁业管理办法》《国务院关于印发中国（河南）自由贸易试验区总体方案的通知》（国发〔2017〕17号）等规定，现将有关事项通知如下：</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ascii="黑体" w:hAnsi="宋体" w:eastAsia="黑体" w:cs="黑体"/>
          <w:color w:val="000000"/>
          <w:sz w:val="32"/>
          <w:shd w:val="clear" w:color="auto" w:fill="FFFFFF"/>
        </w:rPr>
        <w:t>一、内资融资租赁企业试点资格确认工作</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ascii="楷体" w:hAnsi="楷体" w:eastAsia="楷体" w:cs="楷体"/>
          <w:color w:val="000000"/>
          <w:sz w:val="32"/>
          <w:shd w:val="clear" w:color="auto" w:fill="FFFFFF"/>
        </w:rPr>
        <w:t>（一）支持方向</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仿宋" w:hAnsi="仿宋" w:eastAsia="仿宋" w:cs="仿宋"/>
          <w:color w:val="000000"/>
          <w:sz w:val="32"/>
          <w:shd w:val="clear" w:color="auto" w:fill="FFFFFF"/>
        </w:rPr>
        <w:t>1.重点支持符合国家和我省鼓励的发展方向或政策导向产业，以及推动产业转型升级的融资租赁企业。主要包括：服务于“一带一路”、郑洛新国家自主创新示范区、制造业高质量发展、现代综合交通枢纽、新型城镇化建设等国家重大战略；装备制造、食品制造、新型材料制造、电子制造、汽车制造等主导产业；冶金、建材、化工、轻纺等传统产业；新一代信息技术、高端装备、新材料、新能源、节能环保和生物医药等高新技术产业和战略新兴产业；飞机、船舶、工程机械等相关领域；以智能制造为引领的“三大改造”重点项目；文化产业投融资渠道；城乡公用事业、污水垃圾处理、环境治理、广播通信、农田水利等基础设施建设；公交车、出租车、公务用车、新能源汽车及配套设施等领域；现代农业发展，积极开展面向家庭农场、农民合作社等新兴农业经营主体；农业大型机械、生产设备、加工设备购置更新；居民家庭消费品租赁市场；家用轿车、家用信息设备、耐用消费品等。</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仿宋" w:hAnsi="仿宋" w:eastAsia="仿宋" w:cs="仿宋"/>
          <w:color w:val="000000"/>
          <w:sz w:val="32"/>
          <w:shd w:val="clear" w:color="auto" w:fill="FFFFFF"/>
        </w:rPr>
        <w:t>2.鼓励和支持在河南自贸试验区设立融资租赁公司，在符合相关规定前提下，开展飞机、工程机械、大型设备等融资租赁业务。</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楷体" w:hAnsi="楷体" w:eastAsia="楷体" w:cs="楷体"/>
          <w:color w:val="000000"/>
          <w:sz w:val="32"/>
          <w:shd w:val="clear" w:color="auto" w:fill="FFFFFF"/>
        </w:rPr>
        <w:t>（二）申请条件</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仿宋" w:hAnsi="仿宋" w:eastAsia="仿宋" w:cs="仿宋"/>
          <w:color w:val="000000"/>
          <w:sz w:val="32"/>
          <w:shd w:val="clear" w:color="auto" w:fill="FFFFFF"/>
        </w:rPr>
        <w:t>申请从事融资租赁业务试点的融资租赁公司，应具备核心主业突出、资金来源稳定、股权关系简单透明、公司治理结构健全、发展战略和盈利模式清晰、诚信和纳税记录良好等特点，并具备以下条件：</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仿宋" w:hAnsi="仿宋" w:eastAsia="仿宋" w:cs="仿宋"/>
          <w:color w:val="000000"/>
          <w:sz w:val="32"/>
          <w:shd w:val="clear" w:color="auto" w:fill="FFFFFF"/>
        </w:rPr>
        <w:t>1.经营范围。须符合《融资租赁企业监督管理办法》规定。</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仿宋" w:hAnsi="仿宋" w:eastAsia="仿宋" w:cs="仿宋"/>
          <w:color w:val="000000"/>
          <w:sz w:val="32"/>
          <w:shd w:val="clear" w:color="auto" w:fill="FFFFFF"/>
        </w:rPr>
        <w:t>2.公司名称。新设融资租赁企业名称中应当标明为“融资租赁”字样。</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仿宋" w:hAnsi="仿宋" w:eastAsia="仿宋" w:cs="仿宋"/>
          <w:color w:val="000000"/>
          <w:sz w:val="32"/>
          <w:shd w:val="clear" w:color="auto" w:fill="FFFFFF"/>
        </w:rPr>
        <w:t>3.注册资本金。不低于20000万元人民币或等值外币，且为实缴货币资本、一次性缴纳到位。入股资金为自有货币资金，出资来源真实合法，权属明晰，不得以他人委托资金、借贷资金入股。</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仿宋" w:hAnsi="仿宋" w:eastAsia="仿宋" w:cs="仿宋"/>
          <w:color w:val="000000"/>
          <w:sz w:val="32"/>
          <w:shd w:val="clear" w:color="auto" w:fill="FFFFFF"/>
        </w:rPr>
        <w:t>4.股东。信誉良好，最近三年无重大违法违规记录。主发起人（第一大股东）须为企业法人。</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仿宋" w:hAnsi="仿宋" w:eastAsia="仿宋" w:cs="仿宋"/>
          <w:color w:val="000000"/>
          <w:sz w:val="32"/>
          <w:shd w:val="clear" w:color="auto" w:fill="FFFFFF"/>
        </w:rPr>
        <w:t>（1）主发起人（第一大股东）应管理规范、信用良好、实力雄厚；近3年内在市场监管、税务、银行业金融机构等无重大不良信用记录；不存在义务未履行完毕的作为被执行人的执行案件；财务状况良好，货币资金满足出资需要。</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仿宋" w:hAnsi="仿宋" w:eastAsia="仿宋" w:cs="仿宋"/>
          <w:color w:val="000000"/>
          <w:sz w:val="32"/>
          <w:shd w:val="clear" w:color="auto" w:fill="FFFFFF"/>
        </w:rPr>
        <w:t>（2）其他法人股东应管理规范、经营良好，有充足的货币资金以满足出资需要；近两年内在市场监管、税务、银行业金融机构等无重大不良信用记录；不存在义务未履行完毕的作为被执行人的执行案件。</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仿宋" w:hAnsi="仿宋" w:eastAsia="仿宋" w:cs="仿宋"/>
          <w:color w:val="000000"/>
          <w:sz w:val="32"/>
          <w:shd w:val="clear" w:color="auto" w:fill="FFFFFF"/>
        </w:rPr>
        <w:t>5.从业人员。配备具有金融、贸易、法律、会计等方面专业知识、技能和从业经验并具有良好从业记录的人员，拥有不少于三年融资租赁、租赁业务或金融机构运营管理经验的总经理、副总经理、风险控制主管等高管人员。</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仿宋" w:hAnsi="仿宋" w:eastAsia="仿宋" w:cs="仿宋"/>
          <w:color w:val="000000"/>
          <w:sz w:val="32"/>
          <w:shd w:val="clear" w:color="auto" w:fill="FFFFFF"/>
        </w:rPr>
        <w:t>有下列情形之一的，不得担任融资租赁企业的董事、监事、高级管理人员：</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仿宋" w:hAnsi="仿宋" w:eastAsia="仿宋" w:cs="仿宋"/>
          <w:color w:val="000000"/>
          <w:sz w:val="32"/>
          <w:shd w:val="clear" w:color="auto" w:fill="FFFFFF"/>
        </w:rPr>
        <w:t>（1）无民事行为能力或者限制民事行为能力；</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仿宋" w:hAnsi="仿宋" w:eastAsia="仿宋" w:cs="仿宋"/>
          <w:color w:val="000000"/>
          <w:sz w:val="32"/>
          <w:shd w:val="clear" w:color="auto" w:fill="FFFFFF"/>
        </w:rPr>
        <w:t>（2）因贪污、贿赂、侵占财产、挪用财产或者破坏社会主义市场经济秩序，被判处刑罚，执行期满未逾五年，或者因犯罪被剥夺政治权利，执行期满未逾五年；</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仿宋" w:hAnsi="仿宋" w:eastAsia="仿宋" w:cs="仿宋"/>
          <w:color w:val="000000"/>
          <w:sz w:val="32"/>
          <w:shd w:val="clear" w:color="auto" w:fill="FFFFFF"/>
        </w:rPr>
        <w:t>（3）担任破产清算的公司、企业的董事或者厂长、经理，对该公司、企业的破产负有个人责任的，自该公司、企业破产清算完结之日起未逾三年；</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仿宋" w:hAnsi="仿宋" w:eastAsia="仿宋" w:cs="仿宋"/>
          <w:color w:val="000000"/>
          <w:sz w:val="32"/>
          <w:shd w:val="clear" w:color="auto" w:fill="FFFFFF"/>
        </w:rPr>
        <w:t>（4）担任因违法被吊销营业执照、责令关闭的公司、企业的法定代表人，并负有个人责任的，自该公司、企业被吊销营业执照之日起未逾三年；</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仿宋" w:hAnsi="仿宋" w:eastAsia="仿宋" w:cs="仿宋"/>
          <w:color w:val="000000"/>
          <w:sz w:val="32"/>
          <w:shd w:val="clear" w:color="auto" w:fill="FFFFFF"/>
        </w:rPr>
        <w:t>（5）个人所负数额较大的债务到期未清偿;</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仿宋" w:hAnsi="仿宋" w:eastAsia="仿宋" w:cs="仿宋"/>
          <w:color w:val="000000"/>
          <w:sz w:val="32"/>
          <w:shd w:val="clear" w:color="auto" w:fill="FFFFFF"/>
        </w:rPr>
        <w:t>（6）被列入失信被执行人或被有关部门联合惩戒的。</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仿宋" w:hAnsi="仿宋" w:eastAsia="仿宋" w:cs="仿宋"/>
          <w:color w:val="000000"/>
          <w:sz w:val="32"/>
          <w:shd w:val="clear" w:color="auto" w:fill="FFFFFF"/>
        </w:rPr>
        <w:t>6.具有健全的内部管理制度和风险控制制度。</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仿宋" w:hAnsi="仿宋" w:eastAsia="仿宋" w:cs="仿宋"/>
          <w:color w:val="000000"/>
          <w:sz w:val="32"/>
          <w:shd w:val="clear" w:color="auto" w:fill="FFFFFF"/>
        </w:rPr>
        <w:t>7.近两年经营业绩良好，没有违法违规记录。</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仿宋" w:hAnsi="仿宋" w:eastAsia="仿宋" w:cs="仿宋"/>
          <w:color w:val="000000"/>
          <w:sz w:val="32"/>
          <w:shd w:val="clear" w:color="auto" w:fill="FFFFFF"/>
        </w:rPr>
        <w:t>8.具有与所从事融资租赁产品相关联的行业背景。</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仿宋" w:hAnsi="仿宋" w:eastAsia="仿宋" w:cs="仿宋"/>
          <w:color w:val="000000"/>
          <w:sz w:val="32"/>
          <w:shd w:val="clear" w:color="auto" w:fill="FFFFFF"/>
        </w:rPr>
        <w:t>9.内资融资租赁企业确认资格后，方可根据自身发展需要办理增项业务，兼营与主营业务有关的商业保理业务。</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楷体" w:hAnsi="楷体" w:eastAsia="楷体" w:cs="楷体"/>
          <w:color w:val="000000"/>
          <w:sz w:val="32"/>
          <w:shd w:val="clear" w:color="auto" w:fill="FFFFFF"/>
        </w:rPr>
        <w:t>（三）需要提交的材料</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仿宋" w:hAnsi="仿宋" w:eastAsia="仿宋" w:cs="仿宋"/>
          <w:color w:val="000000"/>
          <w:sz w:val="32"/>
          <w:shd w:val="clear" w:color="auto" w:fill="FFFFFF"/>
        </w:rPr>
        <w:t>内资融资租赁企业提交以下材料进行试点资格确认：</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仿宋" w:hAnsi="仿宋" w:eastAsia="仿宋" w:cs="仿宋"/>
          <w:color w:val="000000"/>
          <w:sz w:val="32"/>
          <w:shd w:val="clear" w:color="auto" w:fill="FFFFFF"/>
        </w:rPr>
        <w:t>1.融资租赁企业申请表（原件1份）。</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仿宋" w:hAnsi="仿宋" w:eastAsia="仿宋" w:cs="仿宋"/>
          <w:color w:val="000000"/>
          <w:sz w:val="32"/>
          <w:shd w:val="clear" w:color="auto" w:fill="FFFFFF"/>
        </w:rPr>
        <w:t>2.验资报告（新设内资融资租赁企业提供，原件1份）。</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仿宋" w:hAnsi="仿宋" w:eastAsia="仿宋" w:cs="仿宋"/>
          <w:color w:val="000000"/>
          <w:sz w:val="32"/>
          <w:shd w:val="clear" w:color="auto" w:fill="FFFFFF"/>
        </w:rPr>
        <w:t>3.注册资本金来源说明（每个股东分别提供，并承诺资金来源真实、合法。原件1份）。</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仿宋" w:hAnsi="仿宋" w:eastAsia="仿宋" w:cs="仿宋"/>
          <w:color w:val="000000"/>
          <w:sz w:val="32"/>
          <w:shd w:val="clear" w:color="auto" w:fill="FFFFFF"/>
        </w:rPr>
        <w:t>4.融资租赁企业在当地主流报纸刊登的公告（原件1份）。内容包括：融资租赁企业名称、住所、注册资本、股东及股权比例、拟任董事长、拟任监事长、拟任总经理人选，承诺申报材料真实合法、依法合规经营，并承担相应法律法规责任。</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仿宋" w:hAnsi="仿宋" w:eastAsia="仿宋" w:cs="仿宋"/>
          <w:color w:val="000000"/>
          <w:sz w:val="32"/>
          <w:shd w:val="clear" w:color="auto" w:fill="FFFFFF"/>
        </w:rPr>
        <w:t>5.从事融资租赁业务的可行性研究报告（原件1份）。</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仿宋" w:hAnsi="仿宋" w:eastAsia="仿宋" w:cs="仿宋"/>
          <w:color w:val="000000"/>
          <w:sz w:val="32"/>
          <w:shd w:val="clear" w:color="auto" w:fill="FFFFFF"/>
        </w:rPr>
        <w:t>6.融资租赁企业的股东会、董事会（设董事会时提供）和监事会（设监事会时提供）的决议（原件1份）。</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仿宋" w:hAnsi="仿宋" w:eastAsia="仿宋" w:cs="仿宋"/>
          <w:color w:val="000000"/>
          <w:sz w:val="32"/>
          <w:shd w:val="clear" w:color="auto" w:fill="FFFFFF"/>
        </w:rPr>
        <w:t>7.融资租赁企业公司章程（原件1份）。</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仿宋" w:hAnsi="仿宋" w:eastAsia="仿宋" w:cs="仿宋"/>
          <w:color w:val="000000"/>
          <w:sz w:val="32"/>
          <w:shd w:val="clear" w:color="auto" w:fill="FFFFFF"/>
        </w:rPr>
        <w:t>8.融资租赁企业最近三年的审计报告和最近一期的财务报表（原件1份）；企业注册不足三年的，按实际提供；新设立未开展业务的可不提供。</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仿宋" w:hAnsi="仿宋" w:eastAsia="仿宋" w:cs="仿宋"/>
          <w:color w:val="000000"/>
          <w:sz w:val="32"/>
          <w:shd w:val="clear" w:color="auto" w:fill="FFFFFF"/>
        </w:rPr>
        <w:t>9.当年新设的融资租赁企业需提交企业法人股东以下资料，并加盖公章和法定代表人签字：1.法人股东近三年的审计报告（复印件1份，不足三年，按实际提供）；2.最近一期财务报表（原件1份）；3.人民银行的信用报告（原件1份）。</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仿宋" w:hAnsi="仿宋" w:eastAsia="仿宋" w:cs="仿宋"/>
          <w:color w:val="000000"/>
          <w:sz w:val="32"/>
          <w:shd w:val="clear" w:color="auto" w:fill="FFFFFF"/>
        </w:rPr>
        <w:t>10.企业制度：信息披露制度、内部风险控制制度、风险资产分类管理制度、承租人信用评估制度、关联交易管理制度、事后追偿和处置制度、财务制度、客户档案管理制度及保密制度等（原件各1份）。</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仿宋" w:hAnsi="仿宋" w:eastAsia="仿宋" w:cs="仿宋"/>
          <w:color w:val="000000"/>
          <w:sz w:val="32"/>
          <w:shd w:val="clear" w:color="auto" w:fill="FFFFFF"/>
        </w:rPr>
        <w:t>11.企业拟任（或现任）董事、监事和高级管理人员《董事监事高级管理人员基本情况表》并附个人信用记录报告（原件1份）。</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仿宋" w:hAnsi="仿宋" w:eastAsia="仿宋" w:cs="仿宋"/>
          <w:color w:val="000000"/>
          <w:sz w:val="32"/>
          <w:shd w:val="clear" w:color="auto" w:fill="FFFFFF"/>
        </w:rPr>
        <w:t>12.融资租赁企业关联企业中如有从事典当、小额贷款、信托、融资担保、融资租赁等业务的，需提供相关业务上一年简要经营情况，主要包括业务收入、利润、净资产总额、负债率等情况（原件1份）。</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仿宋" w:hAnsi="仿宋" w:eastAsia="仿宋" w:cs="仿宋"/>
          <w:color w:val="000000"/>
          <w:sz w:val="32"/>
          <w:shd w:val="clear" w:color="auto" w:fill="FFFFFF"/>
        </w:rPr>
        <w:t>13.融资租赁企业拟设立分支机构的，还需提供上一年度融资租赁业务的详细经营情况（原件1份，具体为全国融资租赁企业管理信息系统的年度经营情况表所载内容及对有关数据的详细分析说明）。</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黑体" w:hAnsi="宋体" w:eastAsia="黑体" w:cs="黑体"/>
          <w:color w:val="000000"/>
          <w:sz w:val="32"/>
          <w:shd w:val="clear" w:color="auto" w:fill="FFFFFF"/>
        </w:rPr>
        <w:t>二、融资租赁企业备案工作</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楷体" w:hAnsi="楷体" w:eastAsia="楷体" w:cs="楷体"/>
          <w:color w:val="000000"/>
          <w:sz w:val="32"/>
          <w:shd w:val="clear" w:color="auto" w:fill="FFFFFF"/>
        </w:rPr>
        <w:t>（一）备案条件</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仿宋" w:hAnsi="仿宋" w:eastAsia="仿宋" w:cs="仿宋"/>
          <w:color w:val="000000"/>
          <w:sz w:val="32"/>
          <w:shd w:val="clear" w:color="auto" w:fill="FFFFFF"/>
        </w:rPr>
        <w:t>1.在河南境内、经外商投资主管部门和审批管理部门审批、并在市场监管部门依法登记注册的外资融资租赁企业，应当自设立之日起30日内向监管部门备案。</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仿宋" w:hAnsi="仿宋" w:eastAsia="仿宋" w:cs="仿宋"/>
          <w:color w:val="000000"/>
          <w:sz w:val="32"/>
          <w:shd w:val="clear" w:color="auto" w:fill="FFFFFF"/>
        </w:rPr>
        <w:t>2.已经取得试点资格的内资融资租赁企业和已经备案的外资融资租赁企业，有下列变更事项之一的，应当自变更相关事项之日起30日内向监管部门备案。</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仿宋" w:hAnsi="仿宋" w:eastAsia="仿宋" w:cs="仿宋"/>
          <w:color w:val="000000"/>
          <w:sz w:val="32"/>
          <w:shd w:val="clear" w:color="auto" w:fill="FFFFFF"/>
        </w:rPr>
        <w:t>（1）变更名称。</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仿宋" w:hAnsi="仿宋" w:eastAsia="仿宋" w:cs="仿宋"/>
          <w:color w:val="000000"/>
          <w:sz w:val="32"/>
          <w:shd w:val="clear" w:color="auto" w:fill="FFFFFF"/>
        </w:rPr>
        <w:t>（2）变更组织形式。</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仿宋" w:hAnsi="仿宋" w:eastAsia="仿宋" w:cs="仿宋"/>
          <w:color w:val="000000"/>
          <w:sz w:val="32"/>
          <w:shd w:val="clear" w:color="auto" w:fill="FFFFFF"/>
        </w:rPr>
        <w:t>（3）变更注册资本。</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仿宋" w:hAnsi="仿宋" w:eastAsia="仿宋" w:cs="仿宋"/>
          <w:color w:val="000000"/>
          <w:sz w:val="32"/>
          <w:shd w:val="clear" w:color="auto" w:fill="FFFFFF"/>
        </w:rPr>
        <w:t>（4）变更公司住所。</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仿宋" w:hAnsi="仿宋" w:eastAsia="仿宋" w:cs="仿宋"/>
          <w:color w:val="000000"/>
          <w:sz w:val="32"/>
          <w:shd w:val="clear" w:color="auto" w:fill="FFFFFF"/>
        </w:rPr>
        <w:t>（5）变更股权结构。</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楷体" w:hAnsi="楷体" w:eastAsia="楷体" w:cs="楷体"/>
          <w:color w:val="000000"/>
          <w:sz w:val="32"/>
          <w:shd w:val="clear" w:color="auto" w:fill="FFFFFF"/>
        </w:rPr>
        <w:t>（二）备案应提交的材料</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仿宋" w:hAnsi="仿宋" w:eastAsia="仿宋" w:cs="仿宋"/>
          <w:color w:val="000000"/>
          <w:sz w:val="32"/>
          <w:shd w:val="clear" w:color="auto" w:fill="FFFFFF"/>
        </w:rPr>
        <w:t>1.融资租赁企业备案表（原件1份）。</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仿宋" w:hAnsi="仿宋" w:eastAsia="仿宋" w:cs="仿宋"/>
          <w:color w:val="000000"/>
          <w:sz w:val="32"/>
          <w:shd w:val="clear" w:color="auto" w:fill="FFFFFF"/>
        </w:rPr>
        <w:t>2.企业拟任（或现任）董事、监事和高级管理人员《董事监事高级管理人员基本情况表》并附个人信用记录报告（原件1份）。</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仿宋" w:hAnsi="仿宋" w:eastAsia="仿宋" w:cs="仿宋"/>
          <w:color w:val="000000"/>
          <w:sz w:val="32"/>
          <w:shd w:val="clear" w:color="auto" w:fill="FFFFFF"/>
        </w:rPr>
        <w:t>3.融资租赁企业公司章程（原件1份）。</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仿宋" w:hAnsi="仿宋" w:eastAsia="仿宋" w:cs="仿宋"/>
          <w:color w:val="000000"/>
          <w:sz w:val="32"/>
          <w:shd w:val="clear" w:color="auto" w:fill="FFFFFF"/>
        </w:rPr>
        <w:t>前述文件原件为外文的，应同时提交中文翻译件，外商投资企业或其投资者应确保中文翻译件内容与外文原件内容保持一致。</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黑体" w:hAnsi="宋体" w:eastAsia="黑体" w:cs="黑体"/>
          <w:color w:val="000000"/>
          <w:sz w:val="32"/>
          <w:shd w:val="clear" w:color="auto" w:fill="FFFFFF"/>
        </w:rPr>
        <w:t>三、申报程序</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楷体" w:hAnsi="楷体" w:eastAsia="楷体" w:cs="楷体"/>
          <w:color w:val="000000"/>
          <w:sz w:val="32"/>
          <w:shd w:val="clear" w:color="auto" w:fill="FFFFFF"/>
        </w:rPr>
        <w:t>（一）内资融资租赁企业业务试点办理程序</w:t>
      </w:r>
    </w:p>
    <w:p>
      <w:pPr>
        <w:pStyle w:val="12"/>
        <w:widowControl/>
        <w:shd w:val="clear" w:color="auto" w:fill="FFFFFF"/>
        <w:spacing w:before="0" w:beforeAutospacing="0" w:after="0" w:afterAutospacing="0" w:line="360" w:lineRule="atLeast"/>
        <w:ind w:firstLine="640"/>
        <w:jc w:val="both"/>
        <w:textAlignment w:val="top"/>
        <w:rPr>
          <w:rFonts w:ascii="微软雅黑" w:hAnsi="微软雅黑" w:eastAsia="微软雅黑" w:cs="微软雅黑"/>
          <w:color w:val="000000"/>
          <w:szCs w:val="24"/>
        </w:rPr>
      </w:pPr>
      <w:r>
        <w:rPr>
          <w:rFonts w:hint="eastAsia" w:ascii="仿宋" w:hAnsi="仿宋" w:eastAsia="仿宋" w:cs="仿宋"/>
          <w:color w:val="000000"/>
          <w:sz w:val="32"/>
          <w:shd w:val="clear" w:color="auto" w:fill="FFFFFF"/>
        </w:rPr>
        <w:t>1.申请。申请人符合本通知申请条件的，应按照材料清单准备相关材料,通过属地监管部门逐级上报。</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仿宋" w:hAnsi="仿宋" w:eastAsia="仿宋" w:cs="仿宋"/>
          <w:color w:val="000000"/>
          <w:sz w:val="32"/>
          <w:shd w:val="clear" w:color="auto" w:fill="FFFFFF"/>
        </w:rPr>
        <w:t>2.初审。各级监管部门对材料进行完整性、合规性审查。申请材料齐全、符合法定形式并经省辖市（含济源示范区，下同）金融局公示无异议的，报省地方金融监管局。审查中，需要材料补正或情况说明的，要于收到申请材料后5个工作日内一次性告知需要补正的清单，并要求申请人限期完善；需要现场核查的，可组织现场核查，并书面告知申请人。不符合设立条件的，应书面告知申请人并说明理由。</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仿宋" w:hAnsi="仿宋" w:eastAsia="仿宋" w:cs="仿宋"/>
          <w:color w:val="000000"/>
          <w:sz w:val="32"/>
          <w:shd w:val="clear" w:color="auto" w:fill="FFFFFF"/>
        </w:rPr>
        <w:t>3.决定。省地方金融监管局受理省辖市金融局提交请示，对材料进行完整性、合规性审查。省税务局核实融资租赁企业（或股东）依法纳税情况。经研究同意的，分别在省地方金融监管局和省税务局官方网站进行公示，公示期7天。公示无异议的，由省地方金融监管局、省税务局联合发文确认融资租赁企业资格。不予批准的，省地方金融监管局书面告知申请人，并说明理由。</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仿宋" w:hAnsi="仿宋" w:eastAsia="仿宋" w:cs="仿宋"/>
          <w:color w:val="000000"/>
          <w:sz w:val="32"/>
          <w:shd w:val="clear" w:color="auto" w:fill="FFFFFF"/>
        </w:rPr>
        <w:t>4.送达。省地方金融监管局将确认资格文件通过邮寄或自行领取等方式送达监管部门或申请人。属地监管部门应督促融资租赁企业5个工作日内登陆“全国融资租赁企业管理信息系统”填写完善相关基本信息。</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仿宋" w:hAnsi="仿宋" w:eastAsia="仿宋" w:cs="仿宋"/>
          <w:color w:val="000000"/>
          <w:sz w:val="32"/>
          <w:shd w:val="clear" w:color="auto" w:fill="FFFFFF"/>
        </w:rPr>
        <w:t>5.建档。各级监管部门应当对相关申请材料、补正材料、确认文件、备案材料等进行整理归档。</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楷体" w:hAnsi="楷体" w:eastAsia="楷体" w:cs="楷体"/>
          <w:color w:val="000000"/>
          <w:sz w:val="32"/>
          <w:shd w:val="clear" w:color="auto" w:fill="FFFFFF"/>
        </w:rPr>
        <w:t>（二）融资租赁企业备案办理程序</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仿宋" w:hAnsi="仿宋" w:eastAsia="仿宋" w:cs="仿宋"/>
          <w:color w:val="000000"/>
          <w:sz w:val="32"/>
          <w:shd w:val="clear" w:color="auto" w:fill="FFFFFF"/>
        </w:rPr>
        <w:t>外资融资租赁企业应在市场监管部门完成设立登记或变更登记后30日内，按照材料清单准备相关材料，由企业注册地所在省辖市监管部门向省地方金融监管局提交材料进行备案。</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黑体" w:hAnsi="宋体" w:eastAsia="黑体" w:cs="黑体"/>
          <w:color w:val="000000"/>
          <w:sz w:val="32"/>
          <w:shd w:val="clear" w:color="auto" w:fill="FFFFFF"/>
        </w:rPr>
        <w:t>四、有关要求</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仿宋" w:hAnsi="仿宋" w:eastAsia="仿宋" w:cs="仿宋"/>
          <w:color w:val="000000"/>
          <w:sz w:val="32"/>
          <w:shd w:val="clear" w:color="auto" w:fill="FFFFFF"/>
        </w:rPr>
        <w:t>（一）各级监管部门要认真指导申请人按要求准备材料，严格按照通知要求审核材料。</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仿宋" w:hAnsi="仿宋" w:eastAsia="仿宋" w:cs="仿宋"/>
          <w:color w:val="000000"/>
          <w:sz w:val="32"/>
          <w:shd w:val="clear" w:color="auto" w:fill="FFFFFF"/>
        </w:rPr>
        <w:t>（二）各级监管部门要组织辖内融资租赁企业及时、准确地报送月度经营情况统计表、全国融资租赁企业管理信息系统。省辖市金融局要于每月3日前将辖区内月度经营情况表报省地方金融监管局，于每季度结束后次月15日前通过全国融资租赁企业管理信息系统向省地方金融监管局报送上一季度统计表、说明等有关数据，于每年4月30日前向省地方金融监管局报送辖内融资租赁企业经审计机构审计的上一年度财务会计报告（含附注）和工作开展情况。</w:t>
      </w:r>
    </w:p>
    <w:p>
      <w:pPr>
        <w:pStyle w:val="12"/>
        <w:widowControl/>
        <w:shd w:val="clear" w:color="auto" w:fill="FFFFFF"/>
        <w:spacing w:before="0" w:beforeAutospacing="0" w:after="0" w:afterAutospacing="0"/>
        <w:ind w:firstLine="640"/>
        <w:jc w:val="both"/>
        <w:textAlignment w:val="top"/>
        <w:rPr>
          <w:rFonts w:ascii="微软雅黑" w:hAnsi="微软雅黑" w:eastAsia="微软雅黑" w:cs="微软雅黑"/>
          <w:color w:val="000000"/>
          <w:szCs w:val="24"/>
        </w:rPr>
      </w:pPr>
      <w:r>
        <w:rPr>
          <w:rFonts w:hint="eastAsia" w:ascii="仿宋" w:hAnsi="仿宋" w:eastAsia="仿宋" w:cs="仿宋"/>
          <w:color w:val="000000"/>
          <w:sz w:val="32"/>
          <w:shd w:val="clear" w:color="auto" w:fill="FFFFFF"/>
        </w:rPr>
        <w:t>（三）各级监管部门要认真落实属地管理责任，建立健全事中事后监管制度、违法违规经营行为公告制度，切实加强行业监管。对不按要求报送相关信息、经营存在异常、发生重大违法违规行为的，可采取加大现场检查频次、限期整改、建议取消有关财政税收等优惠政策、建议银行等金融机构取消融资及其他合作业务、取消融资租赁企业业务资格、将违规违法行为录入河南省企业信用信息警示系统等方式，予以惩戒。对涉嫌犯罪的，及时移交司法机关依法查处。</w:t>
      </w:r>
    </w:p>
    <w:p>
      <w:pPr>
        <w:pStyle w:val="12"/>
        <w:widowControl/>
        <w:shd w:val="clear" w:color="auto" w:fill="FFFFFF"/>
        <w:spacing w:before="0" w:beforeAutospacing="0" w:after="0" w:afterAutospacing="0" w:line="315" w:lineRule="atLeast"/>
        <w:jc w:val="both"/>
        <w:textAlignment w:val="top"/>
        <w:rPr>
          <w:rFonts w:ascii="仿宋" w:hAnsi="仿宋" w:eastAsia="仿宋" w:cs="仿宋"/>
          <w:color w:val="000000"/>
          <w:sz w:val="31"/>
          <w:szCs w:val="31"/>
          <w:shd w:val="clear" w:color="auto" w:fill="FFFFFF"/>
        </w:rPr>
      </w:pPr>
    </w:p>
    <w:p>
      <w:pPr>
        <w:pStyle w:val="12"/>
        <w:widowControl/>
        <w:shd w:val="clear" w:color="auto" w:fill="FFFFFF"/>
        <w:spacing w:before="0" w:beforeAutospacing="0" w:after="0" w:afterAutospacing="0" w:line="315" w:lineRule="atLeast"/>
        <w:jc w:val="both"/>
        <w:textAlignment w:val="top"/>
        <w:rPr>
          <w:rFonts w:ascii="仿宋" w:hAnsi="仿宋" w:eastAsia="仿宋" w:cs="仿宋"/>
          <w:color w:val="000000"/>
          <w:sz w:val="31"/>
          <w:szCs w:val="31"/>
          <w:shd w:val="clear" w:color="auto" w:fill="FFFFFF"/>
        </w:rPr>
      </w:pPr>
    </w:p>
    <w:p>
      <w:pPr>
        <w:pStyle w:val="12"/>
        <w:widowControl/>
        <w:shd w:val="clear" w:color="auto" w:fill="FFFFFF"/>
        <w:spacing w:before="0" w:beforeAutospacing="0" w:after="0" w:afterAutospacing="0" w:line="315" w:lineRule="atLeast"/>
        <w:jc w:val="both"/>
        <w:textAlignment w:val="top"/>
        <w:rPr>
          <w:rFonts w:ascii="仿宋" w:hAnsi="仿宋" w:eastAsia="仿宋" w:cs="仿宋"/>
          <w:color w:val="000000"/>
          <w:sz w:val="31"/>
          <w:szCs w:val="31"/>
          <w:shd w:val="clear" w:color="auto" w:fill="FFFFFF"/>
        </w:rPr>
      </w:pPr>
    </w:p>
    <w:p>
      <w:pPr>
        <w:pStyle w:val="12"/>
        <w:widowControl/>
        <w:shd w:val="clear" w:color="auto" w:fill="FFFFFF"/>
        <w:spacing w:before="0" w:beforeAutospacing="0" w:after="0" w:afterAutospacing="0" w:line="315" w:lineRule="atLeast"/>
        <w:jc w:val="both"/>
        <w:textAlignment w:val="top"/>
        <w:rPr>
          <w:rFonts w:ascii="仿宋" w:hAnsi="仿宋" w:eastAsia="仿宋" w:cs="仿宋"/>
          <w:color w:val="000000"/>
          <w:sz w:val="31"/>
          <w:szCs w:val="31"/>
          <w:shd w:val="clear" w:color="auto" w:fill="FFFFFF"/>
        </w:rPr>
      </w:pPr>
    </w:p>
    <w:p>
      <w:pPr>
        <w:pStyle w:val="12"/>
        <w:widowControl/>
        <w:shd w:val="clear" w:color="auto" w:fill="FFFFFF"/>
        <w:spacing w:before="0" w:beforeAutospacing="0" w:after="0" w:afterAutospacing="0" w:line="315" w:lineRule="atLeast"/>
        <w:jc w:val="both"/>
        <w:textAlignment w:val="top"/>
        <w:rPr>
          <w:rFonts w:ascii="仿宋" w:hAnsi="仿宋" w:eastAsia="仿宋" w:cs="仿宋"/>
          <w:color w:val="000000"/>
          <w:sz w:val="31"/>
          <w:szCs w:val="31"/>
          <w:shd w:val="clear" w:color="auto" w:fill="FFFFFF"/>
        </w:rPr>
      </w:pPr>
    </w:p>
    <w:p>
      <w:pPr>
        <w:pStyle w:val="12"/>
        <w:widowControl/>
        <w:shd w:val="clear" w:color="auto" w:fill="FFFFFF"/>
        <w:spacing w:before="0" w:beforeAutospacing="0" w:after="0" w:afterAutospacing="0" w:line="315" w:lineRule="atLeast"/>
        <w:jc w:val="both"/>
        <w:textAlignment w:val="top"/>
        <w:rPr>
          <w:rFonts w:ascii="仿宋" w:hAnsi="仿宋" w:eastAsia="仿宋" w:cs="仿宋"/>
          <w:color w:val="000000"/>
          <w:sz w:val="31"/>
          <w:szCs w:val="31"/>
          <w:shd w:val="clear" w:color="auto" w:fill="FFFFFF"/>
        </w:rPr>
      </w:pPr>
    </w:p>
    <w:p>
      <w:pPr>
        <w:pStyle w:val="12"/>
        <w:widowControl/>
        <w:shd w:val="clear" w:color="auto" w:fill="FFFFFF"/>
        <w:spacing w:before="0" w:beforeAutospacing="0" w:after="0" w:afterAutospacing="0" w:line="315" w:lineRule="atLeast"/>
        <w:jc w:val="both"/>
        <w:textAlignment w:val="top"/>
        <w:rPr>
          <w:rFonts w:ascii="仿宋" w:hAnsi="仿宋" w:eastAsia="仿宋" w:cs="仿宋"/>
          <w:color w:val="000000"/>
          <w:sz w:val="31"/>
          <w:szCs w:val="31"/>
          <w:shd w:val="clear" w:color="auto" w:fill="FFFFFF"/>
        </w:rPr>
      </w:pPr>
    </w:p>
    <w:p>
      <w:pPr>
        <w:pStyle w:val="12"/>
        <w:widowControl/>
        <w:shd w:val="clear" w:color="auto" w:fill="FFFFFF"/>
        <w:spacing w:before="0" w:beforeAutospacing="0" w:after="0" w:afterAutospacing="0" w:line="315" w:lineRule="atLeast"/>
        <w:jc w:val="both"/>
        <w:textAlignment w:val="top"/>
        <w:rPr>
          <w:rFonts w:ascii="仿宋" w:hAnsi="仿宋" w:eastAsia="仿宋" w:cs="仿宋"/>
          <w:color w:val="000000"/>
          <w:sz w:val="31"/>
          <w:szCs w:val="31"/>
          <w:shd w:val="clear" w:color="auto" w:fill="FFFFFF"/>
        </w:rPr>
      </w:pPr>
    </w:p>
    <w:p>
      <w:pPr>
        <w:pStyle w:val="12"/>
        <w:widowControl/>
        <w:shd w:val="clear" w:color="auto" w:fill="FFFFFF"/>
        <w:spacing w:before="0" w:beforeAutospacing="0" w:after="0" w:afterAutospacing="0" w:line="315" w:lineRule="atLeast"/>
        <w:jc w:val="both"/>
        <w:textAlignment w:val="top"/>
        <w:rPr>
          <w:rFonts w:ascii="仿宋" w:hAnsi="仿宋" w:eastAsia="仿宋" w:cs="仿宋"/>
          <w:color w:val="000000"/>
          <w:sz w:val="31"/>
          <w:szCs w:val="31"/>
          <w:shd w:val="clear" w:color="auto" w:fill="FFFFFF"/>
        </w:rPr>
      </w:pPr>
    </w:p>
    <w:p>
      <w:pPr>
        <w:pStyle w:val="12"/>
        <w:widowControl/>
        <w:shd w:val="clear" w:color="auto" w:fill="FFFFFF"/>
        <w:spacing w:before="0" w:beforeAutospacing="0" w:after="0" w:afterAutospacing="0" w:line="315" w:lineRule="atLeast"/>
        <w:jc w:val="both"/>
        <w:textAlignment w:val="top"/>
        <w:rPr>
          <w:rFonts w:ascii="仿宋" w:hAnsi="仿宋" w:eastAsia="仿宋" w:cs="仿宋"/>
          <w:color w:val="000000"/>
          <w:sz w:val="31"/>
          <w:szCs w:val="31"/>
          <w:shd w:val="clear" w:color="auto" w:fill="FFFFFF"/>
        </w:rPr>
      </w:pPr>
    </w:p>
    <w:p>
      <w:pPr>
        <w:pStyle w:val="3"/>
        <w:spacing w:line="560" w:lineRule="exact"/>
        <w:jc w:val="center"/>
        <w:rPr>
          <w:rFonts w:hint="eastAsia" w:asciiTheme="majorEastAsia" w:hAnsiTheme="majorEastAsia" w:cstheme="majorEastAsia"/>
          <w:spacing w:val="-20"/>
          <w:sz w:val="44"/>
        </w:rPr>
      </w:pPr>
      <w:bookmarkStart w:id="58" w:name="_Toc5387"/>
      <w:r>
        <w:rPr>
          <w:rFonts w:hint="eastAsia" w:asciiTheme="majorEastAsia" w:hAnsiTheme="majorEastAsia" w:cstheme="majorEastAsia"/>
          <w:spacing w:val="-20"/>
          <w:sz w:val="44"/>
        </w:rPr>
        <w:t>二十四：河南省地方金融监督管理局 关于做好商业保理行业有关工作的通知</w:t>
      </w:r>
      <w:bookmarkEnd w:id="58"/>
    </w:p>
    <w:p>
      <w:pPr>
        <w:keepNext/>
        <w:keepLines/>
        <w:spacing w:line="560" w:lineRule="exact"/>
        <w:ind w:firstLine="480" w:firstLineChars="200"/>
        <w:jc w:val="center"/>
        <w:rPr>
          <w:rStyle w:val="19"/>
          <w:rFonts w:hint="eastAsia" w:ascii="楷体" w:hAnsi="楷体" w:eastAsia="楷体" w:cs="楷体"/>
          <w:color w:val="000000"/>
          <w:sz w:val="24"/>
          <w:szCs w:val="24"/>
          <w:lang w:val="en-US" w:eastAsia="zh-CN"/>
        </w:rPr>
      </w:pPr>
      <w:r>
        <w:rPr>
          <w:rStyle w:val="19"/>
          <w:rFonts w:hint="eastAsia" w:ascii="楷体" w:hAnsi="楷体" w:eastAsia="楷体" w:cs="楷体"/>
          <w:color w:val="000000"/>
          <w:sz w:val="24"/>
          <w:szCs w:val="24"/>
          <w:lang w:eastAsia="zh-CN"/>
        </w:rPr>
        <w:t>河南省地方金融监督管理局文件</w:t>
      </w:r>
      <w:r>
        <w:rPr>
          <w:rStyle w:val="19"/>
          <w:rFonts w:hint="eastAsia" w:ascii="楷体" w:hAnsi="楷体" w:eastAsia="楷体" w:cs="楷体"/>
          <w:color w:val="000000"/>
          <w:sz w:val="24"/>
          <w:szCs w:val="24"/>
          <w:lang w:val="en-US" w:eastAsia="zh-CN"/>
        </w:rPr>
        <w:t xml:space="preserve"> </w:t>
      </w:r>
      <w:r>
        <w:rPr>
          <w:rStyle w:val="19"/>
          <w:rFonts w:hint="eastAsia" w:ascii="楷体" w:hAnsi="楷体" w:eastAsia="楷体" w:cs="楷体"/>
          <w:color w:val="000000"/>
          <w:sz w:val="24"/>
          <w:szCs w:val="24"/>
          <w:lang w:eastAsia="zh-CN"/>
        </w:rPr>
        <w:t>豫金发〔2020〕</w:t>
      </w:r>
      <w:r>
        <w:rPr>
          <w:rStyle w:val="19"/>
          <w:rFonts w:hint="eastAsia" w:ascii="楷体" w:hAnsi="楷体" w:eastAsia="楷体" w:cs="楷体"/>
          <w:color w:val="000000"/>
          <w:sz w:val="24"/>
          <w:szCs w:val="24"/>
          <w:lang w:val="en-US" w:eastAsia="zh-CN"/>
        </w:rPr>
        <w:t>6</w:t>
      </w:r>
      <w:r>
        <w:rPr>
          <w:rStyle w:val="19"/>
          <w:rFonts w:hint="eastAsia" w:ascii="楷体" w:hAnsi="楷体" w:eastAsia="楷体" w:cs="楷体"/>
          <w:color w:val="000000"/>
          <w:sz w:val="24"/>
          <w:szCs w:val="24"/>
          <w:lang w:eastAsia="zh-CN"/>
        </w:rPr>
        <w:t>号</w:t>
      </w:r>
      <w:r>
        <w:rPr>
          <w:rStyle w:val="19"/>
          <w:rFonts w:hint="eastAsia" w:ascii="楷体" w:hAnsi="楷体" w:eastAsia="楷体" w:cs="楷体"/>
          <w:color w:val="000000"/>
          <w:sz w:val="24"/>
          <w:szCs w:val="24"/>
          <w:lang w:val="en-US" w:eastAsia="zh-CN"/>
        </w:rPr>
        <w:t xml:space="preserve"> </w:t>
      </w:r>
    </w:p>
    <w:p>
      <w:pPr>
        <w:keepNext/>
        <w:keepLines/>
        <w:spacing w:line="560" w:lineRule="exact"/>
        <w:ind w:firstLine="480" w:firstLineChars="200"/>
        <w:jc w:val="center"/>
        <w:rPr>
          <w:b/>
          <w:bCs/>
        </w:rPr>
      </w:pPr>
      <w:r>
        <w:rPr>
          <w:rStyle w:val="19"/>
          <w:rFonts w:hint="eastAsia" w:ascii="楷体" w:hAnsi="楷体" w:eastAsia="楷体" w:cs="楷体"/>
          <w:color w:val="000000"/>
          <w:sz w:val="24"/>
          <w:szCs w:val="24"/>
        </w:rPr>
        <w:t>20</w:t>
      </w:r>
      <w:r>
        <w:rPr>
          <w:rStyle w:val="19"/>
          <w:rFonts w:hint="eastAsia" w:ascii="楷体" w:hAnsi="楷体" w:eastAsia="楷体" w:cs="楷体"/>
          <w:color w:val="000000"/>
          <w:sz w:val="24"/>
          <w:szCs w:val="24"/>
          <w:lang w:val="en-US" w:eastAsia="zh-CN"/>
        </w:rPr>
        <w:t>20</w:t>
      </w:r>
      <w:r>
        <w:rPr>
          <w:rStyle w:val="19"/>
          <w:rFonts w:hint="eastAsia" w:ascii="楷体" w:hAnsi="楷体" w:eastAsia="楷体" w:cs="楷体"/>
          <w:color w:val="000000"/>
          <w:sz w:val="24"/>
          <w:szCs w:val="24"/>
        </w:rPr>
        <w:t>年</w:t>
      </w:r>
      <w:r>
        <w:rPr>
          <w:rStyle w:val="19"/>
          <w:rFonts w:hint="eastAsia" w:ascii="楷体" w:hAnsi="楷体" w:eastAsia="楷体" w:cs="楷体"/>
          <w:color w:val="000000"/>
          <w:sz w:val="24"/>
          <w:szCs w:val="24"/>
          <w:lang w:val="en-US" w:eastAsia="zh-CN"/>
        </w:rPr>
        <w:t>1</w:t>
      </w:r>
      <w:r>
        <w:rPr>
          <w:rStyle w:val="19"/>
          <w:rFonts w:hint="eastAsia" w:ascii="楷体" w:hAnsi="楷体" w:eastAsia="楷体" w:cs="楷体"/>
          <w:color w:val="000000"/>
          <w:sz w:val="24"/>
          <w:szCs w:val="24"/>
        </w:rPr>
        <w:t>月</w:t>
      </w:r>
      <w:r>
        <w:rPr>
          <w:rStyle w:val="19"/>
          <w:rFonts w:hint="eastAsia" w:ascii="楷体" w:hAnsi="楷体" w:eastAsia="楷体" w:cs="楷体"/>
          <w:color w:val="000000"/>
          <w:sz w:val="24"/>
          <w:szCs w:val="24"/>
          <w:lang w:val="en-US" w:eastAsia="zh-CN"/>
        </w:rPr>
        <w:t>20</w:t>
      </w:r>
      <w:r>
        <w:rPr>
          <w:rStyle w:val="19"/>
          <w:rFonts w:hint="eastAsia" w:ascii="楷体" w:hAnsi="楷体" w:eastAsia="楷体" w:cs="楷体"/>
          <w:color w:val="000000"/>
          <w:sz w:val="24"/>
          <w:szCs w:val="24"/>
        </w:rPr>
        <w:t>日印发</w:t>
      </w:r>
    </w:p>
    <w:p>
      <w:pPr>
        <w:pStyle w:val="12"/>
        <w:widowControl/>
        <w:shd w:val="clear" w:color="auto" w:fill="FFFFFF"/>
        <w:spacing w:before="0" w:beforeAutospacing="0" w:after="0" w:afterAutospacing="0" w:line="315" w:lineRule="atLeast"/>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各省辖市、济源示范区金融局: </w:t>
      </w:r>
    </w:p>
    <w:p>
      <w:pPr>
        <w:pStyle w:val="12"/>
        <w:widowControl/>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为贯彻落实《中国银保监会办公厅关于加强商业保理企业监 督管理的通知》(银保监办发 〔2019〕205号)精神,进一步做 好我省商业保理企业监督管理,促进行业健康发展,现就有关事项通知如下:</w:t>
      </w:r>
    </w:p>
    <w:p>
      <w:pPr>
        <w:pStyle w:val="12"/>
        <w:widowControl/>
        <w:numPr>
          <w:ilvl w:val="0"/>
          <w:numId w:val="30"/>
        </w:numPr>
        <w:shd w:val="clear" w:color="auto" w:fill="FFFFFF"/>
        <w:spacing w:before="0" w:beforeAutospacing="0" w:after="0" w:afterAutospacing="0" w:line="315" w:lineRule="atLeast"/>
        <w:jc w:val="both"/>
        <w:textAlignment w:val="top"/>
        <w:rPr>
          <w:rFonts w:ascii="黑体" w:hAnsi="黑体" w:eastAsia="黑体" w:cs="黑体"/>
          <w:color w:val="000000"/>
          <w:sz w:val="31"/>
          <w:szCs w:val="31"/>
          <w:shd w:val="clear" w:color="auto" w:fill="FFFFFF"/>
        </w:rPr>
      </w:pPr>
      <w:r>
        <w:rPr>
          <w:rFonts w:hint="eastAsia" w:ascii="黑体" w:hAnsi="黑体" w:eastAsia="黑体" w:cs="黑体"/>
          <w:color w:val="000000"/>
          <w:sz w:val="31"/>
          <w:szCs w:val="31"/>
          <w:shd w:val="clear" w:color="auto" w:fill="FFFFFF"/>
        </w:rPr>
        <w:t xml:space="preserve">申请设立条件 </w:t>
      </w:r>
    </w:p>
    <w:p>
      <w:pPr>
        <w:pStyle w:val="12"/>
        <w:widowControl/>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在我省注册并开展相关业务的商业保理企业,应具备以下条 件: </w:t>
      </w:r>
    </w:p>
    <w:p>
      <w:pPr>
        <w:pStyle w:val="12"/>
        <w:widowControl/>
        <w:numPr>
          <w:ilvl w:val="0"/>
          <w:numId w:val="31"/>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企业名称。商业保理企业名称中的行业表述应当标明 “商业保理”字样。</w:t>
      </w:r>
    </w:p>
    <w:p>
      <w:pPr>
        <w:pStyle w:val="12"/>
        <w:widowControl/>
        <w:numPr>
          <w:ilvl w:val="0"/>
          <w:numId w:val="31"/>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注册资本金。设立商业保理企业注册资本金不低于1 亿元人民币或等值外币,全部为实收货币资本,一次性缴纳且来 源真实合法。 </w:t>
      </w:r>
    </w:p>
    <w:p>
      <w:pPr>
        <w:pStyle w:val="12"/>
        <w:widowControl/>
        <w:numPr>
          <w:ilvl w:val="0"/>
          <w:numId w:val="31"/>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股东。股东信誉良好,最近3年无重大违法违规记录。 支持有实力和有保理业务背景的出资人设立商业保理企业。 1. 主发起人 (第一大股东)须为企业法人,近3年内在市 场监管、税务、海关、银行业金融机构等无重大不良信用记录; 不存在义务未履行完毕的作为被执行人的执行案件;财务状况良 好,入股资金为自有资金,不得以债务资金或委托资金等非自有 资金入股;境外投资者或其关联实体应当具有从事保理业务的业 绩和经验。 2. 其他法人股东应管理规范、经营良好,有充足的货币资 金以满足出资需要;近2年内在市场监管、税务、海关、银行业 金融机构等无重大不良信用记录;不存在义务未履行完毕的作为 被执行人的执行案件。 </w:t>
      </w:r>
    </w:p>
    <w:p>
      <w:pPr>
        <w:pStyle w:val="12"/>
        <w:widowControl/>
        <w:numPr>
          <w:ilvl w:val="0"/>
          <w:numId w:val="31"/>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从业人员。</w:t>
      </w:r>
    </w:p>
    <w:p>
      <w:pPr>
        <w:pStyle w:val="12"/>
        <w:widowControl/>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商业保理企业应当拥有2名以上具有金融 领域管理经验且无不良信用记录的高级管理人员,拥有与其业务 相适应的合格专业人员。 有下列情形之一的,不得担任商业保理企业的董事、监事、 高级管理人员: 1. 无民事行为能力或者限制民事行为能力;  2. 因贪污、贿赂、侵占财产、挪用财产或者破坏社会主义 市场经济秩序,被判处刑罚,执行期满未逾5年,或者因犯罪被 剥夺政治权利,执行期满未逾5年; 3. 担任破产清算的企业的董事或者厂长、经理,对该企业 的破产负有个人责任的,自该企业破产清算完结之日起未逾3 年; 4. 担任因违法被吊销营业执照、责令关闭的企业的法定代 表人,并负有个人责任的,自该企业被吊销营业执照之日起未逾 3年; 5. 个人所负数额较大的债务到期未清偿; 6. 被列入失信被执行人或被有关部门联合惩戒的。 </w:t>
      </w:r>
    </w:p>
    <w:p>
      <w:pPr>
        <w:pStyle w:val="12"/>
        <w:widowControl/>
        <w:numPr>
          <w:ilvl w:val="0"/>
          <w:numId w:val="31"/>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经营范围。</w:t>
      </w:r>
    </w:p>
    <w:p>
      <w:pPr>
        <w:pStyle w:val="12"/>
        <w:widowControl/>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商业保理业务是供应商将其基于真实交易 的应收账款转让给商业保理企业,由商业保理企业向其提供的以 下服务: 1. 保理融资; 2. 销售分户 (分类)账管理; 3. 应收账款催收; 4. 非商业性坏账担保。 商业保理企业应主要经营商业保理业务,同时还可经营客户 资信调查与评估、与商业保理相关的咨询服务。 </w:t>
      </w:r>
    </w:p>
    <w:p>
      <w:pPr>
        <w:pStyle w:val="12"/>
        <w:widowControl/>
        <w:numPr>
          <w:ilvl w:val="0"/>
          <w:numId w:val="31"/>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具有健全的内部管理制度和风险控制制度。</w:t>
      </w:r>
    </w:p>
    <w:p>
      <w:pPr>
        <w:pStyle w:val="12"/>
        <w:widowControl/>
        <w:numPr>
          <w:ilvl w:val="0"/>
          <w:numId w:val="31"/>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法律法规规定的其他条件。</w:t>
      </w:r>
    </w:p>
    <w:p>
      <w:pPr>
        <w:pStyle w:val="12"/>
        <w:widowControl/>
        <w:numPr>
          <w:ilvl w:val="0"/>
          <w:numId w:val="30"/>
        </w:numPr>
        <w:shd w:val="clear" w:color="auto" w:fill="FFFFFF"/>
        <w:spacing w:before="0" w:beforeAutospacing="0" w:after="0" w:afterAutospacing="0" w:line="315" w:lineRule="atLeast"/>
        <w:jc w:val="both"/>
        <w:textAlignment w:val="top"/>
        <w:rPr>
          <w:rFonts w:ascii="黑体" w:hAnsi="黑体" w:eastAsia="黑体" w:cs="黑体"/>
          <w:color w:val="000000"/>
          <w:sz w:val="31"/>
          <w:szCs w:val="31"/>
          <w:shd w:val="clear" w:color="auto" w:fill="FFFFFF"/>
        </w:rPr>
      </w:pPr>
      <w:r>
        <w:rPr>
          <w:rFonts w:hint="eastAsia" w:ascii="黑体" w:hAnsi="黑体" w:eastAsia="黑体" w:cs="黑体"/>
          <w:color w:val="000000"/>
          <w:sz w:val="31"/>
          <w:szCs w:val="31"/>
          <w:shd w:val="clear" w:color="auto" w:fill="FFFFFF"/>
        </w:rPr>
        <w:t xml:space="preserve">申请材料清单 </w:t>
      </w:r>
    </w:p>
    <w:p>
      <w:pPr>
        <w:pStyle w:val="12"/>
        <w:widowControl/>
        <w:numPr>
          <w:ilvl w:val="0"/>
          <w:numId w:val="32"/>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商业保理企业基本情况表 (原件1份)。 </w:t>
      </w:r>
    </w:p>
    <w:p>
      <w:pPr>
        <w:pStyle w:val="12"/>
        <w:widowControl/>
        <w:numPr>
          <w:ilvl w:val="0"/>
          <w:numId w:val="32"/>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可行性研究报告 (原件1份)。 </w:t>
      </w:r>
    </w:p>
    <w:p>
      <w:pPr>
        <w:pStyle w:val="12"/>
        <w:widowControl/>
        <w:numPr>
          <w:ilvl w:val="0"/>
          <w:numId w:val="32"/>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在当地主流报纸刊登的公告 (原件1份)。内容包括: 商业保理企业名称、住所、注册资本、股东及股权比例、拟任董 事长、拟任监事长、拟任总经理人选,承诺申报材料真实合法、 依法合规经营,并承担相应法律责任。 </w:t>
      </w:r>
    </w:p>
    <w:p>
      <w:pPr>
        <w:pStyle w:val="12"/>
        <w:widowControl/>
        <w:numPr>
          <w:ilvl w:val="0"/>
          <w:numId w:val="32"/>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商业保理企业章程 (原件1份)。 </w:t>
      </w:r>
    </w:p>
    <w:p>
      <w:pPr>
        <w:pStyle w:val="12"/>
        <w:widowControl/>
        <w:numPr>
          <w:ilvl w:val="0"/>
          <w:numId w:val="32"/>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企业法人股东相关资料,并加盖公章和法定代表人签 字:1. 法人股东近3年的审计报告 (复印件1份,不足3年,按 实际提供);2. 最近1期年度财务报表 (原件1份);3. 人民银 行的信用报告 (原件1份)。 </w:t>
      </w:r>
    </w:p>
    <w:p>
      <w:pPr>
        <w:pStyle w:val="12"/>
        <w:widowControl/>
        <w:numPr>
          <w:ilvl w:val="0"/>
          <w:numId w:val="32"/>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实收货币资本验资报告 (原件1份)。</w:t>
      </w:r>
    </w:p>
    <w:p>
      <w:pPr>
        <w:pStyle w:val="12"/>
        <w:widowControl/>
        <w:numPr>
          <w:ilvl w:val="0"/>
          <w:numId w:val="32"/>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董事长 (执行董事)、总经理、监事长 (监事会主席)、 财务负责人、风控负责人等主要高管人员填写的《董事监事高级 管理人员基本情况表》并附个人信用记录报告(原件1份)。      </w:t>
      </w:r>
    </w:p>
    <w:p>
      <w:pPr>
        <w:pStyle w:val="12"/>
        <w:widowControl/>
        <w:numPr>
          <w:ilvl w:val="0"/>
          <w:numId w:val="32"/>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商业保理企业如关联企业中有从事典当、小额贷款、 信托、融资担保、融资租赁等业务的,需提供相关业务上年度简 要经营情况,主要包括业务收入、利润、净资产总额、负债率等 情况 (原件1份)。 </w:t>
      </w:r>
    </w:p>
    <w:p>
      <w:pPr>
        <w:pStyle w:val="12"/>
        <w:widowControl/>
        <w:numPr>
          <w:ilvl w:val="0"/>
          <w:numId w:val="30"/>
        </w:numPr>
        <w:shd w:val="clear" w:color="auto" w:fill="FFFFFF"/>
        <w:spacing w:before="0" w:beforeAutospacing="0" w:after="0" w:afterAutospacing="0" w:line="315" w:lineRule="atLeast"/>
        <w:jc w:val="both"/>
        <w:textAlignment w:val="top"/>
        <w:rPr>
          <w:rFonts w:ascii="黑体" w:hAnsi="黑体" w:eastAsia="黑体" w:cs="黑体"/>
          <w:color w:val="000000"/>
          <w:sz w:val="31"/>
          <w:szCs w:val="31"/>
          <w:shd w:val="clear" w:color="auto" w:fill="FFFFFF"/>
        </w:rPr>
      </w:pPr>
      <w:r>
        <w:rPr>
          <w:rFonts w:hint="eastAsia" w:ascii="黑体" w:hAnsi="黑体" w:eastAsia="黑体" w:cs="黑体"/>
          <w:color w:val="000000"/>
          <w:sz w:val="31"/>
          <w:szCs w:val="31"/>
          <w:shd w:val="clear" w:color="auto" w:fill="FFFFFF"/>
        </w:rPr>
        <w:t xml:space="preserve">申请设立程序 </w:t>
      </w:r>
    </w:p>
    <w:p>
      <w:pPr>
        <w:pStyle w:val="12"/>
        <w:widowControl/>
        <w:numPr>
          <w:ilvl w:val="0"/>
          <w:numId w:val="33"/>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申请。申请人符合设立条件的,应按照清单准备相关  材料,通过属地监管部门逐级上报。</w:t>
      </w:r>
    </w:p>
    <w:p>
      <w:pPr>
        <w:pStyle w:val="12"/>
        <w:widowControl/>
        <w:numPr>
          <w:ilvl w:val="0"/>
          <w:numId w:val="33"/>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初审。各级监管部门对材料进行完整性、合规性审查。 申请材料齐全、符合法定形式并经省辖市 (含济源示范区,下 同)金融局公示无异议的,报省地方金融监管局。审查中,应当 对办公场所进行现场核查;需要材料补正或情况说明的,应于收 到申请材料后5个工作日内一次性告知需要补正的清单,并要求 申请人限期完善;需要征求有关部门意见的,应直接向有关部门 函证。不符合设立条件的,应书面告知申请人并说明理由。 </w:t>
      </w:r>
    </w:p>
    <w:p>
      <w:pPr>
        <w:pStyle w:val="12"/>
        <w:widowControl/>
        <w:numPr>
          <w:ilvl w:val="0"/>
          <w:numId w:val="33"/>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决定。省地方金融监管局受理省辖市金融局提交的请 示,对材料进行完整性、合规性审查,研究同意的在官方网站上 进行公示。公示无异议的,下发同意设立批复;不予批准的,书 面告知申请人,并说明理由。</w:t>
      </w:r>
    </w:p>
    <w:p>
      <w:pPr>
        <w:pStyle w:val="12"/>
        <w:widowControl/>
        <w:numPr>
          <w:ilvl w:val="0"/>
          <w:numId w:val="33"/>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送达。省地方金融监管局将批准文件通过邮寄或自行 领取等方式送达监管部门或申请人。属地监管部门应督促商业保 理企业5个工作日内登陆 “商业保理信息管理系统”填写完善相 关基本信息。</w:t>
      </w:r>
    </w:p>
    <w:p>
      <w:pPr>
        <w:pStyle w:val="12"/>
        <w:widowControl/>
        <w:numPr>
          <w:ilvl w:val="0"/>
          <w:numId w:val="33"/>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建档。各级监管部门应当对相关申请材料、补正材料、 确认文件等进行整理归档。 </w:t>
      </w:r>
    </w:p>
    <w:p>
      <w:pPr>
        <w:pStyle w:val="12"/>
        <w:widowControl/>
        <w:numPr>
          <w:ilvl w:val="0"/>
          <w:numId w:val="30"/>
        </w:numPr>
        <w:shd w:val="clear" w:color="auto" w:fill="FFFFFF"/>
        <w:spacing w:before="0" w:beforeAutospacing="0" w:after="0" w:afterAutospacing="0" w:line="315" w:lineRule="atLeast"/>
        <w:jc w:val="both"/>
        <w:textAlignment w:val="top"/>
        <w:rPr>
          <w:rFonts w:ascii="黑体" w:hAnsi="黑体" w:eastAsia="黑体" w:cs="黑体"/>
          <w:color w:val="000000"/>
          <w:sz w:val="31"/>
          <w:szCs w:val="31"/>
          <w:shd w:val="clear" w:color="auto" w:fill="FFFFFF"/>
        </w:rPr>
      </w:pPr>
      <w:r>
        <w:rPr>
          <w:rFonts w:hint="eastAsia" w:ascii="黑体" w:hAnsi="黑体" w:eastAsia="黑体" w:cs="黑体"/>
          <w:color w:val="000000"/>
          <w:sz w:val="31"/>
          <w:szCs w:val="31"/>
          <w:shd w:val="clear" w:color="auto" w:fill="FFFFFF"/>
        </w:rPr>
        <w:t xml:space="preserve">有关要求 </w:t>
      </w:r>
    </w:p>
    <w:p>
      <w:pPr>
        <w:pStyle w:val="12"/>
        <w:widowControl/>
        <w:numPr>
          <w:ilvl w:val="0"/>
          <w:numId w:val="34"/>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各级监管部门要建立健全事中事后监管制度,监督企 业依法合规开展经营,采用现场检查和非现场监管方式加强监 管,加强风险监测、分析和预警,切实防范和化解风险。</w:t>
      </w:r>
    </w:p>
    <w:p>
      <w:pPr>
        <w:pStyle w:val="12"/>
        <w:widowControl/>
        <w:numPr>
          <w:ilvl w:val="0"/>
          <w:numId w:val="34"/>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商业保理企业应遵守以下监管要求: 1. 受让同一债务人的应收账款,不得超过风险资产总额的 50%; 2. 受让以其关联企业为债务人的应收账款,不得超过风险 资产总额的40%; 3. 将逾期90天未收回或未实现的保理融资款纳入不良资产 管理; 4. 计提的风险准备金,不得低于融资保理业务期末余额的 1%; 5. 风险资产不得超过净资产的10倍。</w:t>
      </w:r>
    </w:p>
    <w:p>
      <w:pPr>
        <w:pStyle w:val="12"/>
        <w:widowControl/>
        <w:numPr>
          <w:ilvl w:val="0"/>
          <w:numId w:val="34"/>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商业保理企业不得有以下行为或经营以下业务: 1. 吸收或变相吸收公众存款; 2. 通过网络借贷信息中介机构、地方各类交易场所、资产 管理机构以及私募投资基金等机构融入资金; 3. 与其他商业保理企业拆借或变相拆借资金; 4. 发放贷款或受托发放贷款; 5. 专门从事或受托开展与商业保理无关的催收业务、讨债 业务; 6. 基于不合法基础交易合同、寄售合同、权属不清的应收 账款、因票据或其他有价证券而产生的付款请求权等开展保理融 资业务; 7. 国家规定不得从事的其他活动。 </w:t>
      </w:r>
    </w:p>
    <w:p>
      <w:pPr>
        <w:pStyle w:val="12"/>
        <w:widowControl/>
        <w:numPr>
          <w:ilvl w:val="0"/>
          <w:numId w:val="34"/>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商业保理企业应在下列事项发生后10个工作日内向属 地监管部门报告: 1. 单笔金额超过净资产5%的重大关联交易; 2. 单笔金额超过净资产10%的重大债务; 3. 单笔金额超过净资产20%的或有负债; 4. 超过净资产10%的重大损失或赔偿责任; 5. 重大待决诉讼、仲裁。 </w:t>
      </w:r>
    </w:p>
    <w:p>
      <w:pPr>
        <w:pStyle w:val="12"/>
        <w:widowControl/>
        <w:numPr>
          <w:ilvl w:val="0"/>
          <w:numId w:val="34"/>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各级监管部门要结合非现场监管发现的问题和风险监 管要求,加大现场检查的力度,提升现场检查的深度和广度,提 高检查的质量和效率。 现场检查可采取询问商业保理企业工作人员、查阅复制与检 查事项相关的文件、资料、系统数据等方式,并可委托第三方中 介机构实施。 </w:t>
      </w:r>
    </w:p>
    <w:p>
      <w:pPr>
        <w:pStyle w:val="12"/>
        <w:widowControl/>
        <w:numPr>
          <w:ilvl w:val="0"/>
          <w:numId w:val="34"/>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商业保理企业要遵守法律、法规、规章及相关规定, 接受监管部门的监管,及时、准确报送信息。商业保理企业应在 每月2日以前,如实填报上月度经营情况统计表、说明等有关数 据,报属地监管部门,省辖市金融局每月3日前将辖区内企业情 况报省地方金融监管局;省辖市金融局应当于3月底前向省地方 金融监管局报送辖区内企业经审计机构审计的上年度财务会计报 告 (含附注)和工作开展情况。 </w:t>
      </w:r>
    </w:p>
    <w:p>
      <w:pPr>
        <w:pStyle w:val="12"/>
        <w:widowControl/>
        <w:numPr>
          <w:ilvl w:val="0"/>
          <w:numId w:val="34"/>
        </w:numPr>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 xml:space="preserve">对不按要求报送相关信息、经营存在异常、发生重大 违法违规行为的企业,监管部门要加大现场检查的频次,确有必 要的下达限期整改通知;拒绝整改或整改验收不合格的,建议银 行等金融机构取消融资及其他合作业务,将其违法违规行为录入 河南省企业信用信息公示系统,采取多种措施进行联合惩戒,劝 导其申请变更企业名称和业务范围、自愿注销或依法吊销营业执 照。对涉嫌犯罪的,及时移交公安机关依法查处。 </w:t>
      </w:r>
    </w:p>
    <w:p>
      <w:pPr>
        <w:pStyle w:val="12"/>
        <w:widowControl/>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(八)各地要积极出台风险补偿、奖励、贴息等政策,引导 商业保理企业更好为中小微企业提供融资服务。 注册地在自贸区内的商业保理企业可以按照有关规定享受自 贸区关于商业保理企业和支持企业发展的各项优惠政策。</w:t>
      </w:r>
    </w:p>
    <w:p>
      <w:pPr>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br w:type="page"/>
      </w:r>
    </w:p>
    <w:p>
      <w:pPr>
        <w:pStyle w:val="3"/>
        <w:jc w:val="center"/>
        <w:rPr>
          <w:sz w:val="44"/>
          <w:szCs w:val="44"/>
        </w:rPr>
      </w:pPr>
      <w:bookmarkStart w:id="59" w:name="_Toc31543"/>
      <w:r>
        <w:rPr>
          <w:sz w:val="44"/>
          <w:szCs w:val="44"/>
        </w:rPr>
        <w:t>二十五、河南省金融支持经济社会平稳健康发展工作方案</w:t>
      </w:r>
      <w:bookmarkEnd w:id="59"/>
    </w:p>
    <w:p>
      <w:pPr>
        <w:keepNext/>
        <w:keepLines/>
        <w:spacing w:line="560" w:lineRule="exact"/>
        <w:ind w:firstLine="480" w:firstLineChars="200"/>
        <w:jc w:val="center"/>
        <w:rPr>
          <w:rStyle w:val="19"/>
          <w:rFonts w:hint="eastAsia" w:ascii="楷体" w:hAnsi="楷体" w:eastAsia="楷体" w:cs="楷体"/>
          <w:color w:val="000000"/>
          <w:sz w:val="24"/>
          <w:szCs w:val="24"/>
          <w:lang w:val="en-US" w:eastAsia="zh-CN"/>
        </w:rPr>
      </w:pPr>
      <w:r>
        <w:rPr>
          <w:rStyle w:val="19"/>
          <w:rFonts w:hint="eastAsia" w:ascii="楷体" w:hAnsi="楷体" w:eastAsia="楷体" w:cs="楷体"/>
          <w:color w:val="000000"/>
          <w:sz w:val="24"/>
          <w:szCs w:val="24"/>
          <w:lang w:eastAsia="zh-CN"/>
        </w:rPr>
        <w:t>河南省地方金融监督管理局文件</w:t>
      </w:r>
      <w:r>
        <w:rPr>
          <w:rStyle w:val="19"/>
          <w:rFonts w:hint="eastAsia" w:ascii="楷体" w:hAnsi="楷体" w:eastAsia="楷体" w:cs="楷体"/>
          <w:color w:val="000000"/>
          <w:sz w:val="24"/>
          <w:szCs w:val="24"/>
          <w:lang w:val="en-US" w:eastAsia="zh-CN"/>
        </w:rPr>
        <w:t xml:space="preserve"> </w:t>
      </w:r>
      <w:r>
        <w:rPr>
          <w:rStyle w:val="19"/>
          <w:rFonts w:hint="eastAsia" w:ascii="楷体" w:hAnsi="楷体" w:eastAsia="楷体" w:cs="楷体"/>
          <w:color w:val="000000"/>
          <w:sz w:val="24"/>
          <w:szCs w:val="24"/>
          <w:lang w:eastAsia="zh-CN"/>
        </w:rPr>
        <w:t>豫金发〔20</w:t>
      </w:r>
      <w:r>
        <w:rPr>
          <w:rStyle w:val="19"/>
          <w:rFonts w:hint="eastAsia" w:ascii="楷体" w:hAnsi="楷体" w:eastAsia="楷体" w:cs="楷体"/>
          <w:color w:val="000000"/>
          <w:sz w:val="24"/>
          <w:szCs w:val="24"/>
          <w:lang w:val="en-US" w:eastAsia="zh-CN"/>
        </w:rPr>
        <w:t>22</w:t>
      </w:r>
      <w:r>
        <w:rPr>
          <w:rStyle w:val="19"/>
          <w:rFonts w:hint="eastAsia" w:ascii="楷体" w:hAnsi="楷体" w:eastAsia="楷体" w:cs="楷体"/>
          <w:color w:val="000000"/>
          <w:sz w:val="24"/>
          <w:szCs w:val="24"/>
          <w:lang w:eastAsia="zh-CN"/>
        </w:rPr>
        <w:t>〕</w:t>
      </w:r>
      <w:r>
        <w:rPr>
          <w:rStyle w:val="19"/>
          <w:rFonts w:hint="eastAsia" w:ascii="楷体" w:hAnsi="楷体" w:eastAsia="楷体" w:cs="楷体"/>
          <w:color w:val="000000"/>
          <w:sz w:val="24"/>
          <w:szCs w:val="24"/>
          <w:lang w:val="en-US" w:eastAsia="zh-CN"/>
        </w:rPr>
        <w:t>89</w:t>
      </w:r>
      <w:r>
        <w:rPr>
          <w:rStyle w:val="19"/>
          <w:rFonts w:hint="eastAsia" w:ascii="楷体" w:hAnsi="楷体" w:eastAsia="楷体" w:cs="楷体"/>
          <w:color w:val="000000"/>
          <w:sz w:val="24"/>
          <w:szCs w:val="24"/>
          <w:lang w:eastAsia="zh-CN"/>
        </w:rPr>
        <w:t>号</w:t>
      </w:r>
      <w:r>
        <w:rPr>
          <w:rStyle w:val="19"/>
          <w:rFonts w:hint="eastAsia" w:ascii="楷体" w:hAnsi="楷体" w:eastAsia="楷体" w:cs="楷体"/>
          <w:color w:val="000000"/>
          <w:sz w:val="24"/>
          <w:szCs w:val="24"/>
          <w:lang w:val="en-US" w:eastAsia="zh-CN"/>
        </w:rPr>
        <w:t xml:space="preserve"> </w:t>
      </w:r>
    </w:p>
    <w:p>
      <w:pPr>
        <w:keepNext/>
        <w:keepLines/>
        <w:spacing w:line="560" w:lineRule="exact"/>
        <w:ind w:firstLine="480" w:firstLineChars="200"/>
        <w:jc w:val="center"/>
      </w:pPr>
      <w:r>
        <w:rPr>
          <w:rStyle w:val="19"/>
          <w:rFonts w:hint="eastAsia" w:ascii="楷体" w:hAnsi="楷体" w:eastAsia="楷体" w:cs="楷体"/>
          <w:color w:val="000000"/>
          <w:sz w:val="24"/>
          <w:szCs w:val="24"/>
        </w:rPr>
        <w:t>20</w:t>
      </w:r>
      <w:r>
        <w:rPr>
          <w:rStyle w:val="19"/>
          <w:rFonts w:hint="eastAsia" w:ascii="楷体" w:hAnsi="楷体" w:eastAsia="楷体" w:cs="楷体"/>
          <w:color w:val="000000"/>
          <w:sz w:val="24"/>
          <w:szCs w:val="24"/>
          <w:lang w:val="en-US" w:eastAsia="zh-CN"/>
        </w:rPr>
        <w:t>22</w:t>
      </w:r>
      <w:r>
        <w:rPr>
          <w:rStyle w:val="19"/>
          <w:rFonts w:hint="eastAsia" w:ascii="楷体" w:hAnsi="楷体" w:eastAsia="楷体" w:cs="楷体"/>
          <w:color w:val="000000"/>
          <w:sz w:val="24"/>
          <w:szCs w:val="24"/>
        </w:rPr>
        <w:t>年</w:t>
      </w:r>
      <w:r>
        <w:rPr>
          <w:rStyle w:val="19"/>
          <w:rFonts w:hint="eastAsia" w:ascii="楷体" w:hAnsi="楷体" w:eastAsia="楷体" w:cs="楷体"/>
          <w:color w:val="000000"/>
          <w:sz w:val="24"/>
          <w:szCs w:val="24"/>
          <w:lang w:val="en-US" w:eastAsia="zh-CN"/>
        </w:rPr>
        <w:t>6</w:t>
      </w:r>
      <w:r>
        <w:rPr>
          <w:rStyle w:val="19"/>
          <w:rFonts w:hint="eastAsia" w:ascii="楷体" w:hAnsi="楷体" w:eastAsia="楷体" w:cs="楷体"/>
          <w:color w:val="000000"/>
          <w:sz w:val="24"/>
          <w:szCs w:val="24"/>
        </w:rPr>
        <w:t>月</w:t>
      </w:r>
      <w:r>
        <w:rPr>
          <w:rStyle w:val="19"/>
          <w:rFonts w:hint="eastAsia" w:ascii="楷体" w:hAnsi="楷体" w:eastAsia="楷体" w:cs="楷体"/>
          <w:color w:val="000000"/>
          <w:sz w:val="24"/>
          <w:szCs w:val="24"/>
          <w:lang w:val="en-US" w:eastAsia="zh-CN"/>
        </w:rPr>
        <w:t>15</w:t>
      </w:r>
      <w:r>
        <w:rPr>
          <w:rStyle w:val="19"/>
          <w:rFonts w:hint="eastAsia" w:ascii="楷体" w:hAnsi="楷体" w:eastAsia="楷体" w:cs="楷体"/>
          <w:color w:val="000000"/>
          <w:sz w:val="24"/>
          <w:szCs w:val="24"/>
        </w:rPr>
        <w:t>日印发</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ascii="仿宋_GB2312" w:hAnsi="微软雅黑" w:cs="仿宋_GB2312"/>
          <w:color w:val="000000"/>
          <w:sz w:val="31"/>
          <w:szCs w:val="31"/>
          <w:shd w:val="clear" w:color="auto" w:fill="FFFFFF"/>
        </w:rPr>
        <w:t>为深入贯彻习近平总书记“疫情要防住、经济要稳住、发展要安全”重要指示精神，全面落实党中央、国务院和省委、省政府关于稳住经济各项决策部署，高效统筹疫情防控和经济社会发展，确保各项金融政策落地见效，为稳住经济大盘提供坚实的金融支撑，特制定本工作方案。</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ascii="黑体" w:hAnsi="宋体" w:eastAsia="黑体" w:cs="黑体"/>
          <w:color w:val="000000"/>
          <w:sz w:val="31"/>
          <w:szCs w:val="31"/>
          <w:shd w:val="clear" w:color="auto" w:fill="FFFFFF"/>
        </w:rPr>
        <w:t>一、鼓励对中小微企业和个体工商户、货车司机贷款及受疫情影响的个人住房与消费贷款等实施延期还本付息</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ascii="Times New Roman" w:hAnsi="Times New Roman" w:eastAsia="微软雅黑"/>
          <w:color w:val="000000"/>
          <w:sz w:val="31"/>
          <w:szCs w:val="31"/>
          <w:shd w:val="clear" w:color="auto" w:fill="FFFFFF"/>
        </w:rPr>
        <w:t>1.</w:t>
      </w:r>
      <w:r>
        <w:rPr>
          <w:rFonts w:hint="eastAsia" w:ascii="仿宋_GB2312" w:hAnsi="微软雅黑" w:cs="仿宋_GB2312"/>
          <w:color w:val="000000"/>
          <w:sz w:val="31"/>
          <w:szCs w:val="31"/>
          <w:shd w:val="clear" w:color="auto" w:fill="FFFFFF"/>
        </w:rPr>
        <w:t>对</w:t>
      </w:r>
      <w:r>
        <w:rPr>
          <w:rFonts w:hint="eastAsia" w:ascii="仿宋_GB2312" w:hAnsi="Times New Roman" w:cs="仿宋_GB2312"/>
          <w:color w:val="000000"/>
          <w:sz w:val="31"/>
          <w:szCs w:val="31"/>
          <w:shd w:val="clear" w:color="auto" w:fill="FFFFFF"/>
        </w:rPr>
        <w:t>受</w:t>
      </w:r>
      <w:r>
        <w:rPr>
          <w:rFonts w:hint="eastAsia" w:ascii="仿宋_GB2312" w:hAnsi="微软雅黑" w:cs="仿宋_GB2312"/>
          <w:color w:val="000000"/>
          <w:sz w:val="31"/>
          <w:szCs w:val="31"/>
          <w:shd w:val="clear" w:color="auto" w:fill="FFFFFF"/>
        </w:rPr>
        <w:t>疫情影响暂时遇到困难的中小微企业和个体工商户以及交通运输企业、货车司机、快递人员等特殊群体，引导银行业金融机构加强融资需求跟踪服务，在贷款到期前主动开展接续融资信贷评审，对符合条件的积极给予续贷支持，不得盲目限贷、抽贷、断贷。引导银行业金融机构继续按市场化原则与中小微企业和个体工商户、货车司机等自主协商，对其贷款实施延期还本付息，努力做到应延尽延，延期还本付息日期原则上不超过</w:t>
      </w:r>
      <w:r>
        <w:rPr>
          <w:rFonts w:ascii="Times New Roman" w:hAnsi="Times New Roman"/>
          <w:color w:val="000000"/>
          <w:sz w:val="31"/>
          <w:szCs w:val="31"/>
          <w:shd w:val="clear" w:color="auto" w:fill="FFFFFF"/>
        </w:rPr>
        <w:t>2022</w:t>
      </w:r>
      <w:r>
        <w:rPr>
          <w:rFonts w:hint="eastAsia" w:ascii="仿宋_GB2312" w:hAnsi="微软雅黑" w:cs="仿宋_GB2312"/>
          <w:color w:val="000000"/>
          <w:sz w:val="31"/>
          <w:szCs w:val="31"/>
          <w:shd w:val="clear" w:color="auto" w:fill="FFFFFF"/>
        </w:rPr>
        <w:t>年底。办理延期时不得“一刀切”地强制要求增加增信分险措施。在延期过程中坚持实质性风险判断，不单独因疫情因素下调贷款风险分类，不影响征信记录，并免收罚息。推动银行业金融机构进一步健全细化对因疫情暂时遇困企业等市场主体的金融服务专项制度或措施，明确延期还本付息等扶持政策办理流程和渠道，确保相关纾困政策落地见效。</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牵头单位：河南银保监局、人民银行郑州中心支行</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责任单位：各市银保监分局、人民银行各市中心支行，各金融机构</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时序进度：</w:t>
      </w:r>
      <w:r>
        <w:rPr>
          <w:rFonts w:ascii="Times New Roman" w:hAnsi="Times New Roman"/>
          <w:color w:val="000000"/>
          <w:sz w:val="31"/>
          <w:szCs w:val="31"/>
          <w:shd w:val="clear" w:color="auto" w:fill="FFFFFF"/>
        </w:rPr>
        <w:t>2022</w:t>
      </w:r>
      <w:r>
        <w:rPr>
          <w:rFonts w:hint="eastAsia" w:ascii="仿宋_GB2312" w:hAnsi="微软雅黑" w:cs="仿宋_GB2312"/>
          <w:color w:val="000000"/>
          <w:sz w:val="31"/>
          <w:szCs w:val="31"/>
          <w:shd w:val="clear" w:color="auto" w:fill="FFFFFF"/>
        </w:rPr>
        <w:t>年</w:t>
      </w:r>
      <w:r>
        <w:rPr>
          <w:rFonts w:ascii="Times New Roman" w:hAnsi="Times New Roman"/>
          <w:color w:val="000000"/>
          <w:sz w:val="31"/>
          <w:szCs w:val="31"/>
          <w:shd w:val="clear" w:color="auto" w:fill="FFFFFF"/>
        </w:rPr>
        <w:t>12</w:t>
      </w:r>
      <w:r>
        <w:rPr>
          <w:rFonts w:hint="eastAsia" w:ascii="仿宋_GB2312" w:hAnsi="微软雅黑" w:cs="仿宋_GB2312"/>
          <w:color w:val="000000"/>
          <w:sz w:val="31"/>
          <w:szCs w:val="31"/>
          <w:shd w:val="clear" w:color="auto" w:fill="FFFFFF"/>
        </w:rPr>
        <w:t>月底前</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ascii="Times New Roman" w:hAnsi="Times New Roman"/>
          <w:color w:val="000000"/>
          <w:sz w:val="31"/>
          <w:szCs w:val="31"/>
          <w:shd w:val="clear" w:color="auto" w:fill="FFFFFF"/>
        </w:rPr>
        <w:t>2.</w:t>
      </w:r>
      <w:r>
        <w:rPr>
          <w:rFonts w:hint="eastAsia" w:ascii="仿宋_GB2312" w:hAnsi="微软雅黑" w:cs="仿宋_GB2312"/>
          <w:color w:val="000000"/>
          <w:sz w:val="31"/>
          <w:szCs w:val="31"/>
          <w:shd w:val="clear" w:color="auto" w:fill="FFFFFF"/>
        </w:rPr>
        <w:t>加强融资对接，常态化推进“行长进万企”活动，下沉活动重心，深入重点商圈、批发市场、物流园区等中小微企业和个体工商户以及交通运输企业、货车司机、快递人员等特殊群体聚集地，精准开展“两问四送”，扩大金融惠企纾困政策覆盖面。</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牵头单位：河南银保监局</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责任单位：各市银保监分局，各金融机构</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时序进度：</w:t>
      </w:r>
      <w:r>
        <w:rPr>
          <w:rFonts w:ascii="Times New Roman" w:hAnsi="Times New Roman"/>
          <w:color w:val="000000"/>
          <w:sz w:val="31"/>
          <w:szCs w:val="31"/>
          <w:shd w:val="clear" w:color="auto" w:fill="FFFFFF"/>
        </w:rPr>
        <w:t>2022</w:t>
      </w:r>
      <w:r>
        <w:rPr>
          <w:rFonts w:hint="eastAsia" w:ascii="仿宋_GB2312" w:hAnsi="微软雅黑" w:cs="仿宋_GB2312"/>
          <w:color w:val="000000"/>
          <w:sz w:val="31"/>
          <w:szCs w:val="31"/>
          <w:shd w:val="clear" w:color="auto" w:fill="FFFFFF"/>
        </w:rPr>
        <w:t>年</w:t>
      </w:r>
      <w:r>
        <w:rPr>
          <w:rFonts w:ascii="Times New Roman" w:hAnsi="Times New Roman"/>
          <w:color w:val="000000"/>
          <w:sz w:val="31"/>
          <w:szCs w:val="31"/>
          <w:shd w:val="clear" w:color="auto" w:fill="FFFFFF"/>
        </w:rPr>
        <w:t>12</w:t>
      </w:r>
      <w:r>
        <w:rPr>
          <w:rFonts w:hint="eastAsia" w:ascii="仿宋_GB2312" w:hAnsi="微软雅黑" w:cs="仿宋_GB2312"/>
          <w:color w:val="000000"/>
          <w:sz w:val="31"/>
          <w:szCs w:val="31"/>
          <w:shd w:val="clear" w:color="auto" w:fill="FFFFFF"/>
        </w:rPr>
        <w:t>月底前</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ascii="Times New Roman" w:hAnsi="Times New Roman"/>
          <w:color w:val="000000"/>
          <w:sz w:val="31"/>
          <w:szCs w:val="31"/>
          <w:shd w:val="clear" w:color="auto" w:fill="FFFFFF"/>
        </w:rPr>
        <w:t>3.</w:t>
      </w:r>
      <w:r>
        <w:rPr>
          <w:rFonts w:hint="eastAsia" w:ascii="仿宋_GB2312" w:hAnsi="微软雅黑" w:cs="仿宋_GB2312"/>
          <w:color w:val="000000"/>
          <w:sz w:val="31"/>
          <w:szCs w:val="31"/>
          <w:shd w:val="clear" w:color="auto" w:fill="FFFFFF"/>
        </w:rPr>
        <w:t>对因感染新冠肺炎住院治疗或隔离人员、疫情防控需要隔离观察人员、参加疫情防控工作人员以及受疫情影响暂时失去收入来源的人群，引导银行业金融机构及时优化信贷政策，区分还款能力和还款意愿，区分受疫情影响的短期还款能力和中长期还款能力，对其存续的个人住房与消费贷款，灵活采取合理延后还款时间、延长贷款期限、延期还本等方式调整还款计划</w:t>
      </w:r>
      <w:r>
        <w:rPr>
          <w:rFonts w:hint="eastAsia" w:ascii="仿宋_GB2312" w:hAnsi="Times New Roman" w:cs="仿宋_GB2312"/>
          <w:color w:val="000000"/>
          <w:sz w:val="31"/>
          <w:szCs w:val="31"/>
          <w:shd w:val="clear" w:color="auto" w:fill="FFFFFF"/>
        </w:rPr>
        <w:t>，并依调整后的还款安排报送信用记录，因疫情影响未能及时还款的，经金融机构认定不作逾期记录报送，已经报送的予以调整</w:t>
      </w:r>
      <w:r>
        <w:rPr>
          <w:rFonts w:hint="eastAsia" w:ascii="仿宋_GB2312" w:hAnsi="微软雅黑" w:cs="仿宋_GB2312"/>
          <w:color w:val="000000"/>
          <w:sz w:val="31"/>
          <w:szCs w:val="31"/>
          <w:shd w:val="clear" w:color="auto" w:fill="FFFFFF"/>
        </w:rPr>
        <w:t>。</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牵头单位：河南银保监局、人民银行郑州中心支行</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责任单位：各市银保监分局、人民银行各市中心支行，各金融机构</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时序进度：</w:t>
      </w:r>
      <w:r>
        <w:rPr>
          <w:rFonts w:ascii="Times New Roman" w:hAnsi="Times New Roman"/>
          <w:color w:val="000000"/>
          <w:sz w:val="31"/>
          <w:szCs w:val="31"/>
          <w:shd w:val="clear" w:color="auto" w:fill="FFFFFF"/>
        </w:rPr>
        <w:t>2022</w:t>
      </w:r>
      <w:r>
        <w:rPr>
          <w:rFonts w:hint="eastAsia" w:ascii="仿宋_GB2312" w:hAnsi="微软雅黑" w:cs="仿宋_GB2312"/>
          <w:color w:val="000000"/>
          <w:sz w:val="31"/>
          <w:szCs w:val="31"/>
          <w:shd w:val="clear" w:color="auto" w:fill="FFFFFF"/>
        </w:rPr>
        <w:t>年</w:t>
      </w:r>
      <w:r>
        <w:rPr>
          <w:rFonts w:ascii="Times New Roman" w:hAnsi="Times New Roman"/>
          <w:color w:val="000000"/>
          <w:sz w:val="31"/>
          <w:szCs w:val="31"/>
          <w:shd w:val="clear" w:color="auto" w:fill="FFFFFF"/>
        </w:rPr>
        <w:t>12</w:t>
      </w:r>
      <w:r>
        <w:rPr>
          <w:rFonts w:hint="eastAsia" w:ascii="仿宋_GB2312" w:hAnsi="微软雅黑" w:cs="仿宋_GB2312"/>
          <w:color w:val="000000"/>
          <w:sz w:val="31"/>
          <w:szCs w:val="31"/>
          <w:shd w:val="clear" w:color="auto" w:fill="FFFFFF"/>
        </w:rPr>
        <w:t>月底前</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ascii="Times New Roman" w:hAnsi="Times New Roman"/>
          <w:color w:val="000000"/>
          <w:sz w:val="31"/>
          <w:szCs w:val="31"/>
          <w:shd w:val="clear" w:color="auto" w:fill="FFFFFF"/>
        </w:rPr>
        <w:t>4.</w:t>
      </w:r>
      <w:r>
        <w:rPr>
          <w:rFonts w:hint="eastAsia" w:ascii="仿宋_GB2312" w:hAnsi="微软雅黑" w:cs="仿宋_GB2312"/>
          <w:color w:val="000000"/>
          <w:sz w:val="31"/>
          <w:szCs w:val="31"/>
          <w:shd w:val="clear" w:color="auto" w:fill="FFFFFF"/>
        </w:rPr>
        <w:t>对受疫情影响较大的住宿、餐饮、零售、文化、旅游、交通运输等困难行业中小微企业贷款，鼓励金融机构根据实际情况适当放宽延期期限，并采取下调利率、减免服务收费、调整还本付息安排、扩大中长期贷款和信用贷款等方式降低融资成本。加强与商务、文化旅游、交通运输等行业主管部门的信息共享，组织开展多种形式的政银企对接活动，推动住宿、餐饮、零售、文化、旅游、交通运输等受疫情影响严重行业信贷余额持续稳步增长。鼓励金融机构在受疫情影响的特定时间内适当提高上述行业的不良贷款容忍度，幅度不超过</w:t>
      </w:r>
      <w:r>
        <w:rPr>
          <w:rFonts w:ascii="Times New Roman" w:hAnsi="Times New Roman"/>
          <w:color w:val="000000"/>
          <w:sz w:val="31"/>
          <w:szCs w:val="31"/>
          <w:shd w:val="clear" w:color="auto" w:fill="FFFFFF"/>
        </w:rPr>
        <w:t>3</w:t>
      </w:r>
      <w:r>
        <w:rPr>
          <w:rFonts w:hint="eastAsia" w:ascii="仿宋_GB2312" w:hAnsi="微软雅黑" w:cs="仿宋_GB2312"/>
          <w:color w:val="000000"/>
          <w:sz w:val="31"/>
          <w:szCs w:val="31"/>
          <w:shd w:val="clear" w:color="auto" w:fill="FFFFFF"/>
        </w:rPr>
        <w:t>个百分点，并结合实际情况阶段性优化调整内部绩效考核机制，落实尽职免责制度。引导金融机构针对企业特点创新专项纾困信贷产品，积极探索开展景区、文体设施经营权、门票收入权质押和文旅企业建设用地使用权抵押、动产抵押贷款，帮助企业解决流动资金紧张等问题。</w:t>
      </w:r>
      <w:r>
        <w:rPr>
          <w:rFonts w:hint="eastAsia" w:ascii="仿宋_GB2312" w:hAnsi="Times New Roman" w:cs="仿宋_GB2312"/>
          <w:color w:val="000000"/>
          <w:sz w:val="31"/>
          <w:szCs w:val="31"/>
          <w:shd w:val="clear" w:color="auto" w:fill="FFFFFF"/>
        </w:rPr>
        <w:t>支持有条件的地方给予贷款贴息。</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牵头单位：河南银保监局、省地方金融监管局</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责任单位：各市银保监分局、</w:t>
      </w:r>
      <w:r>
        <w:rPr>
          <w:rFonts w:hint="eastAsia" w:ascii="仿宋_GB2312" w:hAnsi="Times New Roman" w:cs="仿宋_GB2312"/>
          <w:color w:val="000000"/>
          <w:sz w:val="31"/>
          <w:szCs w:val="31"/>
          <w:shd w:val="clear" w:color="auto" w:fill="FFFFFF"/>
        </w:rPr>
        <w:t>各省辖市金融工作局、济源示范区财政金融局、航空港区财政审计局</w:t>
      </w:r>
      <w:r>
        <w:rPr>
          <w:rFonts w:hint="eastAsia" w:ascii="仿宋_GB2312" w:hAnsi="微软雅黑" w:cs="仿宋_GB2312"/>
          <w:color w:val="000000"/>
          <w:sz w:val="31"/>
          <w:szCs w:val="31"/>
          <w:shd w:val="clear" w:color="auto" w:fill="FFFFFF"/>
        </w:rPr>
        <w:t>，各金融机构</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时序进度：</w:t>
      </w:r>
      <w:r>
        <w:rPr>
          <w:rFonts w:ascii="Times New Roman" w:hAnsi="Times New Roman"/>
          <w:color w:val="000000"/>
          <w:sz w:val="31"/>
          <w:szCs w:val="31"/>
          <w:shd w:val="clear" w:color="auto" w:fill="FFFFFF"/>
        </w:rPr>
        <w:t>2022</w:t>
      </w:r>
      <w:r>
        <w:rPr>
          <w:rFonts w:hint="eastAsia" w:ascii="仿宋_GB2312" w:hAnsi="微软雅黑" w:cs="仿宋_GB2312"/>
          <w:color w:val="000000"/>
          <w:sz w:val="31"/>
          <w:szCs w:val="31"/>
          <w:shd w:val="clear" w:color="auto" w:fill="FFFFFF"/>
        </w:rPr>
        <w:t>年</w:t>
      </w:r>
      <w:r>
        <w:rPr>
          <w:rFonts w:ascii="Times New Roman" w:hAnsi="Times New Roman"/>
          <w:color w:val="000000"/>
          <w:sz w:val="31"/>
          <w:szCs w:val="31"/>
          <w:shd w:val="clear" w:color="auto" w:fill="FFFFFF"/>
        </w:rPr>
        <w:t>12</w:t>
      </w:r>
      <w:r>
        <w:rPr>
          <w:rFonts w:hint="eastAsia" w:ascii="仿宋_GB2312" w:hAnsi="微软雅黑" w:cs="仿宋_GB2312"/>
          <w:color w:val="000000"/>
          <w:sz w:val="31"/>
          <w:szCs w:val="31"/>
          <w:shd w:val="clear" w:color="auto" w:fill="FFFFFF"/>
        </w:rPr>
        <w:t>月底前</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ascii="Times New Roman" w:hAnsi="Times New Roman"/>
          <w:color w:val="000000"/>
          <w:sz w:val="31"/>
          <w:szCs w:val="31"/>
          <w:shd w:val="clear" w:color="auto" w:fill="FFFFFF"/>
        </w:rPr>
        <w:t>5.</w:t>
      </w:r>
      <w:r>
        <w:rPr>
          <w:rFonts w:hint="eastAsia" w:ascii="仿宋_GB2312" w:hAnsi="微软雅黑" w:cs="仿宋_GB2312"/>
          <w:color w:val="000000"/>
          <w:sz w:val="31"/>
          <w:szCs w:val="31"/>
          <w:shd w:val="clear" w:color="auto" w:fill="FFFFFF"/>
        </w:rPr>
        <w:t>鼓励各保险公司不断扩大保险产品和服务供给，有力提升服务经济社会能力，积极探索通过减费让利、保费延期缴纳、延长保单到期日、赠送保单等方式支持受疫情或经济下行影响严重的企业和人群渡过难关。积极承保货物运输保险、承运人责任保险，为营运车辆开辟理赔绿色通道、提供应急物资和快修服务等。积极发展安全生产责任险、企财险、公众责任险、营业中断险、团体意外险等险种，为企业财产损失、营业中断损失、经营场所内公众责任、员工安全等方面提供全方位风险保障。</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牵头单位：河南银保监局</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责任单位：各市银保监分局，各保险业金融机构</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时序进度：</w:t>
      </w:r>
      <w:r>
        <w:rPr>
          <w:rFonts w:ascii="Times New Roman" w:hAnsi="Times New Roman"/>
          <w:color w:val="000000"/>
          <w:sz w:val="31"/>
          <w:szCs w:val="31"/>
          <w:shd w:val="clear" w:color="auto" w:fill="FFFFFF"/>
        </w:rPr>
        <w:t>2022</w:t>
      </w:r>
      <w:r>
        <w:rPr>
          <w:rFonts w:hint="eastAsia" w:ascii="仿宋_GB2312" w:hAnsi="微软雅黑" w:cs="仿宋_GB2312"/>
          <w:color w:val="000000"/>
          <w:sz w:val="31"/>
          <w:szCs w:val="31"/>
          <w:shd w:val="clear" w:color="auto" w:fill="FFFFFF"/>
        </w:rPr>
        <w:t>年</w:t>
      </w:r>
      <w:r>
        <w:rPr>
          <w:rFonts w:ascii="Times New Roman" w:hAnsi="Times New Roman"/>
          <w:color w:val="000000"/>
          <w:sz w:val="31"/>
          <w:szCs w:val="31"/>
          <w:shd w:val="clear" w:color="auto" w:fill="FFFFFF"/>
        </w:rPr>
        <w:t>12</w:t>
      </w:r>
      <w:r>
        <w:rPr>
          <w:rFonts w:hint="eastAsia" w:ascii="仿宋_GB2312" w:hAnsi="微软雅黑" w:cs="仿宋_GB2312"/>
          <w:color w:val="000000"/>
          <w:sz w:val="31"/>
          <w:szCs w:val="31"/>
          <w:shd w:val="clear" w:color="auto" w:fill="FFFFFF"/>
        </w:rPr>
        <w:t>月底前</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黑体" w:hAnsi="宋体" w:eastAsia="黑体" w:cs="黑体"/>
          <w:color w:val="000000"/>
          <w:sz w:val="31"/>
          <w:szCs w:val="31"/>
          <w:shd w:val="clear" w:color="auto" w:fill="FFFFFF"/>
        </w:rPr>
        <w:t>二、加大普惠小微贷款支持力度</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ascii="Times New Roman" w:hAnsi="Times New Roman"/>
          <w:color w:val="000000"/>
          <w:sz w:val="31"/>
          <w:szCs w:val="31"/>
          <w:shd w:val="clear" w:color="auto" w:fill="FFFFFF"/>
        </w:rPr>
        <w:t>6.</w:t>
      </w:r>
      <w:r>
        <w:rPr>
          <w:rFonts w:hint="eastAsia" w:ascii="仿宋_GB2312" w:hAnsi="微软雅黑" w:cs="仿宋_GB2312"/>
          <w:color w:val="000000"/>
          <w:sz w:val="31"/>
          <w:szCs w:val="31"/>
          <w:shd w:val="clear" w:color="auto" w:fill="FFFFFF"/>
        </w:rPr>
        <w:t>用足用好支农支小再贷款额度，加大对涉农、小微、民营领域信贷支持力度，力争</w:t>
      </w:r>
      <w:r>
        <w:rPr>
          <w:rFonts w:ascii="Times New Roman" w:hAnsi="Times New Roman"/>
          <w:color w:val="000000"/>
          <w:sz w:val="31"/>
          <w:szCs w:val="31"/>
          <w:shd w:val="clear" w:color="auto" w:fill="FFFFFF"/>
        </w:rPr>
        <w:t>2022</w:t>
      </w:r>
      <w:r>
        <w:rPr>
          <w:rFonts w:hint="eastAsia" w:ascii="仿宋_GB2312" w:hAnsi="微软雅黑" w:cs="仿宋_GB2312"/>
          <w:color w:val="000000"/>
          <w:sz w:val="31"/>
          <w:szCs w:val="31"/>
          <w:shd w:val="clear" w:color="auto" w:fill="FFFFFF"/>
        </w:rPr>
        <w:t>年全年发放各类再贷款再贴现</w:t>
      </w:r>
      <w:r>
        <w:rPr>
          <w:rFonts w:ascii="Times New Roman" w:hAnsi="Times New Roman"/>
          <w:color w:val="000000"/>
          <w:sz w:val="31"/>
          <w:szCs w:val="31"/>
          <w:shd w:val="clear" w:color="auto" w:fill="FFFFFF"/>
        </w:rPr>
        <w:t>1000</w:t>
      </w:r>
      <w:r>
        <w:rPr>
          <w:rFonts w:hint="eastAsia" w:ascii="仿宋_GB2312" w:hAnsi="微软雅黑" w:cs="仿宋_GB2312"/>
          <w:color w:val="000000"/>
          <w:sz w:val="31"/>
          <w:szCs w:val="31"/>
          <w:shd w:val="clear" w:color="auto" w:fill="FFFFFF"/>
        </w:rPr>
        <w:t>亿元。</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牵头单位：人民银行郑州中心支行</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责任单位：人民银行各市中心支行，各法人金融机构</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时序进度：</w:t>
      </w:r>
      <w:r>
        <w:rPr>
          <w:rFonts w:ascii="Times New Roman" w:hAnsi="Times New Roman"/>
          <w:color w:val="000000"/>
          <w:sz w:val="31"/>
          <w:szCs w:val="31"/>
          <w:shd w:val="clear" w:color="auto" w:fill="FFFFFF"/>
        </w:rPr>
        <w:t>2022</w:t>
      </w:r>
      <w:r>
        <w:rPr>
          <w:rFonts w:hint="eastAsia" w:ascii="仿宋_GB2312" w:hAnsi="微软雅黑" w:cs="仿宋_GB2312"/>
          <w:color w:val="000000"/>
          <w:sz w:val="31"/>
          <w:szCs w:val="31"/>
          <w:shd w:val="clear" w:color="auto" w:fill="FFFFFF"/>
        </w:rPr>
        <w:t>年</w:t>
      </w:r>
      <w:r>
        <w:rPr>
          <w:rFonts w:ascii="Times New Roman" w:hAnsi="Times New Roman"/>
          <w:color w:val="000000"/>
          <w:sz w:val="31"/>
          <w:szCs w:val="31"/>
          <w:shd w:val="clear" w:color="auto" w:fill="FFFFFF"/>
        </w:rPr>
        <w:t>12</w:t>
      </w:r>
      <w:r>
        <w:rPr>
          <w:rFonts w:hint="eastAsia" w:ascii="仿宋_GB2312" w:hAnsi="微软雅黑" w:cs="仿宋_GB2312"/>
          <w:color w:val="000000"/>
          <w:sz w:val="31"/>
          <w:szCs w:val="31"/>
          <w:shd w:val="clear" w:color="auto" w:fill="FFFFFF"/>
        </w:rPr>
        <w:t>月底前</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ascii="Times New Roman" w:hAnsi="Times New Roman"/>
          <w:color w:val="000000"/>
          <w:sz w:val="31"/>
          <w:szCs w:val="31"/>
          <w:shd w:val="clear" w:color="auto" w:fill="FFFFFF"/>
        </w:rPr>
        <w:t>7.</w:t>
      </w:r>
      <w:r>
        <w:rPr>
          <w:rFonts w:hint="eastAsia" w:ascii="仿宋_GB2312" w:hAnsi="微软雅黑" w:cs="仿宋_GB2312"/>
          <w:color w:val="000000"/>
          <w:sz w:val="31"/>
          <w:szCs w:val="31"/>
          <w:shd w:val="clear" w:color="auto" w:fill="FFFFFF"/>
        </w:rPr>
        <w:t>推动普惠小微贷款支持工具加快落地，对符合条件的法人金融机构发放的普惠小微贷款，按贷款余额增量</w:t>
      </w:r>
      <w:r>
        <w:rPr>
          <w:rFonts w:ascii="Times New Roman" w:hAnsi="Times New Roman"/>
          <w:color w:val="000000"/>
          <w:sz w:val="31"/>
          <w:szCs w:val="31"/>
          <w:shd w:val="clear" w:color="auto" w:fill="FFFFFF"/>
        </w:rPr>
        <w:t>2%</w:t>
      </w:r>
      <w:r>
        <w:rPr>
          <w:rFonts w:hint="eastAsia" w:ascii="仿宋_GB2312" w:hAnsi="微软雅黑" w:cs="仿宋_GB2312"/>
          <w:color w:val="000000"/>
          <w:sz w:val="31"/>
          <w:szCs w:val="31"/>
          <w:shd w:val="clear" w:color="auto" w:fill="FFFFFF"/>
        </w:rPr>
        <w:t>提供资金支持。</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牵头单位：人民银行郑州中心支行</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责任单位：人民银行各市中心支行，各法人金融机构</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时序进度：</w:t>
      </w:r>
      <w:r>
        <w:rPr>
          <w:rFonts w:ascii="Times New Roman" w:hAnsi="Times New Roman"/>
          <w:color w:val="000000"/>
          <w:sz w:val="31"/>
          <w:szCs w:val="31"/>
          <w:shd w:val="clear" w:color="auto" w:fill="FFFFFF"/>
        </w:rPr>
        <w:t>2022</w:t>
      </w:r>
      <w:r>
        <w:rPr>
          <w:rFonts w:hint="eastAsia" w:ascii="仿宋_GB2312" w:hAnsi="微软雅黑" w:cs="仿宋_GB2312"/>
          <w:color w:val="000000"/>
          <w:sz w:val="31"/>
          <w:szCs w:val="31"/>
          <w:shd w:val="clear" w:color="auto" w:fill="FFFFFF"/>
        </w:rPr>
        <w:t>年</w:t>
      </w:r>
      <w:r>
        <w:rPr>
          <w:rFonts w:ascii="Times New Roman" w:hAnsi="Times New Roman"/>
          <w:color w:val="000000"/>
          <w:sz w:val="31"/>
          <w:szCs w:val="31"/>
          <w:shd w:val="clear" w:color="auto" w:fill="FFFFFF"/>
        </w:rPr>
        <w:t>12</w:t>
      </w:r>
      <w:r>
        <w:rPr>
          <w:rFonts w:hint="eastAsia" w:ascii="仿宋_GB2312" w:hAnsi="微软雅黑" w:cs="仿宋_GB2312"/>
          <w:color w:val="000000"/>
          <w:sz w:val="31"/>
          <w:szCs w:val="31"/>
          <w:shd w:val="clear" w:color="auto" w:fill="FFFFFF"/>
        </w:rPr>
        <w:t>月底前</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ascii="Times New Roman" w:hAnsi="Times New Roman"/>
          <w:color w:val="000000"/>
          <w:sz w:val="31"/>
          <w:szCs w:val="31"/>
          <w:shd w:val="clear" w:color="auto" w:fill="FFFFFF"/>
        </w:rPr>
        <w:t>8.</w:t>
      </w:r>
      <w:r>
        <w:rPr>
          <w:rFonts w:hint="eastAsia" w:ascii="仿宋_GB2312" w:hAnsi="Times New Roman" w:cs="仿宋_GB2312"/>
          <w:color w:val="000000"/>
          <w:sz w:val="31"/>
          <w:szCs w:val="31"/>
          <w:shd w:val="clear" w:color="auto" w:fill="FFFFFF"/>
        </w:rPr>
        <w:t>创新供应链金融融资模式，</w:t>
      </w:r>
      <w:r>
        <w:rPr>
          <w:rFonts w:hint="eastAsia" w:ascii="仿宋_GB2312" w:hAnsi="微软雅黑" w:cs="仿宋_GB2312"/>
          <w:color w:val="000000"/>
          <w:sz w:val="31"/>
          <w:szCs w:val="31"/>
          <w:shd w:val="clear" w:color="auto" w:fill="FFFFFF"/>
        </w:rPr>
        <w:t>积极发挥中征应收账款融资服务平台、动产融资统一登记公示系统作用，推动金融机构拓宽抵质押物范围，积极开展应收账款、预付款、存货、仓单等权利和动产抵质押业务，破解轻资产、抵押担保不足的中小企业融资难题，促进上下游中小微企业依托中征应收账款融资服务平台、动产融资统一登记公示系统开展动产融资。</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牵头单位：人民银行郑州中心支行、省地方金融监管局</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责任单位：人民银行各市中心支行、</w:t>
      </w:r>
      <w:r>
        <w:rPr>
          <w:rFonts w:hint="eastAsia" w:ascii="仿宋_GB2312" w:hAnsi="Times New Roman" w:cs="仿宋_GB2312"/>
          <w:color w:val="000000"/>
          <w:sz w:val="31"/>
          <w:szCs w:val="31"/>
          <w:shd w:val="clear" w:color="auto" w:fill="FFFFFF"/>
        </w:rPr>
        <w:t>各省辖市金融工作局、济源示范区财政金融局、航空港区财政审计局</w:t>
      </w:r>
      <w:r>
        <w:rPr>
          <w:rFonts w:hint="eastAsia" w:ascii="仿宋_GB2312" w:hAnsi="微软雅黑" w:cs="仿宋_GB2312"/>
          <w:color w:val="000000"/>
          <w:sz w:val="31"/>
          <w:szCs w:val="31"/>
          <w:shd w:val="clear" w:color="auto" w:fill="FFFFFF"/>
        </w:rPr>
        <w:t>，各金融机构</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时序进度：</w:t>
      </w:r>
      <w:r>
        <w:rPr>
          <w:rFonts w:ascii="Times New Roman" w:hAnsi="Times New Roman"/>
          <w:color w:val="000000"/>
          <w:sz w:val="31"/>
          <w:szCs w:val="31"/>
          <w:shd w:val="clear" w:color="auto" w:fill="FFFFFF"/>
        </w:rPr>
        <w:t>2022</w:t>
      </w:r>
      <w:r>
        <w:rPr>
          <w:rFonts w:hint="eastAsia" w:ascii="仿宋_GB2312" w:hAnsi="微软雅黑" w:cs="仿宋_GB2312"/>
          <w:color w:val="000000"/>
          <w:sz w:val="31"/>
          <w:szCs w:val="31"/>
          <w:shd w:val="clear" w:color="auto" w:fill="FFFFFF"/>
        </w:rPr>
        <w:t>年</w:t>
      </w:r>
      <w:r>
        <w:rPr>
          <w:rFonts w:ascii="Times New Roman" w:hAnsi="Times New Roman"/>
          <w:color w:val="000000"/>
          <w:sz w:val="31"/>
          <w:szCs w:val="31"/>
          <w:shd w:val="clear" w:color="auto" w:fill="FFFFFF"/>
        </w:rPr>
        <w:t>12</w:t>
      </w:r>
      <w:r>
        <w:rPr>
          <w:rFonts w:hint="eastAsia" w:ascii="仿宋_GB2312" w:hAnsi="微软雅黑" w:cs="仿宋_GB2312"/>
          <w:color w:val="000000"/>
          <w:sz w:val="31"/>
          <w:szCs w:val="31"/>
          <w:shd w:val="clear" w:color="auto" w:fill="FFFFFF"/>
        </w:rPr>
        <w:t>月底前</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ascii="Times New Roman" w:hAnsi="Times New Roman"/>
          <w:color w:val="000000"/>
          <w:sz w:val="31"/>
          <w:szCs w:val="31"/>
          <w:shd w:val="clear" w:color="auto" w:fill="FFFFFF"/>
        </w:rPr>
        <w:t>9.</w:t>
      </w:r>
      <w:r>
        <w:rPr>
          <w:rFonts w:hint="eastAsia" w:ascii="仿宋_GB2312" w:hAnsi="微软雅黑" w:cs="仿宋_GB2312"/>
          <w:color w:val="000000"/>
          <w:sz w:val="31"/>
          <w:szCs w:val="31"/>
          <w:shd w:val="clear" w:color="auto" w:fill="FFFFFF"/>
        </w:rPr>
        <w:t>推动银行业金融机构完善</w:t>
      </w:r>
      <w:r>
        <w:rPr>
          <w:rFonts w:hint="eastAsia" w:ascii="仿宋_GB2312" w:hAnsi="Times New Roman" w:cs="仿宋_GB2312"/>
          <w:color w:val="000000"/>
          <w:sz w:val="31"/>
          <w:szCs w:val="31"/>
          <w:shd w:val="clear" w:color="auto" w:fill="FFFFFF"/>
        </w:rPr>
        <w:t>普惠型小微企业贷款</w:t>
      </w:r>
      <w:r>
        <w:rPr>
          <w:rFonts w:hint="eastAsia" w:ascii="仿宋_GB2312" w:hAnsi="微软雅黑" w:cs="仿宋_GB2312"/>
          <w:color w:val="000000"/>
          <w:sz w:val="31"/>
          <w:szCs w:val="31"/>
          <w:shd w:val="clear" w:color="auto" w:fill="FFFFFF"/>
        </w:rPr>
        <w:t>内部激励约束机制，细化落实内部资金转移定价、不良容忍度、尽职免责、绩效考核等要求，</w:t>
      </w:r>
      <w:r>
        <w:rPr>
          <w:rFonts w:hint="eastAsia" w:ascii="仿宋_GB2312" w:hAnsi="Times New Roman" w:cs="仿宋_GB2312"/>
          <w:color w:val="000000"/>
          <w:sz w:val="31"/>
          <w:szCs w:val="31"/>
          <w:shd w:val="clear" w:color="auto" w:fill="FFFFFF"/>
        </w:rPr>
        <w:t>加大普惠型小微企业贷款投放力度</w:t>
      </w:r>
      <w:r>
        <w:rPr>
          <w:rFonts w:hint="eastAsia" w:ascii="仿宋_GB2312" w:hAnsi="微软雅黑" w:cs="仿宋_GB2312"/>
          <w:color w:val="000000"/>
          <w:sz w:val="31"/>
          <w:szCs w:val="31"/>
          <w:shd w:val="clear" w:color="auto" w:fill="FFFFFF"/>
        </w:rPr>
        <w:t>。支持全国性商业银行分支机构借助科技、大数据优势，在推广线上化、纯信用产品方面持续发力。推动城商行、农村中小银行机构发挥地缘优势，优化业务审批技术和风险管理模型。</w:t>
      </w:r>
      <w:r>
        <w:rPr>
          <w:rFonts w:ascii="Times New Roman" w:hAnsi="Times New Roman"/>
          <w:color w:val="000000"/>
          <w:sz w:val="31"/>
          <w:szCs w:val="31"/>
          <w:shd w:val="clear" w:color="auto" w:fill="FFFFFF"/>
        </w:rPr>
        <w:t>2022</w:t>
      </w:r>
      <w:r>
        <w:rPr>
          <w:rFonts w:hint="eastAsia" w:ascii="仿宋_GB2312" w:hAnsi="微软雅黑" w:cs="仿宋_GB2312"/>
          <w:color w:val="000000"/>
          <w:sz w:val="31"/>
          <w:szCs w:val="31"/>
          <w:shd w:val="clear" w:color="auto" w:fill="FFFFFF"/>
        </w:rPr>
        <w:t>年继续实现普惠型小微企业贷款“两增”目标，确保个体工商户贷款增量扩面，力争普惠型小微企业贷款余额中信用贷款占比和首贷户占比较</w:t>
      </w:r>
      <w:r>
        <w:rPr>
          <w:rFonts w:ascii="Times New Roman" w:hAnsi="Times New Roman"/>
          <w:color w:val="000000"/>
          <w:sz w:val="31"/>
          <w:szCs w:val="31"/>
          <w:shd w:val="clear" w:color="auto" w:fill="FFFFFF"/>
        </w:rPr>
        <w:t>2021</w:t>
      </w:r>
      <w:r>
        <w:rPr>
          <w:rFonts w:hint="eastAsia" w:ascii="仿宋_GB2312" w:hAnsi="微软雅黑" w:cs="仿宋_GB2312"/>
          <w:color w:val="000000"/>
          <w:sz w:val="31"/>
          <w:szCs w:val="31"/>
          <w:shd w:val="clear" w:color="auto" w:fill="FFFFFF"/>
        </w:rPr>
        <w:t>年提高。</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牵头单位：河南银保监局</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责任单位：各市银保监分局，各金融机构</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时序进度：</w:t>
      </w:r>
      <w:r>
        <w:rPr>
          <w:rFonts w:ascii="Times New Roman" w:hAnsi="Times New Roman"/>
          <w:color w:val="000000"/>
          <w:sz w:val="31"/>
          <w:szCs w:val="31"/>
          <w:shd w:val="clear" w:color="auto" w:fill="FFFFFF"/>
        </w:rPr>
        <w:t>2022</w:t>
      </w:r>
      <w:r>
        <w:rPr>
          <w:rFonts w:hint="eastAsia" w:ascii="仿宋_GB2312" w:hAnsi="微软雅黑" w:cs="仿宋_GB2312"/>
          <w:color w:val="000000"/>
          <w:sz w:val="31"/>
          <w:szCs w:val="31"/>
          <w:shd w:val="clear" w:color="auto" w:fill="FFFFFF"/>
        </w:rPr>
        <w:t>年继续实现普惠型小微企业贷款“两增”目标。</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ascii="Times New Roman" w:hAnsi="Times New Roman"/>
          <w:color w:val="000000"/>
          <w:sz w:val="31"/>
          <w:szCs w:val="31"/>
          <w:shd w:val="clear" w:color="auto" w:fill="FFFFFF"/>
        </w:rPr>
        <w:t>10.</w:t>
      </w:r>
      <w:r>
        <w:rPr>
          <w:rFonts w:hint="eastAsia" w:ascii="仿宋_GB2312" w:hAnsi="微软雅黑" w:cs="仿宋_GB2312"/>
          <w:color w:val="000000"/>
          <w:sz w:val="31"/>
          <w:szCs w:val="31"/>
          <w:shd w:val="clear" w:color="auto" w:fill="FFFFFF"/>
        </w:rPr>
        <w:t>开展让利实体经济专项行动，完善利率定价机制，力争</w:t>
      </w:r>
      <w:r>
        <w:rPr>
          <w:rFonts w:ascii="Times New Roman" w:hAnsi="Times New Roman"/>
          <w:color w:val="000000"/>
          <w:sz w:val="31"/>
          <w:szCs w:val="31"/>
          <w:shd w:val="clear" w:color="auto" w:fill="FFFFFF"/>
        </w:rPr>
        <w:t>2022</w:t>
      </w:r>
      <w:r>
        <w:rPr>
          <w:rFonts w:hint="eastAsia" w:ascii="仿宋_GB2312" w:hAnsi="微软雅黑" w:cs="仿宋_GB2312"/>
          <w:color w:val="000000"/>
          <w:sz w:val="31"/>
          <w:szCs w:val="31"/>
          <w:shd w:val="clear" w:color="auto" w:fill="FFFFFF"/>
        </w:rPr>
        <w:t>年新发放的普惠型小微企业贷款利率较</w:t>
      </w:r>
      <w:r>
        <w:rPr>
          <w:rFonts w:ascii="Times New Roman" w:hAnsi="Times New Roman"/>
          <w:color w:val="000000"/>
          <w:sz w:val="31"/>
          <w:szCs w:val="31"/>
          <w:shd w:val="clear" w:color="auto" w:fill="FFFFFF"/>
        </w:rPr>
        <w:t>2021</w:t>
      </w:r>
      <w:r>
        <w:rPr>
          <w:rFonts w:hint="eastAsia" w:ascii="仿宋_GB2312" w:hAnsi="微软雅黑" w:cs="仿宋_GB2312"/>
          <w:color w:val="000000"/>
          <w:sz w:val="31"/>
          <w:szCs w:val="31"/>
          <w:shd w:val="clear" w:color="auto" w:fill="FFFFFF"/>
        </w:rPr>
        <w:t>年有所下降。严禁以任何形式向小微企业违规收取服务费用，或通过借贷搭售、转嫁成本、存贷挂钩等行为变相转嫁、抬高小微企业融资成本，加重企业经营负担。</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牵头单位：河南银保监局</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责任单位：各市银保监分局，各金融机构</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时序进度：力争</w:t>
      </w:r>
      <w:r>
        <w:rPr>
          <w:rFonts w:ascii="Times New Roman" w:hAnsi="Times New Roman"/>
          <w:color w:val="000000"/>
          <w:sz w:val="31"/>
          <w:szCs w:val="31"/>
          <w:shd w:val="clear" w:color="auto" w:fill="FFFFFF"/>
        </w:rPr>
        <w:t>2022</w:t>
      </w:r>
      <w:r>
        <w:rPr>
          <w:rFonts w:hint="eastAsia" w:ascii="仿宋_GB2312" w:hAnsi="微软雅黑" w:cs="仿宋_GB2312"/>
          <w:color w:val="000000"/>
          <w:sz w:val="31"/>
          <w:szCs w:val="31"/>
          <w:shd w:val="clear" w:color="auto" w:fill="FFFFFF"/>
        </w:rPr>
        <w:t>年新发放的普惠型小微企业贷款利率较</w:t>
      </w:r>
      <w:r>
        <w:rPr>
          <w:rFonts w:ascii="Times New Roman" w:hAnsi="Times New Roman"/>
          <w:color w:val="000000"/>
          <w:sz w:val="31"/>
          <w:szCs w:val="31"/>
          <w:shd w:val="clear" w:color="auto" w:fill="FFFFFF"/>
        </w:rPr>
        <w:t>2021</w:t>
      </w:r>
      <w:r>
        <w:rPr>
          <w:rFonts w:hint="eastAsia" w:ascii="仿宋_GB2312" w:hAnsi="微软雅黑" w:cs="仿宋_GB2312"/>
          <w:color w:val="000000"/>
          <w:sz w:val="31"/>
          <w:szCs w:val="31"/>
          <w:shd w:val="clear" w:color="auto" w:fill="FFFFFF"/>
        </w:rPr>
        <w:t>年有所下降。</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ascii="Times New Roman" w:hAnsi="Times New Roman"/>
          <w:color w:val="000000"/>
          <w:sz w:val="31"/>
          <w:szCs w:val="31"/>
          <w:shd w:val="clear" w:color="auto" w:fill="FFFFFF"/>
        </w:rPr>
        <w:t>11.</w:t>
      </w:r>
      <w:r>
        <w:rPr>
          <w:rFonts w:hint="eastAsia" w:ascii="仿宋_GB2312" w:hAnsi="微软雅黑" w:cs="仿宋_GB2312"/>
          <w:color w:val="000000"/>
          <w:sz w:val="31"/>
          <w:szCs w:val="31"/>
          <w:shd w:val="clear" w:color="auto" w:fill="FFFFFF"/>
        </w:rPr>
        <w:t>鼓励金融机构拓宽个体工商户和小微企业服务边界，对依照《电子商户法》《无证无照经营查处办法》等法律法规规定无须申领营业执照的出租车司机、网店店主、货车司机等灵活就业主体，比照个体工商户和小微企业主，在同等条件下给予金融支持。根据个体经营主体融资需求“短、小、频、急”的特点，改进优化信用评价模型和授信管理机制，大力创新推广信用贷款和随借随还类信贷产品，确保</w:t>
      </w:r>
      <w:r>
        <w:rPr>
          <w:rFonts w:ascii="Times New Roman" w:hAnsi="Times New Roman"/>
          <w:color w:val="000000"/>
          <w:sz w:val="31"/>
          <w:szCs w:val="31"/>
          <w:shd w:val="clear" w:color="auto" w:fill="FFFFFF"/>
        </w:rPr>
        <w:t>2022</w:t>
      </w:r>
      <w:r>
        <w:rPr>
          <w:rFonts w:hint="eastAsia" w:ascii="仿宋_GB2312" w:hAnsi="微软雅黑" w:cs="仿宋_GB2312"/>
          <w:color w:val="000000"/>
          <w:sz w:val="31"/>
          <w:szCs w:val="31"/>
          <w:shd w:val="clear" w:color="auto" w:fill="FFFFFF"/>
        </w:rPr>
        <w:t>年个体工商户贷款余额、户数持续增长。鼓励保险机构根据个体经营者经营状况、财务能力等特点和创新创业需求，积极提供营业中断险、财产损失险、雇主责任险、货物运输险等相关保险保障，提高个体经营者经营韧性和风险抵御能力。</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牵头单位：河南银保监局</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责任单位：各市银保监分局，各金融机构</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时序进度：</w:t>
      </w:r>
      <w:r>
        <w:rPr>
          <w:rFonts w:ascii="Times New Roman" w:hAnsi="Times New Roman"/>
          <w:color w:val="000000"/>
          <w:sz w:val="31"/>
          <w:szCs w:val="31"/>
          <w:shd w:val="clear" w:color="auto" w:fill="FFFFFF"/>
        </w:rPr>
        <w:t>2022</w:t>
      </w:r>
      <w:r>
        <w:rPr>
          <w:rFonts w:hint="eastAsia" w:ascii="仿宋_GB2312" w:hAnsi="微软雅黑" w:cs="仿宋_GB2312"/>
          <w:color w:val="000000"/>
          <w:sz w:val="31"/>
          <w:szCs w:val="31"/>
          <w:shd w:val="clear" w:color="auto" w:fill="FFFFFF"/>
        </w:rPr>
        <w:t>年</w:t>
      </w:r>
      <w:r>
        <w:rPr>
          <w:rFonts w:ascii="Times New Roman" w:hAnsi="Times New Roman"/>
          <w:color w:val="000000"/>
          <w:sz w:val="31"/>
          <w:szCs w:val="31"/>
          <w:shd w:val="clear" w:color="auto" w:fill="FFFFFF"/>
        </w:rPr>
        <w:t>12</w:t>
      </w:r>
      <w:r>
        <w:rPr>
          <w:rFonts w:hint="eastAsia" w:ascii="仿宋_GB2312" w:hAnsi="微软雅黑" w:cs="仿宋_GB2312"/>
          <w:color w:val="000000"/>
          <w:sz w:val="31"/>
          <w:szCs w:val="31"/>
          <w:shd w:val="clear" w:color="auto" w:fill="FFFFFF"/>
        </w:rPr>
        <w:t>月底前</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ascii="Times New Roman" w:hAnsi="Times New Roman"/>
          <w:color w:val="000000"/>
          <w:sz w:val="31"/>
          <w:szCs w:val="31"/>
          <w:shd w:val="clear" w:color="auto" w:fill="FFFFFF"/>
        </w:rPr>
        <w:t>12.</w:t>
      </w:r>
      <w:r>
        <w:rPr>
          <w:rFonts w:hint="eastAsia" w:ascii="仿宋_GB2312" w:hAnsi="Times New Roman" w:cs="仿宋_GB2312"/>
          <w:color w:val="000000"/>
          <w:sz w:val="31"/>
          <w:szCs w:val="31"/>
          <w:shd w:val="clear" w:color="auto" w:fill="FFFFFF"/>
        </w:rPr>
        <w:t>鼓励银行落实差异化信贷政策，对服务业小微企业和个体工商户承租人提供贷款延期、宽限期及续贷等优惠政策</w:t>
      </w:r>
      <w:r>
        <w:rPr>
          <w:rFonts w:hint="eastAsia" w:ascii="仿宋_GB2312" w:hAnsi="微软雅黑" w:cs="仿宋_GB2312"/>
          <w:color w:val="000000"/>
          <w:sz w:val="31"/>
          <w:szCs w:val="31"/>
          <w:shd w:val="clear" w:color="auto" w:fill="FFFFFF"/>
        </w:rPr>
        <w:t>。对</w:t>
      </w:r>
      <w:r>
        <w:rPr>
          <w:rFonts w:ascii="Times New Roman" w:hAnsi="Times New Roman"/>
          <w:color w:val="000000"/>
          <w:sz w:val="31"/>
          <w:szCs w:val="31"/>
          <w:shd w:val="clear" w:color="auto" w:fill="FFFFFF"/>
        </w:rPr>
        <w:t>2022</w:t>
      </w:r>
      <w:r>
        <w:rPr>
          <w:rFonts w:hint="eastAsia" w:ascii="仿宋_GB2312" w:hAnsi="微软雅黑" w:cs="仿宋_GB2312"/>
          <w:color w:val="000000"/>
          <w:sz w:val="31"/>
          <w:szCs w:val="31"/>
          <w:shd w:val="clear" w:color="auto" w:fill="FFFFFF"/>
        </w:rPr>
        <w:t>年减免</w:t>
      </w:r>
      <w:r>
        <w:rPr>
          <w:rFonts w:ascii="Times New Roman" w:hAnsi="Times New Roman"/>
          <w:color w:val="000000"/>
          <w:sz w:val="31"/>
          <w:szCs w:val="31"/>
          <w:shd w:val="clear" w:color="auto" w:fill="FFFFFF"/>
        </w:rPr>
        <w:t>3-6</w:t>
      </w:r>
      <w:r>
        <w:rPr>
          <w:rFonts w:hint="eastAsia" w:ascii="仿宋_GB2312" w:hAnsi="微软雅黑" w:cs="仿宋_GB2312"/>
          <w:color w:val="000000"/>
          <w:sz w:val="31"/>
          <w:szCs w:val="31"/>
          <w:shd w:val="clear" w:color="auto" w:fill="FFFFFF"/>
        </w:rPr>
        <w:t>个月服务业小微企业和个体工商户承租人房屋租金的国有房屋出租人，鼓励国有银行按照其资质和风险水平给予优惠利率质押贷款等支持。国有银行在满足贷款条件的前提下，根据贷款申请人资质情况和证明性材料，进一步优化相关机制和业务流程。对非国有房屋减免租金的出租人，国有银行可同等给予上述优惠。</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牵头单位：</w:t>
      </w:r>
      <w:r>
        <w:rPr>
          <w:rFonts w:hint="eastAsia" w:ascii="仿宋_GB2312" w:hAnsi="Times New Roman" w:cs="仿宋_GB2312"/>
          <w:color w:val="000000"/>
          <w:sz w:val="31"/>
          <w:szCs w:val="31"/>
          <w:shd w:val="clear" w:color="auto" w:fill="FFFFFF"/>
        </w:rPr>
        <w:t>河南银保监局</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Times New Roman" w:cs="仿宋_GB2312"/>
          <w:color w:val="000000"/>
          <w:sz w:val="31"/>
          <w:szCs w:val="31"/>
          <w:shd w:val="clear" w:color="auto" w:fill="FFFFFF"/>
        </w:rPr>
        <w:t>责任单位：</w:t>
      </w:r>
      <w:r>
        <w:rPr>
          <w:rFonts w:hint="eastAsia" w:ascii="仿宋_GB2312" w:hAnsi="微软雅黑" w:cs="仿宋_GB2312"/>
          <w:color w:val="000000"/>
          <w:sz w:val="31"/>
          <w:szCs w:val="31"/>
          <w:shd w:val="clear" w:color="auto" w:fill="FFFFFF"/>
        </w:rPr>
        <w:t>各市银保监分局，各金融机构</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Times New Roman" w:cs="仿宋_GB2312"/>
          <w:color w:val="000000"/>
          <w:sz w:val="31"/>
          <w:szCs w:val="31"/>
          <w:shd w:val="clear" w:color="auto" w:fill="FFFFFF"/>
        </w:rPr>
        <w:t>时序进度：</w:t>
      </w:r>
      <w:r>
        <w:rPr>
          <w:rFonts w:ascii="Times New Roman" w:hAnsi="Times New Roman" w:eastAsia="微软雅黑"/>
          <w:color w:val="000000"/>
          <w:sz w:val="31"/>
          <w:szCs w:val="31"/>
          <w:shd w:val="clear" w:color="auto" w:fill="FFFFFF"/>
        </w:rPr>
        <w:t>2022</w:t>
      </w:r>
      <w:r>
        <w:rPr>
          <w:rFonts w:hint="eastAsia" w:ascii="仿宋_GB2312" w:hAnsi="Times New Roman" w:cs="仿宋_GB2312"/>
          <w:color w:val="000000"/>
          <w:sz w:val="31"/>
          <w:szCs w:val="31"/>
          <w:shd w:val="clear" w:color="auto" w:fill="FFFFFF"/>
        </w:rPr>
        <w:t>年</w:t>
      </w:r>
      <w:r>
        <w:rPr>
          <w:rFonts w:ascii="Times New Roman" w:hAnsi="Times New Roman" w:eastAsia="微软雅黑"/>
          <w:color w:val="000000"/>
          <w:sz w:val="31"/>
          <w:szCs w:val="31"/>
          <w:shd w:val="clear" w:color="auto" w:fill="FFFFFF"/>
        </w:rPr>
        <w:t>12</w:t>
      </w:r>
      <w:r>
        <w:rPr>
          <w:rFonts w:hint="eastAsia" w:ascii="仿宋_GB2312" w:hAnsi="Times New Roman" w:cs="仿宋_GB2312"/>
          <w:color w:val="000000"/>
          <w:sz w:val="31"/>
          <w:szCs w:val="31"/>
          <w:shd w:val="clear" w:color="auto" w:fill="FFFFFF"/>
        </w:rPr>
        <w:t>月底前</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黑体" w:hAnsi="宋体" w:eastAsia="黑体" w:cs="黑体"/>
          <w:color w:val="000000"/>
          <w:sz w:val="31"/>
          <w:szCs w:val="31"/>
          <w:shd w:val="clear" w:color="auto" w:fill="FFFFFF"/>
        </w:rPr>
        <w:t>三、继续推动实际贷款利率稳中有降</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ascii="Times New Roman" w:hAnsi="Times New Roman"/>
          <w:color w:val="000000"/>
          <w:sz w:val="31"/>
          <w:szCs w:val="31"/>
          <w:shd w:val="clear" w:color="auto" w:fill="FFFFFF"/>
        </w:rPr>
        <w:t>13.</w:t>
      </w:r>
      <w:r>
        <w:rPr>
          <w:rFonts w:hint="eastAsia" w:ascii="仿宋_GB2312" w:hAnsi="Times New Roman" w:cs="仿宋_GB2312"/>
          <w:color w:val="000000"/>
          <w:sz w:val="31"/>
          <w:szCs w:val="31"/>
          <w:shd w:val="clear" w:color="auto" w:fill="FFFFFF"/>
        </w:rPr>
        <w:t>引导</w:t>
      </w:r>
      <w:r>
        <w:rPr>
          <w:rFonts w:hint="eastAsia" w:ascii="仿宋_GB2312" w:hAnsi="微软雅黑" w:cs="仿宋_GB2312"/>
          <w:color w:val="000000"/>
          <w:sz w:val="31"/>
          <w:szCs w:val="31"/>
          <w:shd w:val="clear" w:color="auto" w:fill="FFFFFF"/>
        </w:rPr>
        <w:t>法人</w:t>
      </w:r>
      <w:r>
        <w:rPr>
          <w:rFonts w:hint="eastAsia" w:ascii="仿宋_GB2312" w:hAnsi="Times New Roman" w:cs="仿宋_GB2312"/>
          <w:color w:val="000000"/>
          <w:sz w:val="31"/>
          <w:szCs w:val="31"/>
          <w:shd w:val="clear" w:color="auto" w:fill="FFFFFF"/>
        </w:rPr>
        <w:t>金融机构将贷款市场报价利率（</w:t>
      </w:r>
      <w:r>
        <w:rPr>
          <w:rFonts w:ascii="Times New Roman" w:hAnsi="Times New Roman" w:eastAsia="微软雅黑"/>
          <w:color w:val="000000"/>
          <w:sz w:val="31"/>
          <w:szCs w:val="31"/>
          <w:shd w:val="clear" w:color="auto" w:fill="FFFFFF"/>
        </w:rPr>
        <w:t> LPR </w:t>
      </w:r>
      <w:r>
        <w:rPr>
          <w:rFonts w:hint="eastAsia" w:ascii="仿宋_GB2312" w:hAnsi="Times New Roman" w:cs="仿宋_GB2312"/>
          <w:color w:val="000000"/>
          <w:sz w:val="31"/>
          <w:szCs w:val="31"/>
          <w:shd w:val="clear" w:color="auto" w:fill="FFFFFF"/>
        </w:rPr>
        <w:t>）内嵌到内部定价和传导相关环节，</w:t>
      </w:r>
      <w:r>
        <w:rPr>
          <w:rFonts w:hint="eastAsia" w:ascii="仿宋_GB2312" w:hAnsi="微软雅黑" w:cs="仿宋_GB2312"/>
          <w:color w:val="000000"/>
          <w:sz w:val="31"/>
          <w:szCs w:val="31"/>
          <w:shd w:val="clear" w:color="auto" w:fill="FFFFFF"/>
        </w:rPr>
        <w:t>将其</w:t>
      </w:r>
      <w:r>
        <w:rPr>
          <w:rFonts w:hint="eastAsia" w:ascii="仿宋_GB2312" w:hAnsi="Times New Roman" w:cs="仿宋_GB2312"/>
          <w:color w:val="000000"/>
          <w:sz w:val="31"/>
          <w:szCs w:val="31"/>
          <w:shd w:val="clear" w:color="auto" w:fill="FFFFFF"/>
        </w:rPr>
        <w:t>内嵌</w:t>
      </w:r>
      <w:r>
        <w:rPr>
          <w:rFonts w:hint="eastAsia" w:ascii="仿宋_GB2312" w:hAnsi="微软雅黑" w:cs="仿宋_GB2312"/>
          <w:color w:val="000000"/>
          <w:sz w:val="31"/>
          <w:szCs w:val="31"/>
          <w:shd w:val="clear" w:color="auto" w:fill="FFFFFF"/>
        </w:rPr>
        <w:t>情况纳入合格审慎评估，并作为同业存单、大额存单发行备案的要素。引导金融机构</w:t>
      </w:r>
      <w:r>
        <w:rPr>
          <w:rFonts w:hint="eastAsia" w:ascii="仿宋_GB2312" w:hAnsi="Times New Roman" w:cs="仿宋_GB2312"/>
          <w:color w:val="000000"/>
          <w:sz w:val="31"/>
          <w:szCs w:val="31"/>
          <w:shd w:val="clear" w:color="auto" w:fill="FFFFFF"/>
        </w:rPr>
        <w:t>优化提升贷款精细化定价水平，适当下放贷款定价权限，推动实际贷款利率稳中有降。</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牵头单位：人民银行郑州中心支行</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责任单位：人民银行各市中心支行，各法人金融机构</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时序进度：</w:t>
      </w:r>
      <w:r>
        <w:rPr>
          <w:rFonts w:ascii="Times New Roman" w:hAnsi="Times New Roman"/>
          <w:color w:val="000000"/>
          <w:sz w:val="31"/>
          <w:szCs w:val="31"/>
          <w:shd w:val="clear" w:color="auto" w:fill="FFFFFF"/>
        </w:rPr>
        <w:t>2022</w:t>
      </w:r>
      <w:r>
        <w:rPr>
          <w:rFonts w:hint="eastAsia" w:ascii="仿宋_GB2312" w:hAnsi="微软雅黑" w:cs="仿宋_GB2312"/>
          <w:color w:val="000000"/>
          <w:sz w:val="31"/>
          <w:szCs w:val="31"/>
          <w:shd w:val="clear" w:color="auto" w:fill="FFFFFF"/>
        </w:rPr>
        <w:t>年</w:t>
      </w:r>
      <w:r>
        <w:rPr>
          <w:rFonts w:ascii="Times New Roman" w:hAnsi="Times New Roman"/>
          <w:color w:val="000000"/>
          <w:sz w:val="31"/>
          <w:szCs w:val="31"/>
          <w:shd w:val="clear" w:color="auto" w:fill="FFFFFF"/>
        </w:rPr>
        <w:t>12</w:t>
      </w:r>
      <w:r>
        <w:rPr>
          <w:rFonts w:hint="eastAsia" w:ascii="仿宋_GB2312" w:hAnsi="微软雅黑" w:cs="仿宋_GB2312"/>
          <w:color w:val="000000"/>
          <w:sz w:val="31"/>
          <w:szCs w:val="31"/>
          <w:shd w:val="clear" w:color="auto" w:fill="FFFFFF"/>
        </w:rPr>
        <w:t>月底前</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ascii="Times New Roman" w:hAnsi="Times New Roman"/>
          <w:color w:val="000000"/>
          <w:sz w:val="31"/>
          <w:szCs w:val="31"/>
          <w:shd w:val="clear" w:color="auto" w:fill="FFFFFF"/>
        </w:rPr>
        <w:t>14.</w:t>
      </w:r>
      <w:r>
        <w:rPr>
          <w:rFonts w:hint="eastAsia" w:ascii="仿宋_GB2312" w:hAnsi="微软雅黑" w:cs="仿宋_GB2312"/>
          <w:color w:val="000000"/>
          <w:sz w:val="31"/>
          <w:szCs w:val="31"/>
          <w:shd w:val="clear" w:color="auto" w:fill="FFFFFF"/>
        </w:rPr>
        <w:t>强化窗口指导，引导地方法人金融机构对战略性新兴产业、科技创新、绿色低碳等重点领域贷款给予内部资金转移定价利率优惠，并将落实情况纳入同业存单、大额存单发行备案管理，引导城商行等法人金融机构对以上领域贷款给予内部资金转移定价利率优惠</w:t>
      </w:r>
      <w:r>
        <w:rPr>
          <w:rFonts w:ascii="Times New Roman" w:hAnsi="Times New Roman"/>
          <w:color w:val="000000"/>
          <w:sz w:val="31"/>
          <w:szCs w:val="31"/>
          <w:shd w:val="clear" w:color="auto" w:fill="FFFFFF"/>
        </w:rPr>
        <w:t>10</w:t>
      </w:r>
      <w:r>
        <w:rPr>
          <w:rFonts w:hint="eastAsia" w:ascii="仿宋_GB2312" w:hAnsi="微软雅黑" w:cs="仿宋_GB2312"/>
          <w:color w:val="000000"/>
          <w:sz w:val="31"/>
          <w:szCs w:val="31"/>
          <w:shd w:val="clear" w:color="auto" w:fill="FFFFFF"/>
        </w:rPr>
        <w:t>个</w:t>
      </w:r>
      <w:r>
        <w:rPr>
          <w:rFonts w:ascii="Times New Roman" w:hAnsi="Times New Roman"/>
          <w:color w:val="000000"/>
          <w:sz w:val="31"/>
          <w:szCs w:val="31"/>
          <w:shd w:val="clear" w:color="auto" w:fill="FFFFFF"/>
        </w:rPr>
        <w:t>BP</w:t>
      </w:r>
      <w:r>
        <w:rPr>
          <w:rFonts w:hint="eastAsia" w:ascii="仿宋_GB2312" w:hAnsi="微软雅黑" w:cs="仿宋_GB2312"/>
          <w:color w:val="000000"/>
          <w:sz w:val="31"/>
          <w:szCs w:val="31"/>
          <w:shd w:val="clear" w:color="auto" w:fill="FFFFFF"/>
        </w:rPr>
        <w:t>以上。</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牵头单位：人民银行郑州中心支行</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责任单位：人民银行各市中心支行，各法人金融机构</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时序进度：</w:t>
      </w:r>
      <w:r>
        <w:rPr>
          <w:rFonts w:ascii="Times New Roman" w:hAnsi="Times New Roman"/>
          <w:color w:val="000000"/>
          <w:sz w:val="31"/>
          <w:szCs w:val="31"/>
          <w:shd w:val="clear" w:color="auto" w:fill="FFFFFF"/>
        </w:rPr>
        <w:t>2022</w:t>
      </w:r>
      <w:r>
        <w:rPr>
          <w:rFonts w:hint="eastAsia" w:ascii="仿宋_GB2312" w:hAnsi="微软雅黑" w:cs="仿宋_GB2312"/>
          <w:color w:val="000000"/>
          <w:sz w:val="31"/>
          <w:szCs w:val="31"/>
          <w:shd w:val="clear" w:color="auto" w:fill="FFFFFF"/>
        </w:rPr>
        <w:t>年</w:t>
      </w:r>
      <w:r>
        <w:rPr>
          <w:rFonts w:ascii="Times New Roman" w:hAnsi="Times New Roman"/>
          <w:color w:val="000000"/>
          <w:sz w:val="31"/>
          <w:szCs w:val="31"/>
          <w:shd w:val="clear" w:color="auto" w:fill="FFFFFF"/>
        </w:rPr>
        <w:t>12</w:t>
      </w:r>
      <w:r>
        <w:rPr>
          <w:rFonts w:hint="eastAsia" w:ascii="仿宋_GB2312" w:hAnsi="微软雅黑" w:cs="仿宋_GB2312"/>
          <w:color w:val="000000"/>
          <w:sz w:val="31"/>
          <w:szCs w:val="31"/>
          <w:shd w:val="clear" w:color="auto" w:fill="FFFFFF"/>
        </w:rPr>
        <w:t>月底前</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ascii="Times New Roman" w:hAnsi="Times New Roman"/>
          <w:color w:val="000000"/>
          <w:sz w:val="31"/>
          <w:szCs w:val="31"/>
          <w:shd w:val="clear" w:color="auto" w:fill="FFFFFF"/>
        </w:rPr>
        <w:t>15.</w:t>
      </w:r>
      <w:r>
        <w:rPr>
          <w:rFonts w:hint="eastAsia" w:ascii="仿宋_GB2312" w:hAnsi="微软雅黑" w:cs="仿宋_GB2312"/>
          <w:color w:val="000000"/>
          <w:sz w:val="31"/>
          <w:szCs w:val="31"/>
          <w:shd w:val="clear" w:color="auto" w:fill="FFFFFF"/>
        </w:rPr>
        <w:t>组织各银行机构逐行制定利率压降目标和阶段性压降计划，推动全省利率水平稳中有降。开展利率压降专项督导，分机构类型、分重点领域按月统计监测、按季通报督办。指导银行业协会加强行业自律，确保步调一致、实质压降。围绕信贷、助贷、考核、增信等环节，督促银行业金融机构严格落实“七不准”“四公开”“两禁两限”等减费让利政策要求，取消信贷资金管理费、小微企业提前还款违约金，主动承担押品评估费、抵押登记费等费用。加大无还本续贷展期、延期还本付息、信用贷款产品推广力度，减轻企业因借新还旧、搭桥展期衍生的费用负担。</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牵头单位：河南银保监局</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责任单位：各市银保监分局，各金融机构</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时序进度：力争</w:t>
      </w:r>
      <w:r>
        <w:rPr>
          <w:rFonts w:ascii="Times New Roman" w:hAnsi="Times New Roman"/>
          <w:color w:val="000000"/>
          <w:sz w:val="31"/>
          <w:szCs w:val="31"/>
          <w:shd w:val="clear" w:color="auto" w:fill="FFFFFF"/>
        </w:rPr>
        <w:t>2022</w:t>
      </w:r>
      <w:r>
        <w:rPr>
          <w:rFonts w:hint="eastAsia" w:ascii="仿宋_GB2312" w:hAnsi="微软雅黑" w:cs="仿宋_GB2312"/>
          <w:color w:val="000000"/>
          <w:sz w:val="31"/>
          <w:szCs w:val="31"/>
          <w:shd w:val="clear" w:color="auto" w:fill="FFFFFF"/>
        </w:rPr>
        <w:t>年全年全省银行机构主动承担或减免信贷相关费用总额超过去年。</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黑体" w:hAnsi="宋体" w:eastAsia="黑体" w:cs="黑体"/>
          <w:color w:val="000000"/>
          <w:sz w:val="31"/>
          <w:szCs w:val="31"/>
          <w:shd w:val="clear" w:color="auto" w:fill="FFFFFF"/>
        </w:rPr>
        <w:t>四、提高资本市场融资效率</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ascii="Times New Roman" w:hAnsi="Times New Roman"/>
          <w:color w:val="000000"/>
          <w:sz w:val="31"/>
          <w:szCs w:val="31"/>
          <w:shd w:val="clear" w:color="auto" w:fill="FFFFFF"/>
        </w:rPr>
        <w:t>16.</w:t>
      </w:r>
      <w:r>
        <w:rPr>
          <w:rFonts w:hint="eastAsia" w:ascii="仿宋_GB2312" w:hAnsi="微软雅黑" w:cs="仿宋_GB2312"/>
          <w:color w:val="000000"/>
          <w:sz w:val="31"/>
          <w:szCs w:val="31"/>
          <w:shd w:val="clear" w:color="auto" w:fill="FFFFFF"/>
        </w:rPr>
        <w:t>实施</w:t>
      </w:r>
      <w:r>
        <w:rPr>
          <w:rFonts w:hint="eastAsia" w:ascii="仿宋_GB2312" w:hAnsi="Times New Roman" w:cs="仿宋_GB2312"/>
          <w:color w:val="000000"/>
          <w:sz w:val="31"/>
          <w:szCs w:val="31"/>
          <w:shd w:val="clear" w:color="auto" w:fill="FFFFFF"/>
        </w:rPr>
        <w:t>企业上市五年倍增行动，</w:t>
      </w:r>
      <w:r>
        <w:rPr>
          <w:rFonts w:hint="eastAsia" w:ascii="仿宋_GB2312" w:hAnsi="微软雅黑" w:cs="仿宋_GB2312"/>
          <w:color w:val="000000"/>
          <w:sz w:val="31"/>
          <w:szCs w:val="31"/>
          <w:shd w:val="clear" w:color="auto" w:fill="FFFFFF"/>
        </w:rPr>
        <w:t>制定出台专项政策，加快推动</w:t>
      </w:r>
      <w:r>
        <w:rPr>
          <w:rFonts w:hint="eastAsia" w:ascii="仿宋_GB2312" w:hAnsi="Times New Roman" w:cs="仿宋_GB2312"/>
          <w:color w:val="000000"/>
          <w:sz w:val="31"/>
          <w:szCs w:val="31"/>
          <w:shd w:val="clear" w:color="auto" w:fill="FFFFFF"/>
        </w:rPr>
        <w:t>平台企业、数字企业、生物企业等优质企业在境内外资本市场上市融资。完善省定重点上市后备企业资源库管理办法，</w:t>
      </w:r>
      <w:r>
        <w:rPr>
          <w:rFonts w:hint="eastAsia" w:ascii="仿宋_GB2312" w:hAnsi="微软雅黑" w:cs="仿宋_GB2312"/>
          <w:color w:val="000000"/>
          <w:sz w:val="31"/>
          <w:szCs w:val="31"/>
          <w:shd w:val="clear" w:color="auto" w:fill="FFFFFF"/>
        </w:rPr>
        <w:t>对省定重点上市后备企业资源库进行动态调整，分层次、分行业、分梯队采取针对性服务措施，推动上市进程。持续开展高规格、高频次、针对性上市培训，</w:t>
      </w:r>
      <w:r>
        <w:rPr>
          <w:rFonts w:hint="eastAsia" w:ascii="仿宋_GB2312" w:hAnsi="Times New Roman" w:cs="仿宋_GB2312"/>
          <w:color w:val="000000"/>
          <w:sz w:val="31"/>
          <w:szCs w:val="31"/>
          <w:shd w:val="clear" w:color="auto" w:fill="FFFFFF"/>
        </w:rPr>
        <w:t>加大企业上市培育力度</w:t>
      </w:r>
      <w:r>
        <w:rPr>
          <w:rFonts w:hint="eastAsia" w:ascii="仿宋_GB2312" w:hAnsi="微软雅黑" w:cs="仿宋_GB2312"/>
          <w:color w:val="000000"/>
          <w:sz w:val="31"/>
          <w:szCs w:val="31"/>
          <w:shd w:val="clear" w:color="auto" w:fill="FFFFFF"/>
        </w:rPr>
        <w:t>。坚持培育和引进并举，加快引进迁入意愿较强，与本地特色产业、优势产业、传统产业关联度高、互补性强的省外企业，全力扶持上市。</w:t>
      </w:r>
      <w:r>
        <w:rPr>
          <w:rFonts w:hint="eastAsia" w:ascii="仿宋_GB2312" w:hAnsi="Times New Roman" w:cs="仿宋_GB2312"/>
          <w:color w:val="000000"/>
          <w:sz w:val="31"/>
          <w:szCs w:val="31"/>
          <w:shd w:val="clear" w:color="auto" w:fill="FFFFFF"/>
        </w:rPr>
        <w:t>提升</w:t>
      </w:r>
      <w:r>
        <w:rPr>
          <w:rFonts w:ascii="Times New Roman" w:hAnsi="Times New Roman" w:eastAsia="微软雅黑"/>
          <w:color w:val="000000"/>
          <w:sz w:val="31"/>
          <w:szCs w:val="31"/>
          <w:shd w:val="clear" w:color="auto" w:fill="FFFFFF"/>
        </w:rPr>
        <w:t>“</w:t>
      </w:r>
      <w:r>
        <w:rPr>
          <w:rFonts w:hint="eastAsia" w:ascii="仿宋_GB2312" w:hAnsi="Times New Roman" w:cs="仿宋_GB2312"/>
          <w:color w:val="000000"/>
          <w:sz w:val="31"/>
          <w:szCs w:val="31"/>
          <w:shd w:val="clear" w:color="auto" w:fill="FFFFFF"/>
        </w:rPr>
        <w:t>绿色</w:t>
      </w:r>
      <w:r>
        <w:rPr>
          <w:rFonts w:ascii="Times New Roman" w:hAnsi="Times New Roman" w:eastAsia="微软雅黑"/>
          <w:color w:val="000000"/>
          <w:sz w:val="31"/>
          <w:szCs w:val="31"/>
          <w:shd w:val="clear" w:color="auto" w:fill="FFFFFF"/>
        </w:rPr>
        <w:t>”</w:t>
      </w:r>
      <w:r>
        <w:rPr>
          <w:rFonts w:hint="eastAsia" w:ascii="仿宋_GB2312" w:hAnsi="Times New Roman" w:cs="仿宋_GB2312"/>
          <w:color w:val="000000"/>
          <w:sz w:val="31"/>
          <w:szCs w:val="31"/>
          <w:shd w:val="clear" w:color="auto" w:fill="FFFFFF"/>
        </w:rPr>
        <w:t>通道服务质效，建立线上线下协同服务工作模式，主动服务、专人负责、优先办理、限时办结企业上市相关事项。加大财政奖补力度，按照辅导备案登记、受理申报材料两个节点，分别给予奖补</w:t>
      </w:r>
      <w:r>
        <w:rPr>
          <w:rFonts w:hint="eastAsia" w:ascii="仿宋_GB2312" w:hAnsi="微软雅黑" w:cs="仿宋_GB2312"/>
          <w:color w:val="000000"/>
          <w:sz w:val="31"/>
          <w:szCs w:val="31"/>
          <w:shd w:val="clear" w:color="auto" w:fill="FFFFFF"/>
        </w:rPr>
        <w:t>。</w:t>
      </w:r>
      <w:r>
        <w:rPr>
          <w:rFonts w:hint="eastAsia" w:ascii="仿宋_GB2312" w:hAnsi="Times New Roman" w:cs="仿宋_GB2312"/>
          <w:color w:val="000000"/>
          <w:sz w:val="31"/>
          <w:szCs w:val="31"/>
          <w:shd w:val="clear" w:color="auto" w:fill="FFFFFF"/>
        </w:rPr>
        <w:t>发挥区域性股权市场培育功能，支持设立</w:t>
      </w:r>
      <w:r>
        <w:rPr>
          <w:rFonts w:ascii="Times New Roman" w:hAnsi="Times New Roman" w:eastAsia="微软雅黑"/>
          <w:color w:val="000000"/>
          <w:sz w:val="31"/>
          <w:szCs w:val="31"/>
          <w:shd w:val="clear" w:color="auto" w:fill="FFFFFF"/>
        </w:rPr>
        <w:t>“</w:t>
      </w:r>
      <w:r>
        <w:rPr>
          <w:rFonts w:hint="eastAsia" w:ascii="仿宋_GB2312" w:hAnsi="Times New Roman" w:cs="仿宋_GB2312"/>
          <w:color w:val="000000"/>
          <w:sz w:val="31"/>
          <w:szCs w:val="31"/>
          <w:shd w:val="clear" w:color="auto" w:fill="FFFFFF"/>
        </w:rPr>
        <w:t>专精特新</w:t>
      </w:r>
      <w:r>
        <w:rPr>
          <w:rFonts w:ascii="Times New Roman" w:hAnsi="Times New Roman" w:eastAsia="微软雅黑"/>
          <w:color w:val="000000"/>
          <w:sz w:val="31"/>
          <w:szCs w:val="31"/>
          <w:shd w:val="clear" w:color="auto" w:fill="FFFFFF"/>
        </w:rPr>
        <w:t>”</w:t>
      </w:r>
      <w:r>
        <w:rPr>
          <w:rFonts w:hint="eastAsia" w:ascii="仿宋_GB2312" w:hAnsi="Times New Roman" w:cs="仿宋_GB2312"/>
          <w:color w:val="000000"/>
          <w:sz w:val="31"/>
          <w:szCs w:val="31"/>
          <w:shd w:val="clear" w:color="auto" w:fill="FFFFFF"/>
        </w:rPr>
        <w:t>专板。建立推动企业上市联席会议制度，统筹协调解决企业上市进程中的重大问题</w:t>
      </w:r>
      <w:r>
        <w:rPr>
          <w:rFonts w:hint="eastAsia" w:ascii="仿宋_GB2312" w:hAnsi="微软雅黑" w:cs="仿宋_GB2312"/>
          <w:color w:val="000000"/>
          <w:sz w:val="31"/>
          <w:szCs w:val="31"/>
          <w:shd w:val="clear" w:color="auto" w:fill="FFFFFF"/>
        </w:rPr>
        <w:t>。</w:t>
      </w:r>
      <w:r>
        <w:rPr>
          <w:rFonts w:hint="eastAsia" w:ascii="仿宋_GB2312" w:hAnsi="Times New Roman" w:cs="仿宋_GB2312"/>
          <w:color w:val="000000"/>
          <w:sz w:val="31"/>
          <w:szCs w:val="31"/>
          <w:shd w:val="clear" w:color="auto" w:fill="FFFFFF"/>
        </w:rPr>
        <w:t>力争从</w:t>
      </w:r>
      <w:r>
        <w:rPr>
          <w:rFonts w:ascii="Times New Roman" w:hAnsi="Times New Roman" w:eastAsia="微软雅黑"/>
          <w:color w:val="000000"/>
          <w:sz w:val="31"/>
          <w:szCs w:val="31"/>
          <w:shd w:val="clear" w:color="auto" w:fill="FFFFFF"/>
        </w:rPr>
        <w:t>2022</w:t>
      </w:r>
      <w:r>
        <w:rPr>
          <w:rFonts w:hint="eastAsia" w:ascii="仿宋_GB2312" w:hAnsi="Times New Roman" w:cs="仿宋_GB2312"/>
          <w:color w:val="000000"/>
          <w:sz w:val="31"/>
          <w:szCs w:val="31"/>
          <w:shd w:val="clear" w:color="auto" w:fill="FFFFFF"/>
        </w:rPr>
        <w:t>年起五年内，每年新增境内外上市公司</w:t>
      </w:r>
      <w:r>
        <w:rPr>
          <w:rFonts w:ascii="Times New Roman" w:hAnsi="Times New Roman" w:eastAsia="微软雅黑"/>
          <w:color w:val="000000"/>
          <w:sz w:val="31"/>
          <w:szCs w:val="31"/>
          <w:shd w:val="clear" w:color="auto" w:fill="FFFFFF"/>
        </w:rPr>
        <w:t>20</w:t>
      </w:r>
      <w:r>
        <w:rPr>
          <w:rFonts w:hint="eastAsia" w:ascii="仿宋_GB2312" w:hAnsi="Times New Roman" w:cs="仿宋_GB2312"/>
          <w:color w:val="000000"/>
          <w:sz w:val="31"/>
          <w:szCs w:val="31"/>
          <w:shd w:val="clear" w:color="auto" w:fill="FFFFFF"/>
        </w:rPr>
        <w:t>家，实现我省上市公司总数突破</w:t>
      </w:r>
      <w:r>
        <w:rPr>
          <w:rFonts w:ascii="Times New Roman" w:hAnsi="Times New Roman" w:eastAsia="微软雅黑"/>
          <w:color w:val="000000"/>
          <w:sz w:val="31"/>
          <w:szCs w:val="31"/>
          <w:shd w:val="clear" w:color="auto" w:fill="FFFFFF"/>
        </w:rPr>
        <w:t>200</w:t>
      </w:r>
      <w:r>
        <w:rPr>
          <w:rFonts w:hint="eastAsia" w:ascii="仿宋_GB2312" w:hAnsi="Times New Roman" w:cs="仿宋_GB2312"/>
          <w:color w:val="000000"/>
          <w:sz w:val="31"/>
          <w:szCs w:val="31"/>
          <w:shd w:val="clear" w:color="auto" w:fill="FFFFFF"/>
        </w:rPr>
        <w:t>家。</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Times New Roman" w:cs="仿宋_GB2312"/>
          <w:color w:val="000000"/>
          <w:sz w:val="31"/>
          <w:szCs w:val="31"/>
          <w:shd w:val="clear" w:color="auto" w:fill="FFFFFF"/>
        </w:rPr>
        <w:t>牵头单位：省地方金融监管局、河南证监局</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责任单位：</w:t>
      </w:r>
      <w:r>
        <w:rPr>
          <w:rFonts w:hint="eastAsia" w:ascii="仿宋_GB2312" w:hAnsi="Times New Roman" w:cs="仿宋_GB2312"/>
          <w:color w:val="000000"/>
          <w:sz w:val="31"/>
          <w:szCs w:val="31"/>
          <w:shd w:val="clear" w:color="auto" w:fill="FFFFFF"/>
        </w:rPr>
        <w:t>各省辖市金融工作局、济源示范区财政金融局、航空港区财政审计局</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时序进度</w:t>
      </w:r>
      <w:r>
        <w:rPr>
          <w:rFonts w:hint="eastAsia" w:ascii="仿宋_GB2312" w:hAnsi="Times New Roman" w:cs="仿宋_GB2312"/>
          <w:color w:val="000000"/>
          <w:sz w:val="31"/>
          <w:szCs w:val="31"/>
          <w:shd w:val="clear" w:color="auto" w:fill="FFFFFF"/>
        </w:rPr>
        <w:t>：</w:t>
      </w:r>
      <w:r>
        <w:rPr>
          <w:rFonts w:ascii="Times New Roman" w:hAnsi="Times New Roman" w:eastAsia="微软雅黑"/>
          <w:color w:val="000000"/>
          <w:sz w:val="31"/>
          <w:szCs w:val="31"/>
          <w:shd w:val="clear" w:color="auto" w:fill="FFFFFF"/>
        </w:rPr>
        <w:t>2022</w:t>
      </w:r>
      <w:r>
        <w:rPr>
          <w:rFonts w:hint="eastAsia" w:ascii="仿宋_GB2312" w:hAnsi="Times New Roman" w:cs="仿宋_GB2312"/>
          <w:color w:val="000000"/>
          <w:sz w:val="31"/>
          <w:szCs w:val="31"/>
          <w:shd w:val="clear" w:color="auto" w:fill="FFFFFF"/>
        </w:rPr>
        <w:t>年</w:t>
      </w:r>
      <w:r>
        <w:rPr>
          <w:rFonts w:ascii="Times New Roman" w:hAnsi="Times New Roman" w:eastAsia="微软雅黑"/>
          <w:color w:val="000000"/>
          <w:sz w:val="31"/>
          <w:szCs w:val="31"/>
          <w:shd w:val="clear" w:color="auto" w:fill="FFFFFF"/>
        </w:rPr>
        <w:t>6</w:t>
      </w:r>
      <w:r>
        <w:rPr>
          <w:rFonts w:hint="eastAsia" w:ascii="仿宋_GB2312" w:hAnsi="Times New Roman" w:cs="仿宋_GB2312"/>
          <w:color w:val="000000"/>
          <w:sz w:val="31"/>
          <w:szCs w:val="31"/>
          <w:shd w:val="clear" w:color="auto" w:fill="FFFFFF"/>
        </w:rPr>
        <w:t>月底出台</w:t>
      </w:r>
      <w:r>
        <w:rPr>
          <w:rFonts w:hint="eastAsia" w:ascii="仿宋_GB2312" w:hAnsi="微软雅黑" w:cs="仿宋_GB2312"/>
          <w:color w:val="000000"/>
          <w:sz w:val="31"/>
          <w:szCs w:val="31"/>
          <w:shd w:val="clear" w:color="auto" w:fill="FFFFFF"/>
        </w:rPr>
        <w:t>专项实施方案，持续跟踪落实。</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ascii="Times New Roman" w:hAnsi="Times New Roman"/>
          <w:color w:val="000000"/>
          <w:sz w:val="31"/>
          <w:szCs w:val="31"/>
          <w:shd w:val="clear" w:color="auto" w:fill="FFFFFF"/>
        </w:rPr>
        <w:t>17.</w:t>
      </w:r>
      <w:r>
        <w:rPr>
          <w:rFonts w:hint="eastAsia" w:ascii="仿宋_GB2312" w:hAnsi="Times New Roman" w:cs="仿宋_GB2312"/>
          <w:color w:val="000000"/>
          <w:sz w:val="31"/>
          <w:szCs w:val="31"/>
          <w:shd w:val="clear" w:color="auto" w:fill="FFFFFF"/>
        </w:rPr>
        <w:t>实施提高上市公司质量三年行动计划</w:t>
      </w:r>
      <w:r>
        <w:rPr>
          <w:rFonts w:hint="eastAsia" w:ascii="仿宋_GB2312" w:hAnsi="微软雅黑" w:cs="仿宋_GB2312"/>
          <w:color w:val="000000"/>
          <w:sz w:val="31"/>
          <w:szCs w:val="31"/>
          <w:shd w:val="clear" w:color="auto" w:fill="FFFFFF"/>
        </w:rPr>
        <w:t>。建立异常经营预警机制，提升风险发现和防范能力。持续开展上市公司治理专项行动，切实提升上市公司治理水平。</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Times New Roman" w:cs="仿宋_GB2312"/>
          <w:color w:val="000000"/>
          <w:sz w:val="31"/>
          <w:szCs w:val="31"/>
          <w:shd w:val="clear" w:color="auto" w:fill="FFFFFF"/>
        </w:rPr>
        <w:t>牵头单位：河南证监局、省地方金融监管局</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Times New Roman" w:cs="仿宋_GB2312"/>
          <w:color w:val="000000"/>
          <w:sz w:val="31"/>
          <w:szCs w:val="31"/>
          <w:shd w:val="clear" w:color="auto" w:fill="FFFFFF"/>
        </w:rPr>
        <w:t>责任单位：各省辖市金融工作局、济源示范区财政金融局、航空港区财政审计局</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时序进度</w:t>
      </w:r>
      <w:r>
        <w:rPr>
          <w:rFonts w:hint="eastAsia" w:ascii="仿宋_GB2312" w:hAnsi="Times New Roman" w:cs="仿宋_GB2312"/>
          <w:color w:val="000000"/>
          <w:sz w:val="31"/>
          <w:szCs w:val="31"/>
          <w:shd w:val="clear" w:color="auto" w:fill="FFFFFF"/>
        </w:rPr>
        <w:t>：</w:t>
      </w:r>
      <w:r>
        <w:rPr>
          <w:rFonts w:hint="eastAsia" w:ascii="仿宋_GB2312" w:hAnsi="微软雅黑" w:cs="仿宋_GB2312"/>
          <w:color w:val="000000"/>
          <w:sz w:val="31"/>
          <w:szCs w:val="31"/>
          <w:shd w:val="clear" w:color="auto" w:fill="FFFFFF"/>
        </w:rPr>
        <w:t>持续推进</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ascii="Times New Roman" w:hAnsi="Times New Roman"/>
          <w:color w:val="000000"/>
          <w:sz w:val="31"/>
          <w:szCs w:val="31"/>
          <w:shd w:val="clear" w:color="auto" w:fill="FFFFFF"/>
        </w:rPr>
        <w:t>18.</w:t>
      </w:r>
      <w:r>
        <w:rPr>
          <w:rFonts w:hint="eastAsia" w:ascii="仿宋_GB2312" w:hAnsi="微软雅黑" w:cs="仿宋_GB2312"/>
          <w:color w:val="000000"/>
          <w:sz w:val="31"/>
          <w:szCs w:val="31"/>
          <w:shd w:val="clear" w:color="auto" w:fill="FFFFFF"/>
        </w:rPr>
        <w:t>组织开展并购重组再融资专题培训会、座谈会、宣讲会，及时提供政策咨询。疫情期间，支持上市公司在河南证监局远程参加并购重组发审会。</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牵头</w:t>
      </w:r>
      <w:r>
        <w:rPr>
          <w:rFonts w:hint="eastAsia" w:ascii="仿宋_GB2312" w:hAnsi="Times New Roman" w:cs="仿宋_GB2312"/>
          <w:color w:val="000000"/>
          <w:sz w:val="31"/>
          <w:szCs w:val="31"/>
          <w:shd w:val="clear" w:color="auto" w:fill="FFFFFF"/>
        </w:rPr>
        <w:t>单位：省地方金融监管局</w:t>
      </w:r>
      <w:r>
        <w:rPr>
          <w:rFonts w:hint="eastAsia" w:ascii="仿宋_GB2312" w:hAnsi="微软雅黑" w:cs="仿宋_GB2312"/>
          <w:color w:val="000000"/>
          <w:sz w:val="31"/>
          <w:szCs w:val="31"/>
          <w:shd w:val="clear" w:color="auto" w:fill="FFFFFF"/>
        </w:rPr>
        <w:t>、</w:t>
      </w:r>
      <w:r>
        <w:rPr>
          <w:rFonts w:hint="eastAsia" w:ascii="仿宋_GB2312" w:hAnsi="Times New Roman" w:cs="仿宋_GB2312"/>
          <w:color w:val="000000"/>
          <w:sz w:val="31"/>
          <w:szCs w:val="31"/>
          <w:shd w:val="clear" w:color="auto" w:fill="FFFFFF"/>
        </w:rPr>
        <w:t>河南证监局</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Times New Roman" w:cs="仿宋_GB2312"/>
          <w:color w:val="000000"/>
          <w:sz w:val="31"/>
          <w:szCs w:val="31"/>
          <w:shd w:val="clear" w:color="auto" w:fill="FFFFFF"/>
        </w:rPr>
        <w:t>责任单位：各省辖市金融工作局、济源示范区财政金融局、航空港区财政审计局</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时序进度</w:t>
      </w:r>
      <w:r>
        <w:rPr>
          <w:rFonts w:hint="eastAsia" w:ascii="仿宋_GB2312" w:hAnsi="Times New Roman" w:cs="仿宋_GB2312"/>
          <w:color w:val="000000"/>
          <w:sz w:val="31"/>
          <w:szCs w:val="31"/>
          <w:shd w:val="clear" w:color="auto" w:fill="FFFFFF"/>
        </w:rPr>
        <w:t>：</w:t>
      </w:r>
      <w:r>
        <w:rPr>
          <w:rFonts w:hint="eastAsia" w:ascii="仿宋_GB2312" w:hAnsi="微软雅黑" w:cs="仿宋_GB2312"/>
          <w:color w:val="000000"/>
          <w:sz w:val="31"/>
          <w:szCs w:val="31"/>
          <w:shd w:val="clear" w:color="auto" w:fill="FFFFFF"/>
        </w:rPr>
        <w:t>持续推进</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ascii="Times New Roman" w:hAnsi="Times New Roman"/>
          <w:color w:val="000000"/>
          <w:sz w:val="31"/>
          <w:szCs w:val="31"/>
          <w:shd w:val="clear" w:color="auto" w:fill="FFFFFF"/>
        </w:rPr>
        <w:t>19.</w:t>
      </w:r>
      <w:r>
        <w:rPr>
          <w:rFonts w:hint="eastAsia" w:ascii="仿宋_GB2312" w:hAnsi="Times New Roman" w:cs="仿宋_GB2312"/>
          <w:color w:val="000000"/>
          <w:sz w:val="31"/>
          <w:szCs w:val="31"/>
          <w:shd w:val="clear" w:color="auto" w:fill="FFFFFF"/>
        </w:rPr>
        <w:t>开展</w:t>
      </w:r>
      <w:r>
        <w:rPr>
          <w:rFonts w:ascii="Times New Roman" w:hAnsi="Times New Roman" w:eastAsia="微软雅黑"/>
          <w:color w:val="000000"/>
          <w:sz w:val="31"/>
          <w:szCs w:val="31"/>
          <w:shd w:val="clear" w:color="auto" w:fill="FFFFFF"/>
        </w:rPr>
        <w:t>“</w:t>
      </w:r>
      <w:r>
        <w:rPr>
          <w:rFonts w:hint="eastAsia" w:ascii="仿宋_GB2312" w:hAnsi="Times New Roman" w:cs="仿宋_GB2312"/>
          <w:color w:val="000000"/>
          <w:sz w:val="31"/>
          <w:szCs w:val="31"/>
          <w:shd w:val="clear" w:color="auto" w:fill="FFFFFF"/>
        </w:rPr>
        <w:t>豫见北交所</w:t>
      </w:r>
      <w:r>
        <w:rPr>
          <w:rFonts w:hint="eastAsia" w:ascii="仿宋_GB2312" w:hAnsi="微软雅黑" w:cs="仿宋_GB2312"/>
          <w:color w:val="000000"/>
          <w:sz w:val="31"/>
          <w:szCs w:val="31"/>
          <w:shd w:val="clear" w:color="auto" w:fill="FFFFFF"/>
        </w:rPr>
        <w:t> </w:t>
      </w:r>
      <w:r>
        <w:rPr>
          <w:rFonts w:hint="eastAsia" w:ascii="仿宋_GB2312" w:hAnsi="Times New Roman" w:cs="仿宋_GB2312"/>
          <w:color w:val="000000"/>
          <w:sz w:val="31"/>
          <w:szCs w:val="31"/>
          <w:shd w:val="clear" w:color="auto" w:fill="FFFFFF"/>
        </w:rPr>
        <w:t>强化资本极</w:t>
      </w:r>
      <w:r>
        <w:rPr>
          <w:rFonts w:ascii="Times New Roman" w:hAnsi="Times New Roman" w:eastAsia="微软雅黑"/>
          <w:color w:val="000000"/>
          <w:sz w:val="31"/>
          <w:szCs w:val="31"/>
          <w:shd w:val="clear" w:color="auto" w:fill="FFFFFF"/>
        </w:rPr>
        <w:t>”</w:t>
      </w:r>
      <w:r>
        <w:rPr>
          <w:rFonts w:hint="eastAsia" w:ascii="仿宋_GB2312" w:hAnsi="Times New Roman" w:cs="仿宋_GB2312"/>
          <w:color w:val="000000"/>
          <w:sz w:val="31"/>
          <w:szCs w:val="31"/>
          <w:shd w:val="clear" w:color="auto" w:fill="FFFFFF"/>
        </w:rPr>
        <w:t>专项活动，</w:t>
      </w:r>
      <w:r>
        <w:rPr>
          <w:rFonts w:hint="eastAsia" w:ascii="仿宋_GB2312" w:hAnsi="微软雅黑" w:cs="仿宋_GB2312"/>
          <w:color w:val="000000"/>
          <w:sz w:val="31"/>
          <w:szCs w:val="31"/>
          <w:shd w:val="clear" w:color="auto" w:fill="FFFFFF"/>
        </w:rPr>
        <w:t>邀请北交所、全国知名投融资机构解读政策，组织“直通北交所”专精特新企业专场路演及北交所上市后备企业闭门交流会，</w:t>
      </w:r>
      <w:r>
        <w:rPr>
          <w:rFonts w:hint="eastAsia" w:ascii="仿宋_GB2312" w:hAnsi="Times New Roman" w:cs="仿宋_GB2312"/>
          <w:color w:val="000000"/>
          <w:sz w:val="31"/>
          <w:szCs w:val="31"/>
          <w:shd w:val="clear" w:color="auto" w:fill="FFFFFF"/>
        </w:rPr>
        <w:t>推动更多</w:t>
      </w:r>
      <w:r>
        <w:rPr>
          <w:rFonts w:ascii="Times New Roman" w:hAnsi="Times New Roman" w:eastAsia="微软雅黑"/>
          <w:color w:val="000000"/>
          <w:sz w:val="31"/>
          <w:szCs w:val="31"/>
          <w:shd w:val="clear" w:color="auto" w:fill="FFFFFF"/>
        </w:rPr>
        <w:t>“</w:t>
      </w:r>
      <w:r>
        <w:rPr>
          <w:rFonts w:hint="eastAsia" w:ascii="仿宋_GB2312" w:hAnsi="Times New Roman" w:cs="仿宋_GB2312"/>
          <w:color w:val="000000"/>
          <w:sz w:val="31"/>
          <w:szCs w:val="31"/>
          <w:shd w:val="clear" w:color="auto" w:fill="FFFFFF"/>
        </w:rPr>
        <w:t>专精特新</w:t>
      </w:r>
      <w:r>
        <w:rPr>
          <w:rFonts w:ascii="Times New Roman" w:hAnsi="Times New Roman" w:eastAsia="微软雅黑"/>
          <w:color w:val="000000"/>
          <w:sz w:val="31"/>
          <w:szCs w:val="31"/>
          <w:shd w:val="clear" w:color="auto" w:fill="FFFFFF"/>
        </w:rPr>
        <w:t>”</w:t>
      </w:r>
      <w:r>
        <w:rPr>
          <w:rFonts w:hint="eastAsia" w:ascii="仿宋_GB2312" w:hAnsi="Times New Roman" w:cs="仿宋_GB2312"/>
          <w:color w:val="000000"/>
          <w:sz w:val="31"/>
          <w:szCs w:val="31"/>
          <w:shd w:val="clear" w:color="auto" w:fill="FFFFFF"/>
        </w:rPr>
        <w:t>中小企业赴北交所上市融资。</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Times New Roman" w:cs="仿宋_GB2312"/>
          <w:color w:val="000000"/>
          <w:sz w:val="31"/>
          <w:szCs w:val="31"/>
          <w:shd w:val="clear" w:color="auto" w:fill="FFFFFF"/>
        </w:rPr>
        <w:t>牵头单位：省地方金融监管局、河南证监局</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Times New Roman" w:cs="仿宋_GB2312"/>
          <w:color w:val="000000"/>
          <w:sz w:val="31"/>
          <w:szCs w:val="31"/>
          <w:shd w:val="clear" w:color="auto" w:fill="FFFFFF"/>
        </w:rPr>
        <w:t>责任单位：各省辖市金融工作局、济源示范区财政金融局、航空港区财政审计局</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时序进度</w:t>
      </w:r>
      <w:r>
        <w:rPr>
          <w:rFonts w:hint="eastAsia" w:ascii="仿宋_GB2312" w:hAnsi="Times New Roman" w:cs="仿宋_GB2312"/>
          <w:color w:val="000000"/>
          <w:sz w:val="31"/>
          <w:szCs w:val="31"/>
          <w:shd w:val="clear" w:color="auto" w:fill="FFFFFF"/>
        </w:rPr>
        <w:t>：</w:t>
      </w:r>
      <w:r>
        <w:rPr>
          <w:rFonts w:hint="eastAsia" w:ascii="仿宋_GB2312" w:hAnsi="微软雅黑" w:cs="仿宋_GB2312"/>
          <w:color w:val="000000"/>
          <w:sz w:val="31"/>
          <w:szCs w:val="31"/>
          <w:shd w:val="clear" w:color="auto" w:fill="FFFFFF"/>
        </w:rPr>
        <w:t>根据疫情防控政策适时启动。</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ascii="Times New Roman" w:hAnsi="Times New Roman"/>
          <w:color w:val="000000"/>
          <w:sz w:val="31"/>
          <w:szCs w:val="31"/>
          <w:shd w:val="clear" w:color="auto" w:fill="FFFFFF"/>
        </w:rPr>
        <w:t>20.</w:t>
      </w:r>
      <w:r>
        <w:rPr>
          <w:rFonts w:hint="eastAsia" w:ascii="仿宋_GB2312" w:hAnsi="微软雅黑" w:cs="仿宋_GB2312"/>
          <w:color w:val="000000"/>
          <w:sz w:val="31"/>
          <w:szCs w:val="31"/>
          <w:shd w:val="clear" w:color="auto" w:fill="FFFFFF"/>
        </w:rPr>
        <w:t>结合上市公司信息披露、规范运作情况，及时就重大资产重组事项向交易所出具“上市公司信息披露和规范运作状况”评价结果。</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Times New Roman" w:cs="仿宋_GB2312"/>
          <w:color w:val="000000"/>
          <w:sz w:val="31"/>
          <w:szCs w:val="31"/>
          <w:shd w:val="clear" w:color="auto" w:fill="FFFFFF"/>
        </w:rPr>
        <w:t>牵头单位：河南证监局</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时序进度</w:t>
      </w:r>
      <w:r>
        <w:rPr>
          <w:rFonts w:hint="eastAsia" w:ascii="仿宋_GB2312" w:hAnsi="Times New Roman" w:cs="仿宋_GB2312"/>
          <w:color w:val="000000"/>
          <w:sz w:val="31"/>
          <w:szCs w:val="31"/>
          <w:shd w:val="clear" w:color="auto" w:fill="FFFFFF"/>
        </w:rPr>
        <w:t>：</w:t>
      </w:r>
      <w:r>
        <w:rPr>
          <w:rFonts w:hint="eastAsia" w:ascii="仿宋_GB2312" w:hAnsi="微软雅黑" w:cs="仿宋_GB2312"/>
          <w:color w:val="000000"/>
          <w:sz w:val="31"/>
          <w:szCs w:val="31"/>
          <w:shd w:val="clear" w:color="auto" w:fill="FFFFFF"/>
        </w:rPr>
        <w:t>持续推进</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ascii="Times New Roman" w:hAnsi="Times New Roman"/>
          <w:color w:val="000000"/>
          <w:sz w:val="31"/>
          <w:szCs w:val="31"/>
          <w:shd w:val="clear" w:color="auto" w:fill="FFFFFF"/>
        </w:rPr>
        <w:t>21.</w:t>
      </w:r>
      <w:r>
        <w:rPr>
          <w:rFonts w:hint="eastAsia" w:ascii="仿宋_GB2312" w:hAnsi="微软雅黑" w:cs="仿宋_GB2312"/>
          <w:color w:val="000000"/>
          <w:sz w:val="31"/>
          <w:szCs w:val="31"/>
          <w:shd w:val="clear" w:color="auto" w:fill="FFFFFF"/>
        </w:rPr>
        <w:t>配合省发展改革委开展</w:t>
      </w:r>
      <w:r>
        <w:rPr>
          <w:rFonts w:ascii="Times New Roman" w:hAnsi="Times New Roman"/>
          <w:color w:val="000000"/>
          <w:sz w:val="31"/>
          <w:szCs w:val="31"/>
          <w:shd w:val="clear" w:color="auto" w:fill="FFFFFF"/>
        </w:rPr>
        <w:t>REITs</w:t>
      </w:r>
      <w:r>
        <w:rPr>
          <w:rFonts w:hint="eastAsia" w:ascii="仿宋_GB2312" w:hAnsi="微软雅黑" w:cs="仿宋_GB2312"/>
          <w:color w:val="000000"/>
          <w:sz w:val="31"/>
          <w:szCs w:val="31"/>
          <w:shd w:val="clear" w:color="auto" w:fill="FFFFFF"/>
        </w:rPr>
        <w:t>宣传推广和专题培训，提升企业对</w:t>
      </w:r>
      <w:r>
        <w:rPr>
          <w:rFonts w:ascii="Times New Roman" w:hAnsi="Times New Roman" w:eastAsia="微软雅黑"/>
          <w:color w:val="000000"/>
          <w:sz w:val="31"/>
          <w:szCs w:val="31"/>
          <w:shd w:val="clear" w:color="auto" w:fill="FFFFFF"/>
        </w:rPr>
        <w:t>REITs</w:t>
      </w:r>
      <w:r>
        <w:rPr>
          <w:rFonts w:hint="eastAsia" w:ascii="仿宋_GB2312" w:hAnsi="微软雅黑" w:cs="仿宋_GB2312"/>
          <w:color w:val="000000"/>
          <w:sz w:val="31"/>
          <w:szCs w:val="31"/>
          <w:shd w:val="clear" w:color="auto" w:fill="FFFFFF"/>
        </w:rPr>
        <w:t>的认识水平，提高申报积极性。配合省发展改革委对符合发行</w:t>
      </w:r>
      <w:r>
        <w:rPr>
          <w:rFonts w:ascii="Times New Roman" w:hAnsi="Times New Roman"/>
          <w:color w:val="000000"/>
          <w:sz w:val="31"/>
          <w:szCs w:val="31"/>
          <w:shd w:val="clear" w:color="auto" w:fill="FFFFFF"/>
        </w:rPr>
        <w:t>REITs</w:t>
      </w:r>
      <w:r>
        <w:rPr>
          <w:rFonts w:hint="eastAsia" w:ascii="仿宋_GB2312" w:hAnsi="微软雅黑" w:cs="仿宋_GB2312"/>
          <w:color w:val="000000"/>
          <w:sz w:val="31"/>
          <w:szCs w:val="31"/>
          <w:shd w:val="clear" w:color="auto" w:fill="FFFFFF"/>
        </w:rPr>
        <w:t>条件的企业进行摸排、筛选，建立</w:t>
      </w:r>
      <w:r>
        <w:rPr>
          <w:rFonts w:ascii="Times New Roman" w:hAnsi="Times New Roman"/>
          <w:color w:val="000000"/>
          <w:sz w:val="31"/>
          <w:szCs w:val="31"/>
          <w:shd w:val="clear" w:color="auto" w:fill="FFFFFF"/>
        </w:rPr>
        <w:t>REITs</w:t>
      </w:r>
      <w:r>
        <w:rPr>
          <w:rFonts w:hint="eastAsia" w:ascii="仿宋_GB2312" w:hAnsi="微软雅黑" w:cs="仿宋_GB2312"/>
          <w:color w:val="000000"/>
          <w:sz w:val="31"/>
          <w:szCs w:val="31"/>
          <w:shd w:val="clear" w:color="auto" w:fill="FFFFFF"/>
        </w:rPr>
        <w:t>项目后备库，推动符合条件的新基建、保障性租赁住房、新能源项目“入池”。加强与交易所的沟通对接，及时掌握最新审核政策和关注重点，加强对在审在培育项目指导。严把基础资产质量和运营管理水平关，夯实业务基础，防范市场风险。</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牵头单位：河南证监局</w:t>
      </w:r>
      <w:r>
        <w:rPr>
          <w:rFonts w:hint="eastAsia" w:ascii="仿宋_GB2312" w:hAnsi="Times New Roman" w:cs="仿宋_GB2312"/>
          <w:color w:val="000000"/>
          <w:sz w:val="31"/>
          <w:szCs w:val="31"/>
          <w:shd w:val="clear" w:color="auto" w:fill="FFFFFF"/>
        </w:rPr>
        <w:t>、省地方金融监管局</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Times New Roman" w:cs="仿宋_GB2312"/>
          <w:color w:val="000000"/>
          <w:sz w:val="31"/>
          <w:szCs w:val="31"/>
          <w:shd w:val="clear" w:color="auto" w:fill="FFFFFF"/>
        </w:rPr>
        <w:t>责任单位：各省辖市金融工作局、济源示范区财政金融局、航空港区财政审计局</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时序进度：力争</w:t>
      </w:r>
      <w:r>
        <w:rPr>
          <w:rFonts w:ascii="Times New Roman" w:hAnsi="Times New Roman"/>
          <w:color w:val="000000"/>
          <w:sz w:val="31"/>
          <w:szCs w:val="31"/>
          <w:shd w:val="clear" w:color="auto" w:fill="FFFFFF"/>
        </w:rPr>
        <w:t>2022</w:t>
      </w:r>
      <w:r>
        <w:rPr>
          <w:rFonts w:hint="eastAsia" w:ascii="仿宋_GB2312" w:hAnsi="微软雅黑" w:cs="仿宋_GB2312"/>
          <w:color w:val="000000"/>
          <w:sz w:val="31"/>
          <w:szCs w:val="31"/>
          <w:shd w:val="clear" w:color="auto" w:fill="FFFFFF"/>
        </w:rPr>
        <w:t>年底前落地</w:t>
      </w:r>
      <w:r>
        <w:rPr>
          <w:rFonts w:ascii="Times New Roman" w:hAnsi="Times New Roman"/>
          <w:color w:val="000000"/>
          <w:sz w:val="31"/>
          <w:szCs w:val="31"/>
          <w:shd w:val="clear" w:color="auto" w:fill="FFFFFF"/>
        </w:rPr>
        <w:t>1</w:t>
      </w:r>
      <w:r>
        <w:rPr>
          <w:rFonts w:hint="eastAsia" w:ascii="仿宋_GB2312" w:hAnsi="微软雅黑" w:cs="仿宋_GB2312"/>
          <w:color w:val="000000"/>
          <w:sz w:val="31"/>
          <w:szCs w:val="31"/>
          <w:shd w:val="clear" w:color="auto" w:fill="FFFFFF"/>
        </w:rPr>
        <w:t>个项目。</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ascii="Times New Roman" w:hAnsi="Times New Roman"/>
          <w:color w:val="000000"/>
          <w:sz w:val="31"/>
          <w:szCs w:val="31"/>
          <w:shd w:val="clear" w:color="auto" w:fill="FFFFFF"/>
        </w:rPr>
        <w:t>22.</w:t>
      </w:r>
      <w:r>
        <w:rPr>
          <w:rFonts w:hint="eastAsia" w:ascii="仿宋_GB2312" w:hAnsi="微软雅黑" w:cs="仿宋_GB2312"/>
          <w:color w:val="000000"/>
          <w:sz w:val="31"/>
          <w:szCs w:val="31"/>
          <w:shd w:val="clear" w:color="auto" w:fill="FFFFFF"/>
        </w:rPr>
        <w:t>积极开展“三农”“小微”“绿色”“双创”等专项金融债券政策宣传，鼓励地方法人金融机构围绕黄河流域生态保护和高质量发展等特色主题，不断丰富债券发行品种，拓宽资金来源，支持重点领域企业。强化事前辅导，指导金融机构完善申请材料，提高审批效率，加快许可批复流程。加强金融债券存续期监督管理，推动发债金融机构将相关资金精准投向规定领域、重点企业。</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牵头单位：人民银行郑州中心支行、河南银保监局</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责任单位：人民银行各市中心支行、各市银保监分局，各法人金融机构</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时序进度：力争</w:t>
      </w:r>
      <w:r>
        <w:rPr>
          <w:rFonts w:ascii="Times New Roman" w:hAnsi="Times New Roman"/>
          <w:color w:val="000000"/>
          <w:sz w:val="31"/>
          <w:szCs w:val="31"/>
          <w:shd w:val="clear" w:color="auto" w:fill="FFFFFF"/>
        </w:rPr>
        <w:t>2022</w:t>
      </w:r>
      <w:r>
        <w:rPr>
          <w:rFonts w:hint="eastAsia" w:ascii="仿宋_GB2312" w:hAnsi="微软雅黑" w:cs="仿宋_GB2312"/>
          <w:color w:val="000000"/>
          <w:sz w:val="31"/>
          <w:szCs w:val="31"/>
          <w:shd w:val="clear" w:color="auto" w:fill="FFFFFF"/>
        </w:rPr>
        <w:t>年全年</w:t>
      </w:r>
      <w:r>
        <w:rPr>
          <w:rFonts w:hint="eastAsia" w:ascii="仿宋_GB2312" w:hAnsi="Times New Roman" w:cs="仿宋_GB2312"/>
          <w:color w:val="000000"/>
          <w:sz w:val="31"/>
          <w:szCs w:val="31"/>
          <w:shd w:val="clear" w:color="auto" w:fill="FFFFFF"/>
        </w:rPr>
        <w:t>金融债券发行</w:t>
      </w:r>
      <w:r>
        <w:rPr>
          <w:rFonts w:hint="eastAsia" w:ascii="仿宋_GB2312" w:hAnsi="微软雅黑" w:cs="仿宋_GB2312"/>
          <w:color w:val="000000"/>
          <w:sz w:val="31"/>
          <w:szCs w:val="31"/>
          <w:shd w:val="clear" w:color="auto" w:fill="FFFFFF"/>
        </w:rPr>
        <w:t>规模超过去年。</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ascii="Times New Roman" w:hAnsi="Times New Roman"/>
          <w:color w:val="000000"/>
          <w:sz w:val="31"/>
          <w:szCs w:val="31"/>
          <w:shd w:val="clear" w:color="auto" w:fill="FFFFFF"/>
        </w:rPr>
        <w:t>23.</w:t>
      </w:r>
      <w:r>
        <w:rPr>
          <w:rFonts w:hint="eastAsia" w:ascii="仿宋_GB2312" w:hAnsi="微软雅黑" w:cs="仿宋_GB2312"/>
          <w:color w:val="000000"/>
          <w:sz w:val="31"/>
          <w:szCs w:val="31"/>
          <w:shd w:val="clear" w:color="auto" w:fill="FFFFFF"/>
        </w:rPr>
        <w:t>开展民营</w:t>
      </w:r>
      <w:r>
        <w:rPr>
          <w:rFonts w:hint="eastAsia" w:ascii="仿宋_GB2312" w:hAnsi="Times New Roman" w:cs="仿宋_GB2312"/>
          <w:color w:val="000000"/>
          <w:sz w:val="31"/>
          <w:szCs w:val="31"/>
          <w:shd w:val="clear" w:color="auto" w:fill="FFFFFF"/>
        </w:rPr>
        <w:t>企业信用保护工具</w:t>
      </w:r>
      <w:r>
        <w:rPr>
          <w:rFonts w:hint="eastAsia" w:ascii="仿宋_GB2312" w:hAnsi="微软雅黑" w:cs="仿宋_GB2312"/>
          <w:color w:val="000000"/>
          <w:sz w:val="31"/>
          <w:szCs w:val="31"/>
          <w:shd w:val="clear" w:color="auto" w:fill="FFFFFF"/>
        </w:rPr>
        <w:t>政策宣传培训，推动银行、证券公司、融资担保公司、信用增进公司等机构创设</w:t>
      </w:r>
      <w:r>
        <w:rPr>
          <w:rFonts w:hint="eastAsia" w:ascii="仿宋_GB2312" w:hAnsi="Times New Roman" w:cs="仿宋_GB2312"/>
          <w:color w:val="000000"/>
          <w:sz w:val="31"/>
          <w:szCs w:val="31"/>
          <w:shd w:val="clear" w:color="auto" w:fill="FFFFFF"/>
        </w:rPr>
        <w:t>信用保护工具</w:t>
      </w:r>
      <w:r>
        <w:rPr>
          <w:rFonts w:hint="eastAsia" w:ascii="仿宋_GB2312" w:hAnsi="微软雅黑" w:cs="仿宋_GB2312"/>
          <w:color w:val="000000"/>
          <w:sz w:val="31"/>
          <w:szCs w:val="31"/>
          <w:shd w:val="clear" w:color="auto" w:fill="FFFFFF"/>
        </w:rPr>
        <w:t>，对民营企业债券融资提供支持。</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牵头单位：</w:t>
      </w:r>
      <w:r>
        <w:rPr>
          <w:rFonts w:hint="eastAsia" w:ascii="仿宋_GB2312" w:hAnsi="Times New Roman" w:cs="仿宋_GB2312"/>
          <w:color w:val="000000"/>
          <w:sz w:val="31"/>
          <w:szCs w:val="31"/>
          <w:shd w:val="clear" w:color="auto" w:fill="FFFFFF"/>
        </w:rPr>
        <w:t>省地方金融监管局</w:t>
      </w:r>
      <w:r>
        <w:rPr>
          <w:rFonts w:hint="eastAsia" w:ascii="仿宋_GB2312" w:hAnsi="微软雅黑" w:cs="仿宋_GB2312"/>
          <w:color w:val="000000"/>
          <w:sz w:val="31"/>
          <w:szCs w:val="31"/>
          <w:shd w:val="clear" w:color="auto" w:fill="FFFFFF"/>
        </w:rPr>
        <w:t>、人民银行郑州中心支行、河南证监局</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Times New Roman" w:cs="仿宋_GB2312"/>
          <w:color w:val="000000"/>
          <w:sz w:val="31"/>
          <w:szCs w:val="31"/>
          <w:shd w:val="clear" w:color="auto" w:fill="FFFFFF"/>
        </w:rPr>
        <w:t>责任单位：各省辖市金融工作局、济源示范区财政金融局、航空港区财政审计局</w:t>
      </w:r>
      <w:r>
        <w:rPr>
          <w:rFonts w:hint="eastAsia" w:ascii="仿宋_GB2312" w:hAnsi="微软雅黑" w:cs="仿宋_GB2312"/>
          <w:color w:val="000000"/>
          <w:sz w:val="31"/>
          <w:szCs w:val="31"/>
          <w:shd w:val="clear" w:color="auto" w:fill="FFFFFF"/>
        </w:rPr>
        <w:t>、人民银行各市中心支行，各金融机构</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时序进度：持续推进</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黑体" w:hAnsi="宋体" w:eastAsia="黑体" w:cs="黑体"/>
          <w:color w:val="000000"/>
          <w:sz w:val="31"/>
          <w:szCs w:val="31"/>
          <w:shd w:val="clear" w:color="auto" w:fill="FFFFFF"/>
        </w:rPr>
        <w:t>五、加大基础设施建设、重大项目、科技创新、绿色低碳金融支持力度</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ascii="Times New Roman" w:hAnsi="Times New Roman"/>
          <w:color w:val="000000"/>
          <w:sz w:val="31"/>
          <w:szCs w:val="31"/>
          <w:shd w:val="clear" w:color="auto" w:fill="FFFFFF"/>
        </w:rPr>
        <w:t>24.</w:t>
      </w:r>
      <w:r>
        <w:rPr>
          <w:rFonts w:hint="eastAsia" w:ascii="仿宋_GB2312" w:hAnsi="Times New Roman" w:cs="仿宋_GB2312"/>
          <w:color w:val="000000"/>
          <w:sz w:val="31"/>
          <w:szCs w:val="31"/>
          <w:shd w:val="clear" w:color="auto" w:fill="FFFFFF"/>
        </w:rPr>
        <w:t>组织政策性、开发性金融机构与重大项目、重点企业开展专题对接，积极发挥中长期投融资机构综合服务优势，开展全周期全链条金融服务，加大中长期贷款投放。推动国开行、农发行与我省签订战略合作协议，围绕科技创新、新型城镇化、灾后重建、水利水运、公路物流、乡村振兴、绿色低碳、粮食安全、农村人居环境等重点领域深入开展合作，充分发挥政策性、开发性金融在重点领域、薄弱环节、关键时期的重要作用。</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牵头</w:t>
      </w:r>
      <w:r>
        <w:rPr>
          <w:rFonts w:hint="eastAsia" w:ascii="仿宋_GB2312" w:hAnsi="Times New Roman" w:cs="仿宋_GB2312"/>
          <w:color w:val="000000"/>
          <w:sz w:val="31"/>
          <w:szCs w:val="31"/>
          <w:shd w:val="clear" w:color="auto" w:fill="FFFFFF"/>
        </w:rPr>
        <w:t>单位：省地方金融监管局</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责任单位：国开行河南省分行、农发行河南省分行</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时序进度</w:t>
      </w:r>
      <w:r>
        <w:rPr>
          <w:rFonts w:hint="eastAsia" w:ascii="仿宋_GB2312" w:hAnsi="Times New Roman" w:cs="仿宋_GB2312"/>
          <w:color w:val="000000"/>
          <w:sz w:val="31"/>
          <w:szCs w:val="31"/>
          <w:shd w:val="clear" w:color="auto" w:fill="FFFFFF"/>
        </w:rPr>
        <w:t>：</w:t>
      </w:r>
      <w:r>
        <w:rPr>
          <w:rFonts w:ascii="Times New Roman" w:hAnsi="Times New Roman" w:eastAsia="微软雅黑"/>
          <w:color w:val="000000"/>
          <w:sz w:val="31"/>
          <w:szCs w:val="31"/>
          <w:shd w:val="clear" w:color="auto" w:fill="FFFFFF"/>
        </w:rPr>
        <w:t>2022</w:t>
      </w:r>
      <w:r>
        <w:rPr>
          <w:rFonts w:hint="eastAsia" w:ascii="仿宋_GB2312" w:hAnsi="Times New Roman" w:cs="仿宋_GB2312"/>
          <w:color w:val="000000"/>
          <w:sz w:val="31"/>
          <w:szCs w:val="31"/>
          <w:shd w:val="clear" w:color="auto" w:fill="FFFFFF"/>
        </w:rPr>
        <w:t>年</w:t>
      </w:r>
      <w:r>
        <w:rPr>
          <w:rFonts w:ascii="Times New Roman" w:hAnsi="Times New Roman"/>
          <w:color w:val="000000"/>
          <w:sz w:val="31"/>
          <w:szCs w:val="31"/>
          <w:shd w:val="clear" w:color="auto" w:fill="FFFFFF"/>
        </w:rPr>
        <w:t>9</w:t>
      </w:r>
      <w:r>
        <w:rPr>
          <w:rFonts w:hint="eastAsia" w:ascii="仿宋_GB2312" w:hAnsi="Times New Roman" w:cs="仿宋_GB2312"/>
          <w:color w:val="000000"/>
          <w:sz w:val="31"/>
          <w:szCs w:val="31"/>
          <w:shd w:val="clear" w:color="auto" w:fill="FFFFFF"/>
        </w:rPr>
        <w:t>月底前</w:t>
      </w:r>
      <w:r>
        <w:rPr>
          <w:rFonts w:hint="eastAsia" w:ascii="仿宋_GB2312" w:hAnsi="微软雅黑" w:cs="仿宋_GB2312"/>
          <w:color w:val="000000"/>
          <w:sz w:val="31"/>
          <w:szCs w:val="31"/>
          <w:shd w:val="clear" w:color="auto" w:fill="FFFFFF"/>
        </w:rPr>
        <w:t>国开行、农发行与我省完成签约。</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ascii="Times New Roman" w:hAnsi="Times New Roman"/>
          <w:color w:val="000000"/>
          <w:sz w:val="31"/>
          <w:szCs w:val="31"/>
          <w:shd w:val="clear" w:color="auto" w:fill="FFFFFF"/>
        </w:rPr>
        <w:t>25.</w:t>
      </w:r>
      <w:r>
        <w:rPr>
          <w:rFonts w:hint="eastAsia" w:ascii="仿宋_GB2312" w:hAnsi="微软雅黑" w:cs="仿宋_GB2312"/>
          <w:color w:val="000000"/>
          <w:sz w:val="31"/>
          <w:szCs w:val="31"/>
          <w:shd w:val="clear" w:color="auto" w:fill="FFFFFF"/>
        </w:rPr>
        <w:t>引导驻豫银行业金融机构积极向总行争取信贷规模，延长贷款期限，加大对基础设施建设和重大项目的支持力度。推动银行业金融机构加强金融产品和服务创新，加大制造业中长期贷款和信用贷款投放。</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牵头单位：河南银保监局</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责任单位：各市银保监分局</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时序进度：持续推进</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ascii="Times New Roman" w:hAnsi="Times New Roman"/>
          <w:color w:val="000000"/>
          <w:sz w:val="31"/>
          <w:szCs w:val="31"/>
          <w:shd w:val="clear" w:color="auto" w:fill="FFFFFF"/>
        </w:rPr>
        <w:t>26.</w:t>
      </w:r>
      <w:r>
        <w:rPr>
          <w:rFonts w:hint="eastAsia" w:ascii="仿宋_GB2312" w:hAnsi="Times New Roman" w:cs="仿宋_GB2312"/>
          <w:color w:val="000000"/>
          <w:sz w:val="31"/>
          <w:szCs w:val="31"/>
          <w:shd w:val="clear" w:color="auto" w:fill="FFFFFF"/>
        </w:rPr>
        <w:t>成立</w:t>
      </w:r>
      <w:r>
        <w:rPr>
          <w:rFonts w:ascii="Times New Roman" w:hAnsi="Times New Roman" w:eastAsia="微软雅黑"/>
          <w:color w:val="000000"/>
          <w:sz w:val="31"/>
          <w:szCs w:val="31"/>
          <w:shd w:val="clear" w:color="auto" w:fill="FFFFFF"/>
        </w:rPr>
        <w:t>“</w:t>
      </w:r>
      <w:r>
        <w:rPr>
          <w:rFonts w:hint="eastAsia" w:ascii="仿宋_GB2312" w:hAnsi="Times New Roman" w:cs="仿宋_GB2312"/>
          <w:color w:val="000000"/>
          <w:sz w:val="31"/>
          <w:szCs w:val="31"/>
          <w:shd w:val="clear" w:color="auto" w:fill="FFFFFF"/>
        </w:rPr>
        <w:t>险资入豫</w:t>
      </w:r>
      <w:r>
        <w:rPr>
          <w:rFonts w:ascii="Times New Roman" w:hAnsi="Times New Roman" w:eastAsia="微软雅黑"/>
          <w:color w:val="000000"/>
          <w:sz w:val="31"/>
          <w:szCs w:val="31"/>
          <w:shd w:val="clear" w:color="auto" w:fill="FFFFFF"/>
        </w:rPr>
        <w:t>”</w:t>
      </w:r>
      <w:r>
        <w:rPr>
          <w:rFonts w:hint="eastAsia" w:ascii="仿宋_GB2312" w:hAnsi="Times New Roman" w:cs="仿宋_GB2312"/>
          <w:color w:val="000000"/>
          <w:sz w:val="31"/>
          <w:szCs w:val="31"/>
          <w:shd w:val="clear" w:color="auto" w:fill="FFFFFF"/>
        </w:rPr>
        <w:t>工作专班</w:t>
      </w:r>
      <w:r>
        <w:rPr>
          <w:rFonts w:hint="eastAsia" w:ascii="仿宋_GB2312" w:hAnsi="微软雅黑" w:cs="仿宋_GB2312"/>
          <w:color w:val="000000"/>
          <w:sz w:val="31"/>
          <w:szCs w:val="31"/>
          <w:shd w:val="clear" w:color="auto" w:fill="FFFFFF"/>
        </w:rPr>
        <w:t>，实施</w:t>
      </w:r>
      <w:r>
        <w:rPr>
          <w:rFonts w:ascii="Times New Roman" w:hAnsi="Times New Roman" w:eastAsia="微软雅黑"/>
          <w:color w:val="000000"/>
          <w:sz w:val="31"/>
          <w:szCs w:val="31"/>
          <w:shd w:val="clear" w:color="auto" w:fill="FFFFFF"/>
        </w:rPr>
        <w:t>“</w:t>
      </w:r>
      <w:r>
        <w:rPr>
          <w:rFonts w:hint="eastAsia" w:ascii="仿宋_GB2312" w:hAnsi="Times New Roman" w:cs="仿宋_GB2312"/>
          <w:color w:val="000000"/>
          <w:sz w:val="31"/>
          <w:szCs w:val="31"/>
          <w:shd w:val="clear" w:color="auto" w:fill="FFFFFF"/>
        </w:rPr>
        <w:t>险资入豫</w:t>
      </w:r>
      <w:r>
        <w:rPr>
          <w:rFonts w:ascii="Times New Roman" w:hAnsi="Times New Roman" w:eastAsia="微软雅黑"/>
          <w:color w:val="000000"/>
          <w:sz w:val="31"/>
          <w:szCs w:val="31"/>
          <w:shd w:val="clear" w:color="auto" w:fill="FFFFFF"/>
        </w:rPr>
        <w:t>”</w:t>
      </w:r>
      <w:r>
        <w:rPr>
          <w:rFonts w:hint="eastAsia" w:ascii="仿宋_GB2312" w:hAnsi="Times New Roman" w:cs="仿宋_GB2312"/>
          <w:color w:val="000000"/>
          <w:sz w:val="31"/>
          <w:szCs w:val="31"/>
          <w:shd w:val="clear" w:color="auto" w:fill="FFFFFF"/>
        </w:rPr>
        <w:t>专项行动</w:t>
      </w:r>
      <w:r>
        <w:rPr>
          <w:rFonts w:hint="eastAsia" w:ascii="仿宋_GB2312" w:hAnsi="微软雅黑" w:cs="仿宋_GB2312"/>
          <w:color w:val="000000"/>
          <w:sz w:val="31"/>
          <w:szCs w:val="31"/>
          <w:shd w:val="clear" w:color="auto" w:fill="FFFFFF"/>
        </w:rPr>
        <w:t>，多方联动合力推进“险资入豫”工作。</w:t>
      </w:r>
      <w:r>
        <w:rPr>
          <w:rFonts w:hint="eastAsia" w:ascii="仿宋_GB2312" w:hAnsi="Times New Roman" w:cs="仿宋_GB2312"/>
          <w:color w:val="000000"/>
          <w:sz w:val="31"/>
          <w:szCs w:val="31"/>
          <w:shd w:val="clear" w:color="auto" w:fill="FFFFFF"/>
        </w:rPr>
        <w:t>按照保险资金特点、投资偏好、政策要求，建立</w:t>
      </w:r>
      <w:r>
        <w:rPr>
          <w:rFonts w:ascii="Times New Roman" w:hAnsi="Times New Roman" w:eastAsia="微软雅黑"/>
          <w:color w:val="000000"/>
          <w:sz w:val="31"/>
          <w:szCs w:val="31"/>
          <w:shd w:val="clear" w:color="auto" w:fill="FFFFFF"/>
        </w:rPr>
        <w:t>“</w:t>
      </w:r>
      <w:r>
        <w:rPr>
          <w:rFonts w:hint="eastAsia" w:ascii="仿宋_GB2312" w:hAnsi="Times New Roman" w:cs="仿宋_GB2312"/>
          <w:color w:val="000000"/>
          <w:sz w:val="31"/>
          <w:szCs w:val="31"/>
          <w:shd w:val="clear" w:color="auto" w:fill="FFFFFF"/>
        </w:rPr>
        <w:t>险资入豫</w:t>
      </w:r>
      <w:r>
        <w:rPr>
          <w:rFonts w:ascii="Times New Roman" w:hAnsi="Times New Roman" w:eastAsia="微软雅黑"/>
          <w:color w:val="000000"/>
          <w:sz w:val="31"/>
          <w:szCs w:val="31"/>
          <w:shd w:val="clear" w:color="auto" w:fill="FFFFFF"/>
        </w:rPr>
        <w:t>”</w:t>
      </w:r>
      <w:r>
        <w:rPr>
          <w:rFonts w:hint="eastAsia" w:ascii="仿宋_GB2312" w:hAnsi="Times New Roman" w:cs="仿宋_GB2312"/>
          <w:color w:val="000000"/>
          <w:sz w:val="31"/>
          <w:szCs w:val="31"/>
          <w:shd w:val="clear" w:color="auto" w:fill="FFFFFF"/>
        </w:rPr>
        <w:t>项目库，强化入库项目动态管理，增强融资项目吸引力，提升</w:t>
      </w:r>
      <w:r>
        <w:rPr>
          <w:rFonts w:ascii="Times New Roman" w:hAnsi="Times New Roman" w:eastAsia="微软雅黑"/>
          <w:color w:val="000000"/>
          <w:sz w:val="31"/>
          <w:szCs w:val="31"/>
          <w:shd w:val="clear" w:color="auto" w:fill="FFFFFF"/>
        </w:rPr>
        <w:t>“</w:t>
      </w:r>
      <w:r>
        <w:rPr>
          <w:rFonts w:hint="eastAsia" w:ascii="仿宋_GB2312" w:hAnsi="Times New Roman" w:cs="仿宋_GB2312"/>
          <w:color w:val="000000"/>
          <w:sz w:val="31"/>
          <w:szCs w:val="31"/>
          <w:shd w:val="clear" w:color="auto" w:fill="FFFFFF"/>
        </w:rPr>
        <w:t>险资入豫</w:t>
      </w:r>
      <w:r>
        <w:rPr>
          <w:rFonts w:ascii="Times New Roman" w:hAnsi="Times New Roman" w:eastAsia="微软雅黑"/>
          <w:color w:val="000000"/>
          <w:sz w:val="31"/>
          <w:szCs w:val="31"/>
          <w:shd w:val="clear" w:color="auto" w:fill="FFFFFF"/>
        </w:rPr>
        <w:t>”</w:t>
      </w:r>
      <w:r>
        <w:rPr>
          <w:rFonts w:hint="eastAsia" w:ascii="仿宋_GB2312" w:hAnsi="Times New Roman" w:cs="仿宋_GB2312"/>
          <w:color w:val="000000"/>
          <w:sz w:val="31"/>
          <w:szCs w:val="31"/>
          <w:shd w:val="clear" w:color="auto" w:fill="FFFFFF"/>
        </w:rPr>
        <w:t>工作效率</w:t>
      </w:r>
      <w:r>
        <w:rPr>
          <w:rFonts w:hint="eastAsia" w:ascii="仿宋_GB2312" w:hAnsi="微软雅黑" w:cs="仿宋_GB2312"/>
          <w:color w:val="000000"/>
          <w:sz w:val="31"/>
          <w:szCs w:val="31"/>
          <w:shd w:val="clear" w:color="auto" w:fill="FFFFFF"/>
        </w:rPr>
        <w:t>。</w:t>
      </w:r>
      <w:r>
        <w:rPr>
          <w:rFonts w:hint="eastAsia" w:ascii="仿宋_GB2312" w:hAnsi="Times New Roman" w:cs="仿宋_GB2312"/>
          <w:color w:val="000000"/>
          <w:sz w:val="31"/>
          <w:szCs w:val="31"/>
          <w:shd w:val="clear" w:color="auto" w:fill="FFFFFF"/>
        </w:rPr>
        <w:t>定期组织入库项目与保险机构总部开展项目路演和常态化投融资对接</w:t>
      </w:r>
      <w:r>
        <w:rPr>
          <w:rFonts w:hint="eastAsia" w:ascii="仿宋_GB2312" w:hAnsi="微软雅黑" w:cs="仿宋_GB2312"/>
          <w:color w:val="000000"/>
          <w:sz w:val="31"/>
          <w:szCs w:val="31"/>
          <w:shd w:val="clear" w:color="auto" w:fill="FFFFFF"/>
        </w:rPr>
        <w:t>，</w:t>
      </w:r>
      <w:r>
        <w:rPr>
          <w:rFonts w:hint="eastAsia" w:ascii="仿宋_GB2312" w:hAnsi="Times New Roman" w:cs="仿宋_GB2312"/>
          <w:color w:val="000000"/>
          <w:sz w:val="31"/>
          <w:szCs w:val="31"/>
          <w:shd w:val="clear" w:color="auto" w:fill="FFFFFF"/>
        </w:rPr>
        <w:t>指导各驻豫保险机构发挥桥梁纽带作用，积极向总部和保险资管机构推介我省优质项目和政策动态。定期跟踪保险机构与</w:t>
      </w:r>
      <w:r>
        <w:rPr>
          <w:rFonts w:hint="eastAsia" w:ascii="仿宋_GB2312" w:hAnsi="微软雅黑" w:cs="仿宋_GB2312"/>
          <w:color w:val="000000"/>
          <w:sz w:val="31"/>
          <w:szCs w:val="31"/>
          <w:shd w:val="clear" w:color="auto" w:fill="FFFFFF"/>
        </w:rPr>
        <w:t>各级</w:t>
      </w:r>
      <w:r>
        <w:rPr>
          <w:rFonts w:hint="eastAsia" w:ascii="仿宋_GB2312" w:hAnsi="Times New Roman" w:cs="仿宋_GB2312"/>
          <w:color w:val="000000"/>
          <w:sz w:val="31"/>
          <w:szCs w:val="31"/>
          <w:shd w:val="clear" w:color="auto" w:fill="FFFFFF"/>
        </w:rPr>
        <w:t>政府战略合作协议落地情况，推动合作意向向实际投资项目转化。</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牵头</w:t>
      </w:r>
      <w:r>
        <w:rPr>
          <w:rFonts w:hint="eastAsia" w:ascii="仿宋_GB2312" w:hAnsi="Times New Roman" w:cs="仿宋_GB2312"/>
          <w:color w:val="000000"/>
          <w:sz w:val="31"/>
          <w:szCs w:val="31"/>
          <w:shd w:val="clear" w:color="auto" w:fill="FFFFFF"/>
        </w:rPr>
        <w:t>单位：省地方金融监管局</w:t>
      </w:r>
      <w:r>
        <w:rPr>
          <w:rFonts w:hint="eastAsia" w:ascii="仿宋_GB2312" w:hAnsi="微软雅黑" w:cs="仿宋_GB2312"/>
          <w:color w:val="000000"/>
          <w:sz w:val="31"/>
          <w:szCs w:val="31"/>
          <w:shd w:val="clear" w:color="auto" w:fill="FFFFFF"/>
        </w:rPr>
        <w:t>、河南银保监局</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责任单位：各省辖市金融工作局、济源示范区财政金融局、航空港区财政审计局、各市银保监分局，各保险业金融机构</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时序进度</w:t>
      </w:r>
      <w:r>
        <w:rPr>
          <w:rFonts w:hint="eastAsia" w:ascii="仿宋_GB2312" w:hAnsi="Times New Roman" w:cs="仿宋_GB2312"/>
          <w:color w:val="000000"/>
          <w:sz w:val="31"/>
          <w:szCs w:val="31"/>
          <w:shd w:val="clear" w:color="auto" w:fill="FFFFFF"/>
        </w:rPr>
        <w:t>：</w:t>
      </w:r>
      <w:r>
        <w:rPr>
          <w:rFonts w:ascii="Times New Roman" w:hAnsi="Times New Roman" w:eastAsia="微软雅黑"/>
          <w:color w:val="000000"/>
          <w:sz w:val="31"/>
          <w:szCs w:val="31"/>
          <w:shd w:val="clear" w:color="auto" w:fill="FFFFFF"/>
        </w:rPr>
        <w:t>2022</w:t>
      </w:r>
      <w:r>
        <w:rPr>
          <w:rFonts w:hint="eastAsia" w:ascii="仿宋_GB2312" w:hAnsi="Times New Roman" w:cs="仿宋_GB2312"/>
          <w:color w:val="000000"/>
          <w:sz w:val="31"/>
          <w:szCs w:val="31"/>
          <w:shd w:val="clear" w:color="auto" w:fill="FFFFFF"/>
        </w:rPr>
        <w:t>年</w:t>
      </w:r>
      <w:r>
        <w:rPr>
          <w:rFonts w:ascii="Times New Roman" w:hAnsi="Times New Roman" w:eastAsia="微软雅黑"/>
          <w:color w:val="000000"/>
          <w:sz w:val="31"/>
          <w:szCs w:val="31"/>
          <w:shd w:val="clear" w:color="auto" w:fill="FFFFFF"/>
        </w:rPr>
        <w:t>6</w:t>
      </w:r>
      <w:r>
        <w:rPr>
          <w:rFonts w:hint="eastAsia" w:ascii="仿宋_GB2312" w:hAnsi="Times New Roman" w:cs="仿宋_GB2312"/>
          <w:color w:val="000000"/>
          <w:sz w:val="31"/>
          <w:szCs w:val="31"/>
          <w:shd w:val="clear" w:color="auto" w:fill="FFFFFF"/>
        </w:rPr>
        <w:t>月底前</w:t>
      </w:r>
      <w:r>
        <w:rPr>
          <w:rFonts w:hint="eastAsia" w:ascii="仿宋_GB2312" w:hAnsi="微软雅黑" w:cs="仿宋_GB2312"/>
          <w:color w:val="000000"/>
          <w:sz w:val="31"/>
          <w:szCs w:val="31"/>
          <w:shd w:val="clear" w:color="auto" w:fill="FFFFFF"/>
        </w:rPr>
        <w:t>启动</w:t>
      </w:r>
      <w:r>
        <w:rPr>
          <w:rFonts w:ascii="Times New Roman" w:hAnsi="Times New Roman" w:eastAsia="微软雅黑"/>
          <w:color w:val="000000"/>
          <w:sz w:val="31"/>
          <w:szCs w:val="31"/>
          <w:shd w:val="clear" w:color="auto" w:fill="FFFFFF"/>
        </w:rPr>
        <w:t>“</w:t>
      </w:r>
      <w:r>
        <w:rPr>
          <w:rFonts w:hint="eastAsia" w:ascii="仿宋_GB2312" w:hAnsi="Times New Roman" w:cs="仿宋_GB2312"/>
          <w:color w:val="000000"/>
          <w:sz w:val="31"/>
          <w:szCs w:val="31"/>
          <w:shd w:val="clear" w:color="auto" w:fill="FFFFFF"/>
        </w:rPr>
        <w:t>险资入豫</w:t>
      </w:r>
      <w:r>
        <w:rPr>
          <w:rFonts w:ascii="Times New Roman" w:hAnsi="Times New Roman" w:eastAsia="微软雅黑"/>
          <w:color w:val="000000"/>
          <w:sz w:val="31"/>
          <w:szCs w:val="31"/>
          <w:shd w:val="clear" w:color="auto" w:fill="FFFFFF"/>
        </w:rPr>
        <w:t>”</w:t>
      </w:r>
      <w:r>
        <w:rPr>
          <w:rFonts w:hint="eastAsia" w:ascii="仿宋_GB2312" w:hAnsi="Times New Roman" w:cs="仿宋_GB2312"/>
          <w:color w:val="000000"/>
          <w:sz w:val="31"/>
          <w:szCs w:val="31"/>
          <w:shd w:val="clear" w:color="auto" w:fill="FFFFFF"/>
        </w:rPr>
        <w:t>专项行动</w:t>
      </w:r>
      <w:r>
        <w:rPr>
          <w:rFonts w:hint="eastAsia" w:ascii="仿宋_GB2312" w:hAnsi="微软雅黑" w:cs="仿宋_GB2312"/>
          <w:color w:val="000000"/>
          <w:sz w:val="31"/>
          <w:szCs w:val="31"/>
          <w:shd w:val="clear" w:color="auto" w:fill="FFFFFF"/>
        </w:rPr>
        <w:t>，持续推进落实。</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ascii="Times New Roman" w:hAnsi="Times New Roman"/>
          <w:color w:val="000000"/>
          <w:sz w:val="31"/>
          <w:szCs w:val="31"/>
          <w:shd w:val="clear" w:color="auto" w:fill="FFFFFF"/>
        </w:rPr>
        <w:t>27.</w:t>
      </w:r>
      <w:r>
        <w:rPr>
          <w:rFonts w:hint="eastAsia" w:ascii="仿宋_GB2312" w:hAnsi="微软雅黑" w:cs="仿宋_GB2312"/>
          <w:color w:val="000000"/>
          <w:sz w:val="31"/>
          <w:szCs w:val="31"/>
          <w:shd w:val="clear" w:color="auto" w:fill="FFFFFF"/>
        </w:rPr>
        <w:t>支持</w:t>
      </w:r>
      <w:r>
        <w:rPr>
          <w:rFonts w:hint="eastAsia" w:ascii="仿宋_GB2312" w:hAnsi="Times New Roman" w:cs="仿宋_GB2312"/>
          <w:color w:val="000000"/>
          <w:sz w:val="31"/>
          <w:szCs w:val="31"/>
          <w:shd w:val="clear" w:color="auto" w:fill="FFFFFF"/>
        </w:rPr>
        <w:t>郑州银行</w:t>
      </w:r>
      <w:r>
        <w:rPr>
          <w:rFonts w:hint="eastAsia" w:ascii="仿宋_GB2312" w:hAnsi="微软雅黑" w:cs="仿宋_GB2312"/>
          <w:color w:val="000000"/>
          <w:sz w:val="31"/>
          <w:szCs w:val="31"/>
          <w:shd w:val="clear" w:color="auto" w:fill="FFFFFF"/>
        </w:rPr>
        <w:t>加快发展</w:t>
      </w:r>
      <w:r>
        <w:rPr>
          <w:rFonts w:hint="eastAsia" w:ascii="仿宋_GB2312" w:hAnsi="Times New Roman" w:cs="仿宋_GB2312"/>
          <w:color w:val="000000"/>
          <w:sz w:val="31"/>
          <w:szCs w:val="31"/>
          <w:shd w:val="clear" w:color="auto" w:fill="FFFFFF"/>
        </w:rPr>
        <w:t>政策性科创金融业务，对符合国家产业导向和我省发展战略的高新技术企业、科技型中小企业和</w:t>
      </w:r>
      <w:r>
        <w:rPr>
          <w:rFonts w:ascii="Times New Roman" w:hAnsi="Times New Roman" w:eastAsia="微软雅黑"/>
          <w:color w:val="000000"/>
          <w:sz w:val="31"/>
          <w:szCs w:val="31"/>
          <w:shd w:val="clear" w:color="auto" w:fill="FFFFFF"/>
        </w:rPr>
        <w:t>“</w:t>
      </w:r>
      <w:r>
        <w:rPr>
          <w:rFonts w:hint="eastAsia" w:ascii="仿宋_GB2312" w:hAnsi="Times New Roman" w:cs="仿宋_GB2312"/>
          <w:color w:val="000000"/>
          <w:sz w:val="31"/>
          <w:szCs w:val="31"/>
          <w:shd w:val="clear" w:color="auto" w:fill="FFFFFF"/>
        </w:rPr>
        <w:t>专精特新</w:t>
      </w:r>
      <w:r>
        <w:rPr>
          <w:rFonts w:ascii="Times New Roman" w:hAnsi="Times New Roman" w:eastAsia="微软雅黑"/>
          <w:color w:val="000000"/>
          <w:sz w:val="31"/>
          <w:szCs w:val="31"/>
          <w:shd w:val="clear" w:color="auto" w:fill="FFFFFF"/>
        </w:rPr>
        <w:t>”“</w:t>
      </w:r>
      <w:r>
        <w:rPr>
          <w:rFonts w:hint="eastAsia" w:ascii="仿宋_GB2312" w:hAnsi="Times New Roman" w:cs="仿宋_GB2312"/>
          <w:color w:val="000000"/>
          <w:sz w:val="31"/>
          <w:szCs w:val="31"/>
          <w:shd w:val="clear" w:color="auto" w:fill="FFFFFF"/>
        </w:rPr>
        <w:t>小巨人</w:t>
      </w:r>
      <w:r>
        <w:rPr>
          <w:rFonts w:ascii="Times New Roman" w:hAnsi="Times New Roman" w:eastAsia="微软雅黑"/>
          <w:color w:val="000000"/>
          <w:sz w:val="31"/>
          <w:szCs w:val="31"/>
          <w:shd w:val="clear" w:color="auto" w:fill="FFFFFF"/>
        </w:rPr>
        <w:t>”“</w:t>
      </w:r>
      <w:r>
        <w:rPr>
          <w:rFonts w:hint="eastAsia" w:ascii="仿宋_GB2312" w:hAnsi="Times New Roman" w:cs="仿宋_GB2312"/>
          <w:color w:val="000000"/>
          <w:sz w:val="31"/>
          <w:szCs w:val="31"/>
          <w:shd w:val="clear" w:color="auto" w:fill="FFFFFF"/>
        </w:rPr>
        <w:t>独角兽</w:t>
      </w:r>
      <w:r>
        <w:rPr>
          <w:rFonts w:ascii="Times New Roman" w:hAnsi="Times New Roman" w:eastAsia="微软雅黑"/>
          <w:color w:val="000000"/>
          <w:sz w:val="31"/>
          <w:szCs w:val="31"/>
          <w:shd w:val="clear" w:color="auto" w:fill="FFFFFF"/>
        </w:rPr>
        <w:t>”“</w:t>
      </w:r>
      <w:r>
        <w:rPr>
          <w:rFonts w:hint="eastAsia" w:ascii="仿宋_GB2312" w:hAnsi="Times New Roman" w:cs="仿宋_GB2312"/>
          <w:color w:val="000000"/>
          <w:sz w:val="31"/>
          <w:szCs w:val="31"/>
          <w:shd w:val="clear" w:color="auto" w:fill="FFFFFF"/>
        </w:rPr>
        <w:t>瞪羚</w:t>
      </w:r>
      <w:r>
        <w:rPr>
          <w:rFonts w:ascii="Times New Roman" w:hAnsi="Times New Roman" w:eastAsia="微软雅黑"/>
          <w:color w:val="000000"/>
          <w:sz w:val="31"/>
          <w:szCs w:val="31"/>
          <w:shd w:val="clear" w:color="auto" w:fill="FFFFFF"/>
        </w:rPr>
        <w:t>”</w:t>
      </w:r>
      <w:r>
        <w:rPr>
          <w:rFonts w:hint="eastAsia" w:ascii="仿宋_GB2312" w:hAnsi="Times New Roman" w:cs="仿宋_GB2312"/>
          <w:color w:val="000000"/>
          <w:sz w:val="31"/>
          <w:szCs w:val="31"/>
          <w:shd w:val="clear" w:color="auto" w:fill="FFFFFF"/>
        </w:rPr>
        <w:t>等创新型企业，</w:t>
      </w:r>
      <w:r>
        <w:rPr>
          <w:rFonts w:hint="eastAsia" w:ascii="仿宋_GB2312" w:hAnsi="微软雅黑" w:cs="仿宋_GB2312"/>
          <w:color w:val="000000"/>
          <w:sz w:val="31"/>
          <w:szCs w:val="31"/>
          <w:shd w:val="clear" w:color="auto" w:fill="FFFFFF"/>
        </w:rPr>
        <w:t>提供</w:t>
      </w:r>
      <w:r>
        <w:rPr>
          <w:rFonts w:hint="eastAsia" w:ascii="仿宋_GB2312" w:hAnsi="Times New Roman" w:cs="仿宋_GB2312"/>
          <w:color w:val="000000"/>
          <w:sz w:val="31"/>
          <w:szCs w:val="31"/>
          <w:shd w:val="clear" w:color="auto" w:fill="FFFFFF"/>
        </w:rPr>
        <w:t>低利率、弱担保、长周期、以信用方式为主</w:t>
      </w:r>
      <w:r>
        <w:rPr>
          <w:rFonts w:hint="eastAsia" w:ascii="仿宋_GB2312" w:hAnsi="微软雅黑" w:cs="仿宋_GB2312"/>
          <w:color w:val="000000"/>
          <w:sz w:val="31"/>
          <w:szCs w:val="31"/>
          <w:shd w:val="clear" w:color="auto" w:fill="FFFFFF"/>
        </w:rPr>
        <w:t>的信贷产品</w:t>
      </w:r>
      <w:r>
        <w:rPr>
          <w:rFonts w:hint="eastAsia" w:ascii="仿宋_GB2312" w:hAnsi="Times New Roman" w:cs="仿宋_GB2312"/>
          <w:color w:val="000000"/>
          <w:sz w:val="31"/>
          <w:szCs w:val="31"/>
          <w:shd w:val="clear" w:color="auto" w:fill="FFFFFF"/>
        </w:rPr>
        <w:t>，突出对科创领域金融支持，服务创新成果转化落地。</w:t>
      </w:r>
      <w:r>
        <w:rPr>
          <w:rFonts w:hint="eastAsia" w:ascii="仿宋_GB2312" w:hAnsi="微软雅黑" w:cs="仿宋_GB2312"/>
          <w:color w:val="000000"/>
          <w:sz w:val="31"/>
          <w:szCs w:val="31"/>
          <w:shd w:val="clear" w:color="auto" w:fill="FFFFFF"/>
        </w:rPr>
        <w:t>推动</w:t>
      </w:r>
      <w:r>
        <w:rPr>
          <w:rFonts w:hint="eastAsia" w:ascii="仿宋_GB2312" w:hAnsi="Times New Roman" w:cs="仿宋_GB2312"/>
          <w:color w:val="000000"/>
          <w:sz w:val="31"/>
          <w:szCs w:val="31"/>
          <w:shd w:val="clear" w:color="auto" w:fill="FFFFFF"/>
        </w:rPr>
        <w:t>省级政府性担保机构与郑州银行加强政策性科创金融业务合作，建立</w:t>
      </w:r>
      <w:r>
        <w:rPr>
          <w:rFonts w:ascii="Times New Roman" w:hAnsi="Times New Roman" w:eastAsia="微软雅黑"/>
          <w:color w:val="000000"/>
          <w:sz w:val="31"/>
          <w:szCs w:val="31"/>
          <w:shd w:val="clear" w:color="auto" w:fill="FFFFFF"/>
        </w:rPr>
        <w:t>“</w:t>
      </w:r>
      <w:r>
        <w:rPr>
          <w:rFonts w:hint="eastAsia" w:ascii="仿宋_GB2312" w:hAnsi="Times New Roman" w:cs="仿宋_GB2312"/>
          <w:color w:val="000000"/>
          <w:sz w:val="31"/>
          <w:szCs w:val="31"/>
          <w:shd w:val="clear" w:color="auto" w:fill="FFFFFF"/>
        </w:rPr>
        <w:t>见贷即保、见保即贷</w:t>
      </w:r>
      <w:r>
        <w:rPr>
          <w:rFonts w:ascii="Times New Roman" w:hAnsi="Times New Roman" w:eastAsia="微软雅黑"/>
          <w:color w:val="000000"/>
          <w:sz w:val="31"/>
          <w:szCs w:val="31"/>
          <w:shd w:val="clear" w:color="auto" w:fill="FFFFFF"/>
        </w:rPr>
        <w:t>”</w:t>
      </w:r>
      <w:r>
        <w:rPr>
          <w:rFonts w:hint="eastAsia" w:ascii="仿宋_GB2312" w:hAnsi="Times New Roman" w:cs="仿宋_GB2312"/>
          <w:color w:val="000000"/>
          <w:sz w:val="31"/>
          <w:szCs w:val="31"/>
          <w:shd w:val="clear" w:color="auto" w:fill="FFFFFF"/>
        </w:rPr>
        <w:t>的风险分担机制</w:t>
      </w:r>
      <w:r>
        <w:rPr>
          <w:rFonts w:hint="eastAsia" w:ascii="仿宋_GB2312" w:hAnsi="微软雅黑" w:cs="仿宋_GB2312"/>
          <w:color w:val="000000"/>
          <w:sz w:val="31"/>
          <w:szCs w:val="31"/>
          <w:shd w:val="clear" w:color="auto" w:fill="FFFFFF"/>
        </w:rPr>
        <w:t>。</w:t>
      </w:r>
      <w:r>
        <w:rPr>
          <w:rFonts w:hint="eastAsia" w:ascii="仿宋_GB2312" w:hAnsi="Times New Roman" w:cs="仿宋_GB2312"/>
          <w:color w:val="000000"/>
          <w:sz w:val="31"/>
          <w:szCs w:val="31"/>
          <w:shd w:val="clear" w:color="auto" w:fill="FFFFFF"/>
        </w:rPr>
        <w:t>市、县进一步加强银政、银担、银保合作，积极探索引入担保机构与保险机构、建立风险补偿资金池等方式，形成多渠道、多形式的风险分担机制。</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牵头</w:t>
      </w:r>
      <w:r>
        <w:rPr>
          <w:rFonts w:hint="eastAsia" w:ascii="仿宋_GB2312" w:hAnsi="Times New Roman" w:cs="仿宋_GB2312"/>
          <w:color w:val="000000"/>
          <w:sz w:val="31"/>
          <w:szCs w:val="31"/>
          <w:shd w:val="clear" w:color="auto" w:fill="FFFFFF"/>
        </w:rPr>
        <w:t>单位：省地方金融监管局</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责任单位：各省辖市金融工作局、济源示范区财政金融局、航空港区财政审计局，郑州银行</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时序进度</w:t>
      </w:r>
      <w:r>
        <w:rPr>
          <w:rFonts w:hint="eastAsia" w:ascii="仿宋_GB2312" w:hAnsi="Times New Roman" w:cs="仿宋_GB2312"/>
          <w:color w:val="000000"/>
          <w:sz w:val="31"/>
          <w:szCs w:val="31"/>
          <w:shd w:val="clear" w:color="auto" w:fill="FFFFFF"/>
        </w:rPr>
        <w:t>：</w:t>
      </w:r>
      <w:r>
        <w:rPr>
          <w:rFonts w:ascii="Times New Roman" w:hAnsi="Times New Roman"/>
          <w:color w:val="000000"/>
          <w:sz w:val="31"/>
          <w:szCs w:val="31"/>
          <w:shd w:val="clear" w:color="auto" w:fill="FFFFFF"/>
        </w:rPr>
        <w:t>2022</w:t>
      </w:r>
      <w:r>
        <w:rPr>
          <w:rFonts w:hint="eastAsia" w:ascii="仿宋_GB2312" w:hAnsi="微软雅黑" w:cs="仿宋_GB2312"/>
          <w:color w:val="000000"/>
          <w:sz w:val="31"/>
          <w:szCs w:val="31"/>
          <w:shd w:val="clear" w:color="auto" w:fill="FFFFFF"/>
        </w:rPr>
        <w:t>年</w:t>
      </w:r>
      <w:r>
        <w:rPr>
          <w:rFonts w:ascii="Times New Roman" w:hAnsi="Times New Roman"/>
          <w:color w:val="000000"/>
          <w:sz w:val="31"/>
          <w:szCs w:val="31"/>
          <w:shd w:val="clear" w:color="auto" w:fill="FFFFFF"/>
        </w:rPr>
        <w:t>6</w:t>
      </w:r>
      <w:r>
        <w:rPr>
          <w:rFonts w:hint="eastAsia" w:ascii="仿宋_GB2312" w:hAnsi="微软雅黑" w:cs="仿宋_GB2312"/>
          <w:color w:val="000000"/>
          <w:sz w:val="31"/>
          <w:szCs w:val="31"/>
          <w:shd w:val="clear" w:color="auto" w:fill="FFFFFF"/>
        </w:rPr>
        <w:t>月末，郑州银行新增政策性科创金融业务贷款规模达到</w:t>
      </w:r>
      <w:r>
        <w:rPr>
          <w:rFonts w:ascii="Times New Roman" w:hAnsi="Times New Roman"/>
          <w:color w:val="000000"/>
          <w:sz w:val="31"/>
          <w:szCs w:val="31"/>
          <w:shd w:val="clear" w:color="auto" w:fill="FFFFFF"/>
        </w:rPr>
        <w:t>100</w:t>
      </w:r>
      <w:r>
        <w:rPr>
          <w:rFonts w:hint="eastAsia" w:ascii="仿宋_GB2312" w:hAnsi="微软雅黑" w:cs="仿宋_GB2312"/>
          <w:color w:val="000000"/>
          <w:sz w:val="31"/>
          <w:szCs w:val="31"/>
          <w:shd w:val="clear" w:color="auto" w:fill="FFFFFF"/>
        </w:rPr>
        <w:t>亿元以上，支持企业</w:t>
      </w:r>
      <w:r>
        <w:rPr>
          <w:rFonts w:ascii="Times New Roman" w:hAnsi="Times New Roman"/>
          <w:color w:val="000000"/>
          <w:sz w:val="31"/>
          <w:szCs w:val="31"/>
          <w:shd w:val="clear" w:color="auto" w:fill="FFFFFF"/>
        </w:rPr>
        <w:t>1000</w:t>
      </w:r>
      <w:r>
        <w:rPr>
          <w:rFonts w:hint="eastAsia" w:ascii="仿宋_GB2312" w:hAnsi="微软雅黑" w:cs="仿宋_GB2312"/>
          <w:color w:val="000000"/>
          <w:sz w:val="31"/>
          <w:szCs w:val="31"/>
          <w:shd w:val="clear" w:color="auto" w:fill="FFFFFF"/>
        </w:rPr>
        <w:t>家左右；</w:t>
      </w:r>
      <w:r>
        <w:rPr>
          <w:rFonts w:ascii="Times New Roman" w:hAnsi="Times New Roman"/>
          <w:color w:val="000000"/>
          <w:sz w:val="31"/>
          <w:szCs w:val="31"/>
          <w:shd w:val="clear" w:color="auto" w:fill="FFFFFF"/>
        </w:rPr>
        <w:t>2022</w:t>
      </w:r>
      <w:r>
        <w:rPr>
          <w:rFonts w:hint="eastAsia" w:ascii="仿宋_GB2312" w:hAnsi="微软雅黑" w:cs="仿宋_GB2312"/>
          <w:color w:val="000000"/>
          <w:sz w:val="31"/>
          <w:szCs w:val="31"/>
          <w:shd w:val="clear" w:color="auto" w:fill="FFFFFF"/>
        </w:rPr>
        <w:t>年</w:t>
      </w:r>
      <w:r>
        <w:rPr>
          <w:rFonts w:ascii="Times New Roman" w:hAnsi="Times New Roman"/>
          <w:color w:val="000000"/>
          <w:sz w:val="31"/>
          <w:szCs w:val="31"/>
          <w:shd w:val="clear" w:color="auto" w:fill="FFFFFF"/>
        </w:rPr>
        <w:t>9</w:t>
      </w:r>
      <w:r>
        <w:rPr>
          <w:rFonts w:hint="eastAsia" w:ascii="仿宋_GB2312" w:hAnsi="微软雅黑" w:cs="仿宋_GB2312"/>
          <w:color w:val="000000"/>
          <w:sz w:val="31"/>
          <w:szCs w:val="31"/>
          <w:shd w:val="clear" w:color="auto" w:fill="FFFFFF"/>
        </w:rPr>
        <w:t>月末，新增政策性科创金融业务贷款规模达到</w:t>
      </w:r>
      <w:r>
        <w:rPr>
          <w:rFonts w:ascii="Times New Roman" w:hAnsi="Times New Roman"/>
          <w:color w:val="000000"/>
          <w:sz w:val="31"/>
          <w:szCs w:val="31"/>
          <w:shd w:val="clear" w:color="auto" w:fill="FFFFFF"/>
        </w:rPr>
        <w:t>200</w:t>
      </w:r>
      <w:r>
        <w:rPr>
          <w:rFonts w:hint="eastAsia" w:ascii="仿宋_GB2312" w:hAnsi="微软雅黑" w:cs="仿宋_GB2312"/>
          <w:color w:val="000000"/>
          <w:sz w:val="31"/>
          <w:szCs w:val="31"/>
          <w:shd w:val="clear" w:color="auto" w:fill="FFFFFF"/>
        </w:rPr>
        <w:t>亿元以上，支持企业</w:t>
      </w:r>
      <w:r>
        <w:rPr>
          <w:rFonts w:ascii="Times New Roman" w:hAnsi="Times New Roman"/>
          <w:color w:val="000000"/>
          <w:sz w:val="31"/>
          <w:szCs w:val="31"/>
          <w:shd w:val="clear" w:color="auto" w:fill="FFFFFF"/>
        </w:rPr>
        <w:t>2000</w:t>
      </w:r>
      <w:r>
        <w:rPr>
          <w:rFonts w:hint="eastAsia" w:ascii="仿宋_GB2312" w:hAnsi="微软雅黑" w:cs="仿宋_GB2312"/>
          <w:color w:val="000000"/>
          <w:sz w:val="31"/>
          <w:szCs w:val="31"/>
          <w:shd w:val="clear" w:color="auto" w:fill="FFFFFF"/>
        </w:rPr>
        <w:t>家左右；</w:t>
      </w:r>
      <w:r>
        <w:rPr>
          <w:rFonts w:ascii="Times New Roman" w:hAnsi="Times New Roman"/>
          <w:color w:val="000000"/>
          <w:sz w:val="31"/>
          <w:szCs w:val="31"/>
          <w:shd w:val="clear" w:color="auto" w:fill="FFFFFF"/>
        </w:rPr>
        <w:t>2022</w:t>
      </w:r>
      <w:r>
        <w:rPr>
          <w:rFonts w:hint="eastAsia" w:ascii="仿宋_GB2312" w:hAnsi="微软雅黑" w:cs="仿宋_GB2312"/>
          <w:color w:val="000000"/>
          <w:sz w:val="31"/>
          <w:szCs w:val="31"/>
          <w:shd w:val="clear" w:color="auto" w:fill="FFFFFF"/>
        </w:rPr>
        <w:t>年</w:t>
      </w:r>
      <w:r>
        <w:rPr>
          <w:rFonts w:ascii="Times New Roman" w:hAnsi="Times New Roman"/>
          <w:color w:val="000000"/>
          <w:sz w:val="31"/>
          <w:szCs w:val="31"/>
          <w:shd w:val="clear" w:color="auto" w:fill="FFFFFF"/>
        </w:rPr>
        <w:t>12</w:t>
      </w:r>
      <w:r>
        <w:rPr>
          <w:rFonts w:hint="eastAsia" w:ascii="仿宋_GB2312" w:hAnsi="微软雅黑" w:cs="仿宋_GB2312"/>
          <w:color w:val="000000"/>
          <w:sz w:val="31"/>
          <w:szCs w:val="31"/>
          <w:shd w:val="clear" w:color="auto" w:fill="FFFFFF"/>
        </w:rPr>
        <w:t>月末，新增政策性科创金融业务贷款规模达到</w:t>
      </w:r>
      <w:r>
        <w:rPr>
          <w:rFonts w:ascii="Times New Roman" w:hAnsi="Times New Roman"/>
          <w:color w:val="000000"/>
          <w:sz w:val="31"/>
          <w:szCs w:val="31"/>
          <w:shd w:val="clear" w:color="auto" w:fill="FFFFFF"/>
        </w:rPr>
        <w:t>300</w:t>
      </w:r>
      <w:r>
        <w:rPr>
          <w:rFonts w:hint="eastAsia" w:ascii="仿宋_GB2312" w:hAnsi="微软雅黑" w:cs="仿宋_GB2312"/>
          <w:color w:val="000000"/>
          <w:sz w:val="31"/>
          <w:szCs w:val="31"/>
          <w:shd w:val="clear" w:color="auto" w:fill="FFFFFF"/>
        </w:rPr>
        <w:t>亿元以上，支持企业</w:t>
      </w:r>
      <w:r>
        <w:rPr>
          <w:rFonts w:ascii="Times New Roman" w:hAnsi="Times New Roman"/>
          <w:color w:val="000000"/>
          <w:sz w:val="31"/>
          <w:szCs w:val="31"/>
          <w:shd w:val="clear" w:color="auto" w:fill="FFFFFF"/>
        </w:rPr>
        <w:t>3000</w:t>
      </w:r>
      <w:r>
        <w:rPr>
          <w:rFonts w:hint="eastAsia" w:ascii="仿宋_GB2312" w:hAnsi="微软雅黑" w:cs="仿宋_GB2312"/>
          <w:color w:val="000000"/>
          <w:sz w:val="31"/>
          <w:szCs w:val="31"/>
          <w:shd w:val="clear" w:color="auto" w:fill="FFFFFF"/>
        </w:rPr>
        <w:t>家左右。</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ascii="Times New Roman" w:hAnsi="Times New Roman"/>
          <w:color w:val="000000"/>
          <w:sz w:val="31"/>
          <w:szCs w:val="31"/>
          <w:shd w:val="clear" w:color="auto" w:fill="FFFFFF"/>
        </w:rPr>
        <w:t>28.</w:t>
      </w:r>
      <w:r>
        <w:rPr>
          <w:rFonts w:hint="eastAsia" w:ascii="仿宋_GB2312" w:hAnsi="微软雅黑" w:cs="仿宋_GB2312"/>
          <w:color w:val="000000"/>
          <w:sz w:val="31"/>
          <w:szCs w:val="31"/>
          <w:shd w:val="clear" w:color="auto" w:fill="FFFFFF"/>
        </w:rPr>
        <w:t>加快“</w:t>
      </w:r>
      <w:r>
        <w:rPr>
          <w:rFonts w:hint="eastAsia" w:ascii="仿宋_GB2312" w:hAnsi="Times New Roman" w:cs="仿宋_GB2312"/>
          <w:color w:val="000000"/>
          <w:sz w:val="31"/>
          <w:szCs w:val="31"/>
          <w:shd w:val="clear" w:color="auto" w:fill="FFFFFF"/>
        </w:rPr>
        <w:t>专精特新</w:t>
      </w:r>
      <w:r>
        <w:rPr>
          <w:rFonts w:hint="eastAsia" w:ascii="仿宋_GB2312" w:hAnsi="微软雅黑" w:cs="仿宋_GB2312"/>
          <w:color w:val="000000"/>
          <w:sz w:val="31"/>
          <w:szCs w:val="31"/>
          <w:shd w:val="clear" w:color="auto" w:fill="FFFFFF"/>
        </w:rPr>
        <w:t>”企业上市步伐，优先将符合条件的“</w:t>
      </w:r>
      <w:r>
        <w:rPr>
          <w:rFonts w:hint="eastAsia" w:ascii="仿宋_GB2312" w:hAnsi="Times New Roman" w:cs="仿宋_GB2312"/>
          <w:color w:val="000000"/>
          <w:sz w:val="31"/>
          <w:szCs w:val="31"/>
          <w:shd w:val="clear" w:color="auto" w:fill="FFFFFF"/>
        </w:rPr>
        <w:t>专精特新</w:t>
      </w:r>
      <w:r>
        <w:rPr>
          <w:rFonts w:hint="eastAsia" w:ascii="仿宋_GB2312" w:hAnsi="微软雅黑" w:cs="仿宋_GB2312"/>
          <w:color w:val="000000"/>
          <w:sz w:val="31"/>
          <w:szCs w:val="31"/>
          <w:shd w:val="clear" w:color="auto" w:fill="FFFFFF"/>
        </w:rPr>
        <w:t>”企业纳入省定重点上市后备企业库培育，落实企业上市“绿色”通道，加强帮扶指导，推动“</w:t>
      </w:r>
      <w:r>
        <w:rPr>
          <w:rFonts w:hint="eastAsia" w:ascii="仿宋_GB2312" w:hAnsi="Times New Roman" w:cs="仿宋_GB2312"/>
          <w:color w:val="000000"/>
          <w:sz w:val="31"/>
          <w:szCs w:val="31"/>
          <w:shd w:val="clear" w:color="auto" w:fill="FFFFFF"/>
        </w:rPr>
        <w:t>专精特新</w:t>
      </w:r>
      <w:r>
        <w:rPr>
          <w:rFonts w:hint="eastAsia" w:ascii="仿宋_GB2312" w:hAnsi="微软雅黑" w:cs="仿宋_GB2312"/>
          <w:color w:val="000000"/>
          <w:sz w:val="31"/>
          <w:szCs w:val="31"/>
          <w:shd w:val="clear" w:color="auto" w:fill="FFFFFF"/>
        </w:rPr>
        <w:t>”后备企业在科创板、创业板、北交所上市。</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牵头单位：</w:t>
      </w:r>
      <w:r>
        <w:rPr>
          <w:rFonts w:hint="eastAsia" w:ascii="仿宋_GB2312" w:hAnsi="Times New Roman" w:cs="仿宋_GB2312"/>
          <w:color w:val="000000"/>
          <w:sz w:val="31"/>
          <w:szCs w:val="31"/>
          <w:shd w:val="clear" w:color="auto" w:fill="FFFFFF"/>
        </w:rPr>
        <w:t>省地方金融监管局</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Times New Roman" w:cs="仿宋_GB2312"/>
          <w:color w:val="000000"/>
          <w:sz w:val="31"/>
          <w:szCs w:val="31"/>
          <w:shd w:val="clear" w:color="auto" w:fill="FFFFFF"/>
        </w:rPr>
        <w:t>责任单位：各省辖市金融工作局、济源示范区财政金融局、航空港区财政审计局</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时序进度</w:t>
      </w:r>
      <w:r>
        <w:rPr>
          <w:rFonts w:hint="eastAsia" w:ascii="仿宋_GB2312" w:hAnsi="Times New Roman" w:cs="仿宋_GB2312"/>
          <w:color w:val="000000"/>
          <w:sz w:val="31"/>
          <w:szCs w:val="31"/>
          <w:shd w:val="clear" w:color="auto" w:fill="FFFFFF"/>
        </w:rPr>
        <w:t>：</w:t>
      </w:r>
      <w:r>
        <w:rPr>
          <w:rFonts w:ascii="Times New Roman" w:hAnsi="Times New Roman" w:eastAsia="微软雅黑"/>
          <w:color w:val="000000"/>
          <w:sz w:val="31"/>
          <w:szCs w:val="31"/>
          <w:shd w:val="clear" w:color="auto" w:fill="FFFFFF"/>
        </w:rPr>
        <w:t>202</w:t>
      </w:r>
      <w:r>
        <w:rPr>
          <w:rFonts w:ascii="Times New Roman" w:hAnsi="Times New Roman"/>
          <w:color w:val="000000"/>
          <w:sz w:val="31"/>
          <w:szCs w:val="31"/>
          <w:shd w:val="clear" w:color="auto" w:fill="FFFFFF"/>
        </w:rPr>
        <w:t>2</w:t>
      </w:r>
      <w:r>
        <w:rPr>
          <w:rFonts w:hint="eastAsia" w:ascii="仿宋_GB2312" w:hAnsi="Times New Roman" w:cs="仿宋_GB2312"/>
          <w:color w:val="000000"/>
          <w:sz w:val="31"/>
          <w:szCs w:val="31"/>
          <w:shd w:val="clear" w:color="auto" w:fill="FFFFFF"/>
        </w:rPr>
        <w:t>年</w:t>
      </w:r>
      <w:r>
        <w:rPr>
          <w:rFonts w:hint="eastAsia" w:ascii="仿宋_GB2312" w:hAnsi="微软雅黑" w:cs="仿宋_GB2312"/>
          <w:color w:val="000000"/>
          <w:sz w:val="31"/>
          <w:szCs w:val="31"/>
          <w:shd w:val="clear" w:color="auto" w:fill="FFFFFF"/>
        </w:rPr>
        <w:t>新增“</w:t>
      </w:r>
      <w:r>
        <w:rPr>
          <w:rFonts w:hint="eastAsia" w:ascii="仿宋_GB2312" w:hAnsi="Times New Roman" w:cs="仿宋_GB2312"/>
          <w:color w:val="000000"/>
          <w:sz w:val="31"/>
          <w:szCs w:val="31"/>
          <w:shd w:val="clear" w:color="auto" w:fill="FFFFFF"/>
        </w:rPr>
        <w:t>专精特新</w:t>
      </w:r>
      <w:r>
        <w:rPr>
          <w:rFonts w:hint="eastAsia" w:ascii="仿宋_GB2312" w:hAnsi="微软雅黑" w:cs="仿宋_GB2312"/>
          <w:color w:val="000000"/>
          <w:sz w:val="31"/>
          <w:szCs w:val="31"/>
          <w:shd w:val="clear" w:color="auto" w:fill="FFFFFF"/>
        </w:rPr>
        <w:t>”上市企业</w:t>
      </w:r>
      <w:r>
        <w:rPr>
          <w:rFonts w:ascii="Times New Roman" w:hAnsi="Times New Roman"/>
          <w:color w:val="000000"/>
          <w:sz w:val="31"/>
          <w:szCs w:val="31"/>
          <w:shd w:val="clear" w:color="auto" w:fill="FFFFFF"/>
        </w:rPr>
        <w:t>2</w:t>
      </w:r>
      <w:r>
        <w:rPr>
          <w:rFonts w:hint="eastAsia" w:ascii="仿宋_GB2312" w:hAnsi="微软雅黑" w:cs="仿宋_GB2312"/>
          <w:color w:val="000000"/>
          <w:sz w:val="31"/>
          <w:szCs w:val="31"/>
          <w:shd w:val="clear" w:color="auto" w:fill="FFFFFF"/>
        </w:rPr>
        <w:t>家。</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ascii="Times New Roman" w:hAnsi="Times New Roman"/>
          <w:color w:val="000000"/>
          <w:sz w:val="31"/>
          <w:szCs w:val="31"/>
          <w:shd w:val="clear" w:color="auto" w:fill="FFFFFF"/>
        </w:rPr>
        <w:t>29.</w:t>
      </w:r>
      <w:r>
        <w:rPr>
          <w:rFonts w:hint="eastAsia" w:ascii="仿宋_GB2312" w:hAnsi="微软雅黑" w:cs="仿宋_GB2312"/>
          <w:color w:val="000000"/>
          <w:sz w:val="31"/>
          <w:szCs w:val="31"/>
          <w:shd w:val="clear" w:color="auto" w:fill="FFFFFF"/>
        </w:rPr>
        <w:t>支持煤炭清洁高效利用，组织专项银企对接，及时向银行推送项目清单，引导符合条件的商业银行用好煤炭清洁高效利用专项再贷款政策，加大对煤炭安全高效绿色智能开采、煤炭清洁高效加工等煤炭高效利用领域的支持力度。</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牵头单位：人民银行郑州中心支行</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责任单位：人民银行各市中心支行，各金融机构</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时序进度：</w:t>
      </w:r>
      <w:r>
        <w:rPr>
          <w:rFonts w:ascii="Times New Roman" w:hAnsi="Times New Roman"/>
          <w:color w:val="000000"/>
          <w:sz w:val="31"/>
          <w:szCs w:val="31"/>
          <w:shd w:val="clear" w:color="auto" w:fill="FFFFFF"/>
        </w:rPr>
        <w:t>2022</w:t>
      </w:r>
      <w:r>
        <w:rPr>
          <w:rFonts w:hint="eastAsia" w:ascii="仿宋_GB2312" w:hAnsi="微软雅黑" w:cs="仿宋_GB2312"/>
          <w:color w:val="000000"/>
          <w:sz w:val="31"/>
          <w:szCs w:val="31"/>
          <w:shd w:val="clear" w:color="auto" w:fill="FFFFFF"/>
        </w:rPr>
        <w:t>年</w:t>
      </w:r>
      <w:r>
        <w:rPr>
          <w:rFonts w:ascii="Times New Roman" w:hAnsi="Times New Roman"/>
          <w:color w:val="000000"/>
          <w:sz w:val="31"/>
          <w:szCs w:val="31"/>
          <w:shd w:val="clear" w:color="auto" w:fill="FFFFFF"/>
        </w:rPr>
        <w:t>12</w:t>
      </w:r>
      <w:r>
        <w:rPr>
          <w:rFonts w:hint="eastAsia" w:ascii="仿宋_GB2312" w:hAnsi="微软雅黑" w:cs="仿宋_GB2312"/>
          <w:color w:val="000000"/>
          <w:sz w:val="31"/>
          <w:szCs w:val="31"/>
          <w:shd w:val="clear" w:color="auto" w:fill="FFFFFF"/>
        </w:rPr>
        <w:t>月底前</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黑体" w:hAnsi="宋体" w:eastAsia="黑体" w:cs="黑体"/>
          <w:color w:val="000000"/>
          <w:sz w:val="31"/>
          <w:szCs w:val="31"/>
          <w:shd w:val="clear" w:color="auto" w:fill="FFFFFF"/>
        </w:rPr>
        <w:t>六、支持房地产市场健康发展</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ascii="Times New Roman" w:hAnsi="Times New Roman"/>
          <w:color w:val="000000"/>
          <w:sz w:val="31"/>
          <w:szCs w:val="31"/>
          <w:shd w:val="clear" w:color="auto" w:fill="FFFFFF"/>
        </w:rPr>
        <w:t>30.</w:t>
      </w:r>
      <w:r>
        <w:rPr>
          <w:rFonts w:hint="eastAsia" w:ascii="仿宋_GB2312" w:hAnsi="微软雅黑" w:cs="仿宋_GB2312"/>
          <w:color w:val="000000"/>
          <w:sz w:val="31"/>
          <w:szCs w:val="31"/>
          <w:shd w:val="clear" w:color="auto" w:fill="FFFFFF"/>
        </w:rPr>
        <w:t>因城实施差别化住房信贷政策，更好满足个人住房消费合理信贷需求，在不实施限购措施的城市，居民家庭首次购买普通住房的商业性个人住房贷款，原则上最低首付款比例为</w:t>
      </w:r>
      <w:r>
        <w:rPr>
          <w:rFonts w:ascii="Times New Roman" w:hAnsi="Times New Roman"/>
          <w:color w:val="000000"/>
          <w:sz w:val="31"/>
          <w:szCs w:val="31"/>
          <w:shd w:val="clear" w:color="auto" w:fill="FFFFFF"/>
        </w:rPr>
        <w:t>25%</w:t>
      </w:r>
      <w:r>
        <w:rPr>
          <w:rFonts w:hint="eastAsia" w:ascii="仿宋_GB2312" w:hAnsi="微软雅黑" w:cs="仿宋_GB2312"/>
          <w:color w:val="000000"/>
          <w:sz w:val="31"/>
          <w:szCs w:val="31"/>
          <w:shd w:val="clear" w:color="auto" w:fill="FFFFFF"/>
        </w:rPr>
        <w:t>，各地可向下浮动</w:t>
      </w:r>
      <w:r>
        <w:rPr>
          <w:rFonts w:ascii="Times New Roman" w:hAnsi="Times New Roman"/>
          <w:color w:val="000000"/>
          <w:sz w:val="31"/>
          <w:szCs w:val="31"/>
          <w:shd w:val="clear" w:color="auto" w:fill="FFFFFF"/>
        </w:rPr>
        <w:t>5</w:t>
      </w:r>
      <w:r>
        <w:rPr>
          <w:rFonts w:hint="eastAsia" w:ascii="仿宋_GB2312" w:hAnsi="微软雅黑" w:cs="仿宋_GB2312"/>
          <w:color w:val="000000"/>
          <w:sz w:val="31"/>
          <w:szCs w:val="31"/>
          <w:shd w:val="clear" w:color="auto" w:fill="FFFFFF"/>
        </w:rPr>
        <w:t>个百分点。</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牵头单位：人民银行郑州中心支、河南银保监局</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责任单位：人民银行各市中心支行、各市银保监分局，各金融机构</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时序进度：</w:t>
      </w:r>
      <w:r>
        <w:rPr>
          <w:rFonts w:ascii="Times New Roman" w:hAnsi="Times New Roman"/>
          <w:color w:val="000000"/>
          <w:sz w:val="31"/>
          <w:szCs w:val="31"/>
          <w:shd w:val="clear" w:color="auto" w:fill="FFFFFF"/>
        </w:rPr>
        <w:t>2022</w:t>
      </w:r>
      <w:r>
        <w:rPr>
          <w:rFonts w:hint="eastAsia" w:ascii="仿宋_GB2312" w:hAnsi="微软雅黑" w:cs="仿宋_GB2312"/>
          <w:color w:val="000000"/>
          <w:sz w:val="31"/>
          <w:szCs w:val="31"/>
          <w:shd w:val="clear" w:color="auto" w:fill="FFFFFF"/>
        </w:rPr>
        <w:t>年</w:t>
      </w:r>
      <w:r>
        <w:rPr>
          <w:rFonts w:ascii="Times New Roman" w:hAnsi="Times New Roman"/>
          <w:color w:val="000000"/>
          <w:sz w:val="31"/>
          <w:szCs w:val="31"/>
          <w:shd w:val="clear" w:color="auto" w:fill="FFFFFF"/>
        </w:rPr>
        <w:t>6</w:t>
      </w:r>
      <w:r>
        <w:rPr>
          <w:rFonts w:hint="eastAsia" w:ascii="仿宋_GB2312" w:hAnsi="微软雅黑" w:cs="仿宋_GB2312"/>
          <w:color w:val="000000"/>
          <w:sz w:val="31"/>
          <w:szCs w:val="31"/>
          <w:shd w:val="clear" w:color="auto" w:fill="FFFFFF"/>
        </w:rPr>
        <w:t>月底前</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ascii="Times New Roman" w:hAnsi="Times New Roman"/>
          <w:color w:val="000000"/>
          <w:sz w:val="31"/>
          <w:szCs w:val="31"/>
          <w:shd w:val="clear" w:color="auto" w:fill="FFFFFF"/>
        </w:rPr>
        <w:t>31.</w:t>
      </w:r>
      <w:r>
        <w:rPr>
          <w:rFonts w:hint="eastAsia" w:ascii="仿宋_GB2312" w:hAnsi="微软雅黑" w:cs="仿宋_GB2312"/>
          <w:color w:val="000000"/>
          <w:sz w:val="31"/>
          <w:szCs w:val="31"/>
          <w:shd w:val="clear" w:color="auto" w:fill="FFFFFF"/>
        </w:rPr>
        <w:t>用足用好并购贷款政策，支持银行业金融机构按照依法合规、风险可控、商业可持续原则，稳妥有序开展房地产项目并购贷款业务，重点支持优质房地产企业兼并收购出险和困难房地产企业或其优质项目，合理确定融资期限，优化内部管理机制，加快并购贷款审批流程，提高全流程服务效率。对此类并购贷款暂不纳入房地产贷款集中度管理。</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牵头单位：人民银行</w:t>
      </w:r>
      <w:r>
        <w:rPr>
          <w:rFonts w:hint="eastAsia" w:ascii="仿宋_GB2312" w:hAnsi="Times New Roman" w:cs="仿宋_GB2312"/>
          <w:color w:val="000000"/>
          <w:sz w:val="31"/>
          <w:szCs w:val="31"/>
          <w:shd w:val="clear" w:color="auto" w:fill="FFFFFF"/>
        </w:rPr>
        <w:t>郑州中心支行、河南银保监局</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Times New Roman" w:cs="仿宋_GB2312"/>
          <w:color w:val="000000"/>
          <w:sz w:val="31"/>
          <w:szCs w:val="31"/>
          <w:shd w:val="clear" w:color="auto" w:fill="FFFFFF"/>
        </w:rPr>
        <w:t>责任单位：</w:t>
      </w:r>
      <w:r>
        <w:rPr>
          <w:rFonts w:hint="eastAsia" w:ascii="仿宋_GB2312" w:hAnsi="微软雅黑" w:cs="仿宋_GB2312"/>
          <w:color w:val="000000"/>
          <w:sz w:val="31"/>
          <w:szCs w:val="31"/>
          <w:shd w:val="clear" w:color="auto" w:fill="FFFFFF"/>
        </w:rPr>
        <w:t>人民银行各市中心支行、各市银保监分局，各金融机构</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Times New Roman" w:cs="仿宋_GB2312"/>
          <w:color w:val="000000"/>
          <w:sz w:val="31"/>
          <w:szCs w:val="31"/>
          <w:shd w:val="clear" w:color="auto" w:fill="FFFFFF"/>
        </w:rPr>
        <w:t>时序进度：</w:t>
      </w:r>
      <w:r>
        <w:rPr>
          <w:rFonts w:ascii="Times New Roman" w:hAnsi="Times New Roman" w:eastAsia="微软雅黑"/>
          <w:color w:val="000000"/>
          <w:sz w:val="31"/>
          <w:szCs w:val="31"/>
          <w:shd w:val="clear" w:color="auto" w:fill="FFFFFF"/>
        </w:rPr>
        <w:t>2022</w:t>
      </w:r>
      <w:r>
        <w:rPr>
          <w:rFonts w:hint="eastAsia" w:ascii="仿宋_GB2312" w:hAnsi="Times New Roman" w:cs="仿宋_GB2312"/>
          <w:color w:val="000000"/>
          <w:sz w:val="31"/>
          <w:szCs w:val="31"/>
          <w:shd w:val="clear" w:color="auto" w:fill="FFFFFF"/>
        </w:rPr>
        <w:t>年</w:t>
      </w:r>
      <w:r>
        <w:rPr>
          <w:rFonts w:ascii="Times New Roman" w:hAnsi="Times New Roman" w:eastAsia="微软雅黑"/>
          <w:color w:val="000000"/>
          <w:sz w:val="31"/>
          <w:szCs w:val="31"/>
          <w:shd w:val="clear" w:color="auto" w:fill="FFFFFF"/>
        </w:rPr>
        <w:t>12</w:t>
      </w:r>
      <w:r>
        <w:rPr>
          <w:rFonts w:hint="eastAsia" w:ascii="仿宋_GB2312" w:hAnsi="Times New Roman" w:cs="仿宋_GB2312"/>
          <w:color w:val="000000"/>
          <w:sz w:val="31"/>
          <w:szCs w:val="31"/>
          <w:shd w:val="clear" w:color="auto" w:fill="FFFFFF"/>
        </w:rPr>
        <w:t>月底前</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ascii="Times New Roman" w:hAnsi="Times New Roman"/>
          <w:color w:val="000000"/>
          <w:sz w:val="31"/>
          <w:szCs w:val="31"/>
          <w:shd w:val="clear" w:color="auto" w:fill="FFFFFF"/>
        </w:rPr>
        <w:t>32.</w:t>
      </w:r>
      <w:r>
        <w:rPr>
          <w:rFonts w:hint="eastAsia" w:ascii="仿宋_GB2312" w:hAnsi="Times New Roman" w:cs="仿宋_GB2312"/>
          <w:color w:val="000000"/>
          <w:sz w:val="31"/>
          <w:szCs w:val="31"/>
          <w:shd w:val="clear" w:color="auto" w:fill="FFFFFF"/>
        </w:rPr>
        <w:t>鼓励金融机构合理加大对经营稳健、风险可控房地产企业和项目的支持力度，</w:t>
      </w:r>
      <w:r>
        <w:rPr>
          <w:rFonts w:hint="eastAsia" w:ascii="仿宋_GB2312" w:hAnsi="微软雅黑" w:cs="仿宋_GB2312"/>
          <w:color w:val="000000"/>
          <w:sz w:val="31"/>
          <w:szCs w:val="31"/>
          <w:shd w:val="clear" w:color="auto" w:fill="FFFFFF"/>
        </w:rPr>
        <w:t>不盲目“一刀切”抽贷、断贷、压贷，保持房地产开发贷款平稳有序投放。在风险可控基础上，对建筑企业适度加大流动性贷款等支持。商品房预售资金监管账户内的重点监管资金，在商品房项目完成房屋所有权首次登记前，商业银行不得擅自扣划用于偿还房地产开发贷款。</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牵头单位：</w:t>
      </w:r>
      <w:r>
        <w:rPr>
          <w:rFonts w:hint="eastAsia" w:ascii="仿宋_GB2312" w:hAnsi="Times New Roman" w:cs="仿宋_GB2312"/>
          <w:color w:val="000000"/>
          <w:sz w:val="31"/>
          <w:szCs w:val="31"/>
          <w:shd w:val="clear" w:color="auto" w:fill="FFFFFF"/>
        </w:rPr>
        <w:t>河南银保监局</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Times New Roman" w:cs="仿宋_GB2312"/>
          <w:color w:val="000000"/>
          <w:sz w:val="31"/>
          <w:szCs w:val="31"/>
          <w:shd w:val="clear" w:color="auto" w:fill="FFFFFF"/>
        </w:rPr>
        <w:t>责任单位：</w:t>
      </w:r>
      <w:r>
        <w:rPr>
          <w:rFonts w:hint="eastAsia" w:ascii="仿宋_GB2312" w:hAnsi="微软雅黑" w:cs="仿宋_GB2312"/>
          <w:color w:val="000000"/>
          <w:sz w:val="31"/>
          <w:szCs w:val="31"/>
          <w:shd w:val="clear" w:color="auto" w:fill="FFFFFF"/>
        </w:rPr>
        <w:t>各市银保监分局，各金融机构</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Times New Roman" w:cs="仿宋_GB2312"/>
          <w:color w:val="000000"/>
          <w:sz w:val="31"/>
          <w:szCs w:val="31"/>
          <w:shd w:val="clear" w:color="auto" w:fill="FFFFFF"/>
        </w:rPr>
        <w:t>时序进度：</w:t>
      </w:r>
      <w:r>
        <w:rPr>
          <w:rFonts w:ascii="Times New Roman" w:hAnsi="Times New Roman" w:eastAsia="微软雅黑"/>
          <w:color w:val="000000"/>
          <w:sz w:val="31"/>
          <w:szCs w:val="31"/>
          <w:shd w:val="clear" w:color="auto" w:fill="FFFFFF"/>
        </w:rPr>
        <w:t>2022</w:t>
      </w:r>
      <w:r>
        <w:rPr>
          <w:rFonts w:hint="eastAsia" w:ascii="仿宋_GB2312" w:hAnsi="Times New Roman" w:cs="仿宋_GB2312"/>
          <w:color w:val="000000"/>
          <w:sz w:val="31"/>
          <w:szCs w:val="31"/>
          <w:shd w:val="clear" w:color="auto" w:fill="FFFFFF"/>
        </w:rPr>
        <w:t>年</w:t>
      </w:r>
      <w:r>
        <w:rPr>
          <w:rFonts w:ascii="Times New Roman" w:hAnsi="Times New Roman" w:eastAsia="微软雅黑"/>
          <w:color w:val="000000"/>
          <w:sz w:val="31"/>
          <w:szCs w:val="31"/>
          <w:shd w:val="clear" w:color="auto" w:fill="FFFFFF"/>
        </w:rPr>
        <w:t>12</w:t>
      </w:r>
      <w:r>
        <w:rPr>
          <w:rFonts w:hint="eastAsia" w:ascii="仿宋_GB2312" w:hAnsi="Times New Roman" w:cs="仿宋_GB2312"/>
          <w:color w:val="000000"/>
          <w:sz w:val="31"/>
          <w:szCs w:val="31"/>
          <w:shd w:val="clear" w:color="auto" w:fill="FFFFFF"/>
        </w:rPr>
        <w:t>月底前</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ascii="Times New Roman" w:hAnsi="Times New Roman"/>
          <w:color w:val="000000"/>
          <w:sz w:val="31"/>
          <w:szCs w:val="31"/>
          <w:shd w:val="clear" w:color="auto" w:fill="FFFFFF"/>
        </w:rPr>
        <w:t>33.</w:t>
      </w:r>
      <w:r>
        <w:rPr>
          <w:rFonts w:hint="eastAsia" w:ascii="仿宋_GB2312" w:hAnsi="微软雅黑" w:cs="仿宋_GB2312"/>
          <w:color w:val="000000"/>
          <w:sz w:val="31"/>
          <w:szCs w:val="31"/>
          <w:shd w:val="clear" w:color="auto" w:fill="FFFFFF"/>
        </w:rPr>
        <w:t>引导开发性银行加大老旧小区改造和新型城镇化服务力度。鼓励开发性银行、政策性银行和商业银行在坚决防止新增地方政府隐性债务的前提下，按照市场化原则设计融资路径，创新融资模式，优化审批流程，对列入省棚户区改造计划的项目给予融资支持。</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牵头单位：</w:t>
      </w:r>
      <w:r>
        <w:rPr>
          <w:rFonts w:hint="eastAsia" w:ascii="仿宋_GB2312" w:hAnsi="Times New Roman" w:cs="仿宋_GB2312"/>
          <w:color w:val="000000"/>
          <w:sz w:val="31"/>
          <w:szCs w:val="31"/>
          <w:shd w:val="clear" w:color="auto" w:fill="FFFFFF"/>
        </w:rPr>
        <w:t>河南银保监局</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Times New Roman" w:cs="仿宋_GB2312"/>
          <w:color w:val="000000"/>
          <w:sz w:val="31"/>
          <w:szCs w:val="31"/>
          <w:shd w:val="clear" w:color="auto" w:fill="FFFFFF"/>
        </w:rPr>
        <w:t>责任单位：</w:t>
      </w:r>
      <w:r>
        <w:rPr>
          <w:rFonts w:hint="eastAsia" w:ascii="仿宋_GB2312" w:hAnsi="微软雅黑" w:cs="仿宋_GB2312"/>
          <w:color w:val="000000"/>
          <w:sz w:val="31"/>
          <w:szCs w:val="31"/>
          <w:shd w:val="clear" w:color="auto" w:fill="FFFFFF"/>
        </w:rPr>
        <w:t>各市银保监分局，各金融机构</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Times New Roman" w:cs="仿宋_GB2312"/>
          <w:color w:val="000000"/>
          <w:sz w:val="31"/>
          <w:szCs w:val="31"/>
          <w:shd w:val="clear" w:color="auto" w:fill="FFFFFF"/>
        </w:rPr>
        <w:t>时序进度：</w:t>
      </w:r>
      <w:r>
        <w:rPr>
          <w:rFonts w:ascii="Times New Roman" w:hAnsi="Times New Roman" w:eastAsia="微软雅黑"/>
          <w:color w:val="000000"/>
          <w:sz w:val="31"/>
          <w:szCs w:val="31"/>
          <w:shd w:val="clear" w:color="auto" w:fill="FFFFFF"/>
        </w:rPr>
        <w:t>2022</w:t>
      </w:r>
      <w:r>
        <w:rPr>
          <w:rFonts w:hint="eastAsia" w:ascii="仿宋_GB2312" w:hAnsi="Times New Roman" w:cs="仿宋_GB2312"/>
          <w:color w:val="000000"/>
          <w:sz w:val="31"/>
          <w:szCs w:val="31"/>
          <w:shd w:val="clear" w:color="auto" w:fill="FFFFFF"/>
        </w:rPr>
        <w:t>年</w:t>
      </w:r>
      <w:r>
        <w:rPr>
          <w:rFonts w:ascii="Times New Roman" w:hAnsi="Times New Roman" w:eastAsia="微软雅黑"/>
          <w:color w:val="000000"/>
          <w:sz w:val="31"/>
          <w:szCs w:val="31"/>
          <w:shd w:val="clear" w:color="auto" w:fill="FFFFFF"/>
        </w:rPr>
        <w:t>12</w:t>
      </w:r>
      <w:r>
        <w:rPr>
          <w:rFonts w:hint="eastAsia" w:ascii="仿宋_GB2312" w:hAnsi="Times New Roman" w:cs="仿宋_GB2312"/>
          <w:color w:val="000000"/>
          <w:sz w:val="31"/>
          <w:szCs w:val="31"/>
          <w:shd w:val="clear" w:color="auto" w:fill="FFFFFF"/>
        </w:rPr>
        <w:t>月底前</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黑体" w:hAnsi="宋体" w:eastAsia="黑体" w:cs="黑体"/>
          <w:color w:val="000000"/>
          <w:sz w:val="31"/>
          <w:szCs w:val="31"/>
          <w:shd w:val="clear" w:color="auto" w:fill="FFFFFF"/>
        </w:rPr>
        <w:t>七、积极防范化解金融风险</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ascii="Times New Roman" w:hAnsi="Times New Roman" w:eastAsia="微软雅黑"/>
          <w:color w:val="000000"/>
          <w:sz w:val="31"/>
          <w:szCs w:val="31"/>
          <w:shd w:val="clear" w:color="auto" w:fill="FFFFFF"/>
        </w:rPr>
        <w:t>3</w:t>
      </w:r>
      <w:r>
        <w:rPr>
          <w:rFonts w:ascii="Times New Roman" w:hAnsi="Times New Roman"/>
          <w:color w:val="000000"/>
          <w:sz w:val="31"/>
          <w:szCs w:val="31"/>
          <w:shd w:val="clear" w:color="auto" w:fill="FFFFFF"/>
        </w:rPr>
        <w:t>4</w:t>
      </w:r>
      <w:r>
        <w:rPr>
          <w:rFonts w:ascii="Times New Roman" w:hAnsi="Times New Roman" w:eastAsia="微软雅黑"/>
          <w:color w:val="000000"/>
          <w:sz w:val="31"/>
          <w:szCs w:val="31"/>
          <w:shd w:val="clear" w:color="auto" w:fill="FFFFFF"/>
        </w:rPr>
        <w:t>.</w:t>
      </w:r>
      <w:r>
        <w:rPr>
          <w:rFonts w:hint="eastAsia" w:ascii="仿宋_GB2312" w:hAnsi="微软雅黑" w:cs="仿宋_GB2312"/>
          <w:color w:val="000000"/>
          <w:sz w:val="31"/>
          <w:szCs w:val="31"/>
          <w:shd w:val="clear" w:color="auto" w:fill="FFFFFF"/>
        </w:rPr>
        <w:t>督促</w:t>
      </w:r>
      <w:r>
        <w:rPr>
          <w:rFonts w:hint="eastAsia" w:ascii="仿宋_GB2312" w:hAnsi="Times New Roman" w:cs="仿宋_GB2312"/>
          <w:color w:val="000000"/>
          <w:sz w:val="31"/>
          <w:szCs w:val="31"/>
          <w:shd w:val="clear" w:color="auto" w:fill="FFFFFF"/>
        </w:rPr>
        <w:t>企业</w:t>
      </w:r>
      <w:r>
        <w:rPr>
          <w:rFonts w:hint="eastAsia" w:ascii="仿宋_GB2312" w:hAnsi="微软雅黑" w:cs="仿宋_GB2312"/>
          <w:color w:val="000000"/>
          <w:sz w:val="31"/>
          <w:szCs w:val="31"/>
          <w:shd w:val="clear" w:color="auto" w:fill="FFFFFF"/>
        </w:rPr>
        <w:t>严格落实主体责任，</w:t>
      </w:r>
      <w:r>
        <w:rPr>
          <w:rFonts w:hint="eastAsia" w:ascii="仿宋_GB2312" w:hAnsi="Times New Roman" w:cs="仿宋_GB2312"/>
          <w:color w:val="000000"/>
          <w:sz w:val="31"/>
          <w:szCs w:val="31"/>
          <w:shd w:val="clear" w:color="auto" w:fill="FFFFFF"/>
        </w:rPr>
        <w:t>积极制定切实可行的风险化解方案，通过处置非主业资产、收回投资、与债权人（质权人）协商展期等方式缓解流动性困难，尽快实现产业升级、产能提升，增强自身造血能力和盈利水平，从根本上改善融资结构、降低负债水平。金融机构要树立银企命运共同体理念，</w:t>
      </w:r>
      <w:r>
        <w:rPr>
          <w:rFonts w:hint="eastAsia" w:ascii="仿宋_GB2312" w:hAnsi="微软雅黑" w:cs="仿宋_GB2312"/>
          <w:color w:val="000000"/>
          <w:sz w:val="31"/>
          <w:szCs w:val="31"/>
          <w:shd w:val="clear" w:color="auto" w:fill="FFFFFF"/>
        </w:rPr>
        <w:t>统筹</w:t>
      </w:r>
      <w:r>
        <w:rPr>
          <w:rFonts w:hint="eastAsia" w:ascii="仿宋_GB2312" w:hAnsi="Times New Roman" w:cs="仿宋_GB2312"/>
          <w:color w:val="000000"/>
          <w:sz w:val="31"/>
          <w:szCs w:val="31"/>
          <w:shd w:val="clear" w:color="auto" w:fill="FFFFFF"/>
        </w:rPr>
        <w:t>推进各种帮扶措施，帮助企业摆脱困境</w:t>
      </w:r>
      <w:r>
        <w:rPr>
          <w:rFonts w:hint="eastAsia" w:ascii="仿宋_GB2312" w:hAnsi="微软雅黑" w:cs="仿宋_GB2312"/>
          <w:color w:val="000000"/>
          <w:sz w:val="31"/>
          <w:szCs w:val="31"/>
          <w:shd w:val="clear" w:color="auto" w:fill="FFFFFF"/>
        </w:rPr>
        <w:t>、</w:t>
      </w:r>
      <w:r>
        <w:rPr>
          <w:rFonts w:hint="eastAsia" w:ascii="仿宋_GB2312" w:hAnsi="Times New Roman" w:cs="仿宋_GB2312"/>
          <w:color w:val="000000"/>
          <w:sz w:val="31"/>
          <w:szCs w:val="31"/>
          <w:shd w:val="clear" w:color="auto" w:fill="FFFFFF"/>
        </w:rPr>
        <w:t>化解风险。属地政府要切实履行职责，充分发挥风险化解专班作用，定期分析研究风险化解工作思路，一企一策，分类施策；做好舆情监测管控和引导工作，加强舆论热点和突发事件应对，稳定企业生产经营，做好职工、债权人、股东及企业利益相关方工作，切实维护各方利益。金融部门和行业管理部门要强化监管责任，不断提升科学监管水平，紧盯高风险机构、控股股东、实际控制人、董监高等重点人员，补齐监管短板，扎牢监管笼子，加强与相关部门、属地政府的协调联动，建立健全信息沟通机制，共同推动企业风险依法合规化解。</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牵头</w:t>
      </w:r>
      <w:r>
        <w:rPr>
          <w:rFonts w:hint="eastAsia" w:ascii="仿宋_GB2312" w:hAnsi="Times New Roman" w:cs="仿宋_GB2312"/>
          <w:color w:val="000000"/>
          <w:sz w:val="31"/>
          <w:szCs w:val="31"/>
          <w:shd w:val="clear" w:color="auto" w:fill="FFFFFF"/>
        </w:rPr>
        <w:t>单位：省地方金融监管局</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Times New Roman" w:cs="仿宋_GB2312"/>
          <w:color w:val="000000"/>
          <w:sz w:val="31"/>
          <w:szCs w:val="31"/>
          <w:shd w:val="clear" w:color="auto" w:fill="FFFFFF"/>
        </w:rPr>
        <w:t>责任单位：各省辖市金融工作局、济源示范区财政金融局、航空港区财政审计局</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时序进度</w:t>
      </w:r>
      <w:r>
        <w:rPr>
          <w:rFonts w:hint="eastAsia" w:ascii="仿宋_GB2312" w:hAnsi="Times New Roman" w:cs="仿宋_GB2312"/>
          <w:color w:val="000000"/>
          <w:sz w:val="31"/>
          <w:szCs w:val="31"/>
          <w:shd w:val="clear" w:color="auto" w:fill="FFFFFF"/>
        </w:rPr>
        <w:t>：持续推进</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ascii="Times New Roman" w:hAnsi="Times New Roman"/>
          <w:color w:val="000000"/>
          <w:sz w:val="31"/>
          <w:szCs w:val="31"/>
          <w:shd w:val="clear" w:color="auto" w:fill="FFFFFF"/>
        </w:rPr>
        <w:t>35.</w:t>
      </w:r>
      <w:r>
        <w:rPr>
          <w:rFonts w:hint="eastAsia" w:ascii="仿宋_GB2312" w:hAnsi="Times New Roman" w:cs="仿宋_GB2312"/>
          <w:color w:val="000000"/>
          <w:sz w:val="31"/>
          <w:szCs w:val="31"/>
          <w:shd w:val="clear" w:color="auto" w:fill="FFFFFF"/>
        </w:rPr>
        <w:t>督促企业及控股股东切实承担主体责任，积极</w:t>
      </w:r>
      <w:r>
        <w:rPr>
          <w:rFonts w:hint="eastAsia" w:ascii="仿宋_GB2312" w:hAnsi="微软雅黑" w:cs="仿宋_GB2312"/>
          <w:color w:val="000000"/>
          <w:sz w:val="31"/>
          <w:szCs w:val="31"/>
          <w:shd w:val="clear" w:color="auto" w:fill="FFFFFF"/>
        </w:rPr>
        <w:t>开展</w:t>
      </w:r>
      <w:r>
        <w:rPr>
          <w:rFonts w:hint="eastAsia" w:ascii="仿宋_GB2312" w:hAnsi="Times New Roman" w:cs="仿宋_GB2312"/>
          <w:color w:val="000000"/>
          <w:sz w:val="31"/>
          <w:szCs w:val="31"/>
          <w:shd w:val="clear" w:color="auto" w:fill="FFFFFF"/>
        </w:rPr>
        <w:t>自救，在</w:t>
      </w:r>
      <w:r>
        <w:rPr>
          <w:rFonts w:hint="eastAsia" w:ascii="仿宋_GB2312" w:hAnsi="微软雅黑" w:cs="仿宋_GB2312"/>
          <w:color w:val="000000"/>
          <w:sz w:val="31"/>
          <w:szCs w:val="31"/>
          <w:shd w:val="clear" w:color="auto" w:fill="FFFFFF"/>
        </w:rPr>
        <w:t>充分</w:t>
      </w:r>
      <w:r>
        <w:rPr>
          <w:rFonts w:hint="eastAsia" w:ascii="仿宋_GB2312" w:hAnsi="Times New Roman" w:cs="仿宋_GB2312"/>
          <w:color w:val="000000"/>
          <w:sz w:val="31"/>
          <w:szCs w:val="31"/>
          <w:shd w:val="clear" w:color="auto" w:fill="FFFFFF"/>
        </w:rPr>
        <w:t>征求各方意见的基础上，制定切实可行的风险化解方案，多措并举盘活存量资产，通过提质增效、引入战略投资者、重整重组等方式改善生产经营，恢复自身造血功能，把风险损失降到最低程度，最大限度保护各方利益。</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牵头</w:t>
      </w:r>
      <w:r>
        <w:rPr>
          <w:rFonts w:hint="eastAsia" w:ascii="仿宋_GB2312" w:hAnsi="Times New Roman" w:cs="仿宋_GB2312"/>
          <w:color w:val="000000"/>
          <w:sz w:val="31"/>
          <w:szCs w:val="31"/>
          <w:shd w:val="clear" w:color="auto" w:fill="FFFFFF"/>
        </w:rPr>
        <w:t>单位：省地方金融监管局</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责任单位：</w:t>
      </w:r>
      <w:r>
        <w:rPr>
          <w:rFonts w:hint="eastAsia" w:ascii="仿宋_GB2312" w:hAnsi="Times New Roman" w:cs="仿宋_GB2312"/>
          <w:color w:val="000000"/>
          <w:sz w:val="31"/>
          <w:szCs w:val="31"/>
          <w:shd w:val="clear" w:color="auto" w:fill="FFFFFF"/>
        </w:rPr>
        <w:t>各省辖市金融工作局、济源示范区财政金融局、航空港区财政审计局</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仿宋_GB2312" w:hAnsi="微软雅黑" w:cs="仿宋_GB2312"/>
          <w:color w:val="000000"/>
          <w:sz w:val="31"/>
          <w:szCs w:val="31"/>
          <w:shd w:val="clear" w:color="auto" w:fill="FFFFFF"/>
        </w:rPr>
        <w:t>时序进度</w:t>
      </w:r>
      <w:r>
        <w:rPr>
          <w:rFonts w:hint="eastAsia" w:ascii="仿宋_GB2312" w:hAnsi="Times New Roman" w:cs="仿宋_GB2312"/>
          <w:color w:val="000000"/>
          <w:sz w:val="31"/>
          <w:szCs w:val="31"/>
          <w:shd w:val="clear" w:color="auto" w:fill="FFFFFF"/>
        </w:rPr>
        <w:t>：持续推进</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黑体" w:hAnsi="宋体" w:eastAsia="黑体" w:cs="黑体"/>
          <w:color w:val="000000"/>
          <w:sz w:val="31"/>
          <w:szCs w:val="31"/>
          <w:shd w:val="clear" w:color="auto" w:fill="FFFFFF"/>
        </w:rPr>
        <w:t>八、组织实施</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ascii="楷体_GB2312" w:hAnsi="微软雅黑" w:eastAsia="楷体_GB2312" w:cs="楷体_GB2312"/>
          <w:color w:val="000000"/>
          <w:sz w:val="31"/>
          <w:szCs w:val="31"/>
          <w:shd w:val="clear" w:color="auto" w:fill="FFFFFF"/>
        </w:rPr>
        <w:t>（一）提高政治站位。</w:t>
      </w:r>
      <w:r>
        <w:rPr>
          <w:rFonts w:hint="eastAsia" w:ascii="仿宋_GB2312" w:hAnsi="微软雅黑" w:cs="仿宋_GB2312"/>
          <w:color w:val="000000"/>
          <w:sz w:val="31"/>
          <w:szCs w:val="31"/>
          <w:shd w:val="clear" w:color="auto" w:fill="FFFFFF"/>
        </w:rPr>
        <w:t>各地、各金融机构要坚决把思想和行动统一到党中央、国务院和省委、省政府决策部署上来，把坚定扛实稳住经济大盘政治责任作为捍卫“两个确立”、做到“两个维护”的具体行动，锚定目标、坚定信心，以高度的责任感和紧迫感推动各项政策举措落地见效，为稳住经济大盘提供坚实的金融支撑，以实际行动迎接党的二十大胜利召开。</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楷体_GB2312" w:hAnsi="微软雅黑" w:eastAsia="楷体_GB2312" w:cs="楷体_GB2312"/>
          <w:color w:val="000000"/>
          <w:sz w:val="31"/>
          <w:szCs w:val="31"/>
          <w:shd w:val="clear" w:color="auto" w:fill="FFFFFF"/>
        </w:rPr>
        <w:t>（二）加强组织协调。</w:t>
      </w:r>
      <w:r>
        <w:rPr>
          <w:rFonts w:hint="eastAsia" w:ascii="仿宋_GB2312" w:hAnsi="微软雅黑" w:cs="仿宋_GB2312"/>
          <w:color w:val="000000"/>
          <w:sz w:val="31"/>
          <w:szCs w:val="31"/>
          <w:shd w:val="clear" w:color="auto" w:fill="FFFFFF"/>
        </w:rPr>
        <w:t>省地方金融监管局、人民银行郑州中心支行、河南银保监局、河南证监局等部门建立工作会商机制，协调解决金融支持中的问题，重大情况及时报省政府。各地、各金融机构要严格落实责任，层层部署安排，逐条细化分解，责任到岗到人，强化跟踪协调推进，确保政策取得实效。省级部门将定期对落实情况开展调度。</w:t>
      </w:r>
    </w:p>
    <w:p>
      <w:pPr>
        <w:pStyle w:val="12"/>
        <w:widowControl/>
        <w:shd w:val="clear" w:color="auto" w:fill="FFFFFF"/>
        <w:spacing w:before="0" w:beforeAutospacing="0" w:after="0" w:afterAutospacing="0" w:line="600" w:lineRule="atLeast"/>
        <w:ind w:firstLine="645"/>
        <w:jc w:val="both"/>
        <w:textAlignment w:val="top"/>
        <w:rPr>
          <w:rFonts w:ascii="微软雅黑" w:hAnsi="微软雅黑" w:eastAsia="微软雅黑" w:cs="微软雅黑"/>
          <w:color w:val="000000"/>
          <w:szCs w:val="24"/>
        </w:rPr>
      </w:pPr>
      <w:r>
        <w:rPr>
          <w:rFonts w:hint="eastAsia" w:ascii="楷体_GB2312" w:hAnsi="微软雅黑" w:eastAsia="楷体_GB2312" w:cs="楷体_GB2312"/>
          <w:color w:val="000000"/>
          <w:sz w:val="31"/>
          <w:szCs w:val="31"/>
          <w:shd w:val="clear" w:color="auto" w:fill="FFFFFF"/>
        </w:rPr>
        <w:t>（三）强化统筹推进。</w:t>
      </w:r>
      <w:r>
        <w:rPr>
          <w:rFonts w:hint="eastAsia" w:ascii="仿宋_GB2312" w:hAnsi="微软雅黑" w:cs="仿宋_GB2312"/>
          <w:color w:val="000000"/>
          <w:sz w:val="31"/>
          <w:szCs w:val="31"/>
          <w:shd w:val="clear" w:color="auto" w:fill="FFFFFF"/>
        </w:rPr>
        <w:t>各地、各金融机构要把贯彻落实一揽子政策举措与“万人助万企”“三个一批”等结合起来，统筹谋划、统筹推进，确保政策措施精准直达相关市场主体，切实提升市场主体的金融获得感和满意度，全力支持经济社会平稳健康发展。</w:t>
      </w:r>
    </w:p>
    <w:p>
      <w:pPr>
        <w:pStyle w:val="12"/>
        <w:widowControl/>
        <w:shd w:val="clear" w:color="auto" w:fill="FFFFFF"/>
        <w:spacing w:before="0" w:beforeAutospacing="0" w:after="0" w:afterAutospacing="0" w:line="600" w:lineRule="atLeast"/>
        <w:ind w:firstLine="645"/>
        <w:jc w:val="both"/>
        <w:textAlignment w:val="top"/>
        <w:rPr>
          <w:rFonts w:ascii="仿宋_GB2312" w:hAnsi="微软雅黑" w:cs="仿宋_GB2312"/>
          <w:color w:val="000000"/>
          <w:sz w:val="31"/>
          <w:szCs w:val="31"/>
          <w:shd w:val="clear" w:color="auto" w:fill="FFFFFF"/>
        </w:rPr>
      </w:pPr>
      <w:r>
        <w:rPr>
          <w:rFonts w:hint="eastAsia" w:ascii="仿宋_GB2312" w:hAnsi="微软雅黑" w:cs="仿宋_GB2312"/>
          <w:color w:val="000000"/>
          <w:sz w:val="31"/>
          <w:szCs w:val="31"/>
          <w:shd w:val="clear" w:color="auto" w:fill="FFFFFF"/>
        </w:rPr>
        <w:t>国家出台相关政策的，遵照执行。</w:t>
      </w:r>
    </w:p>
    <w:p>
      <w:pPr>
        <w:rPr>
          <w:rFonts w:ascii="仿宋_GB2312" w:hAnsi="微软雅黑" w:eastAsia="仿宋_GB2312" w:cs="仿宋_GB2312"/>
          <w:color w:val="000000"/>
          <w:sz w:val="31"/>
          <w:szCs w:val="31"/>
          <w:shd w:val="clear" w:color="auto" w:fill="FFFFFF"/>
        </w:rPr>
      </w:pPr>
      <w:r>
        <w:rPr>
          <w:rFonts w:hint="eastAsia" w:ascii="仿宋_GB2312" w:hAnsi="微软雅黑" w:eastAsia="仿宋_GB2312" w:cs="仿宋_GB2312"/>
          <w:color w:val="000000"/>
          <w:sz w:val="31"/>
          <w:szCs w:val="31"/>
          <w:shd w:val="clear" w:color="auto" w:fill="FFFFFF"/>
        </w:rPr>
        <w:br w:type="page"/>
      </w:r>
    </w:p>
    <w:p>
      <w:pPr>
        <w:pStyle w:val="3"/>
        <w:jc w:val="center"/>
        <w:rPr>
          <w:sz w:val="44"/>
          <w:szCs w:val="44"/>
        </w:rPr>
      </w:pPr>
      <w:bookmarkStart w:id="60" w:name="_Toc12669"/>
      <w:bookmarkStart w:id="69" w:name="_GoBack"/>
      <w:bookmarkEnd w:id="69"/>
      <w:r>
        <w:rPr>
          <w:rFonts w:hint="eastAsia"/>
          <w:sz w:val="44"/>
          <w:szCs w:val="44"/>
        </w:rPr>
        <w:t>二十六、加大信贷支持力度</w:t>
      </w:r>
      <w:bookmarkEnd w:id="60"/>
    </w:p>
    <w:p>
      <w:pPr>
        <w:pStyle w:val="12"/>
        <w:widowControl/>
        <w:shd w:val="clear" w:color="auto" w:fill="FFFFFF"/>
        <w:spacing w:before="0" w:beforeAutospacing="0" w:after="0" w:afterAutospacing="0" w:line="600" w:lineRule="atLeast"/>
        <w:ind w:firstLine="645"/>
        <w:jc w:val="both"/>
        <w:textAlignment w:val="top"/>
        <w:rPr>
          <w:rFonts w:ascii="仿宋_GB2312" w:hAnsi="微软雅黑" w:cs="仿宋_GB2312"/>
          <w:color w:val="000000"/>
          <w:sz w:val="31"/>
          <w:szCs w:val="31"/>
          <w:shd w:val="clear" w:color="auto" w:fill="FFFFFF"/>
        </w:rPr>
      </w:pPr>
      <w:r>
        <w:rPr>
          <w:rFonts w:hint="eastAsia" w:ascii="仿宋_GB2312" w:hAnsi="微软雅黑" w:cs="仿宋_GB2312"/>
          <w:color w:val="000000"/>
          <w:sz w:val="31"/>
          <w:szCs w:val="31"/>
          <w:shd w:val="clear" w:color="auto" w:fill="FFFFFF"/>
        </w:rPr>
        <w:t>继续发挥好银行业机构在小微企业间接融资中的主渠道作用，通过加快产品创新、加强银企对接、拓展首贷户等，实现全市普惠型小微企业信贷“量增面扩”。全市各法人银行业机构剔除票据贴现和转贴现业务后的普惠型小微企业贷款（包括单户授信1000 万元及以下的小微企业贷款、个体工商户和小微企业主经营性贷款）实现“两增”，即普惠型小微企业贷</w:t>
      </w:r>
    </w:p>
    <w:p>
      <w:pPr>
        <w:pStyle w:val="12"/>
        <w:widowControl/>
        <w:shd w:val="clear" w:color="auto" w:fill="FFFFFF"/>
        <w:spacing w:before="0" w:beforeAutospacing="0" w:after="0" w:afterAutospacing="0" w:line="600" w:lineRule="atLeast"/>
        <w:jc w:val="both"/>
        <w:textAlignment w:val="top"/>
        <w:rPr>
          <w:rFonts w:ascii="仿宋_GB2312" w:hAnsi="微软雅黑" w:cs="仿宋_GB2312"/>
          <w:color w:val="000000"/>
          <w:sz w:val="31"/>
          <w:szCs w:val="31"/>
          <w:shd w:val="clear" w:color="auto" w:fill="FFFFFF"/>
        </w:rPr>
      </w:pPr>
      <w:r>
        <w:rPr>
          <w:rFonts w:hint="eastAsia" w:ascii="仿宋_GB2312" w:hAnsi="微软雅黑" w:cs="仿宋_GB2312"/>
          <w:color w:val="000000"/>
          <w:sz w:val="31"/>
          <w:szCs w:val="31"/>
          <w:shd w:val="clear" w:color="auto" w:fill="FFFFFF"/>
        </w:rPr>
        <w:t>款较年初增速不低于各项贷款较年初增速，有贷款余额的户数不低于年初水平；全国性商业银行分支机构完成上级行下达的普惠型小微企业信贷计划。</w:t>
      </w:r>
    </w:p>
    <w:p>
      <w:pPr>
        <w:pStyle w:val="3"/>
        <w:jc w:val="center"/>
        <w:rPr>
          <w:sz w:val="44"/>
          <w:szCs w:val="44"/>
        </w:rPr>
      </w:pPr>
      <w:bookmarkStart w:id="61" w:name="_Toc29176"/>
      <w:r>
        <w:rPr>
          <w:rFonts w:hint="eastAsia"/>
          <w:sz w:val="44"/>
          <w:szCs w:val="44"/>
        </w:rPr>
        <w:t>二十七、优化续贷金融服务</w:t>
      </w:r>
      <w:bookmarkEnd w:id="61"/>
    </w:p>
    <w:p>
      <w:pPr>
        <w:pStyle w:val="12"/>
        <w:widowControl/>
        <w:shd w:val="clear" w:color="auto" w:fill="FFFFFF"/>
        <w:spacing w:before="0" w:beforeAutospacing="0" w:after="0" w:afterAutospacing="0" w:line="600" w:lineRule="atLeast"/>
        <w:ind w:firstLine="645"/>
        <w:jc w:val="both"/>
        <w:textAlignment w:val="top"/>
        <w:rPr>
          <w:rFonts w:ascii="仿宋_GB2312" w:hAnsi="微软雅黑" w:cs="仿宋_GB2312"/>
          <w:color w:val="000000"/>
          <w:sz w:val="31"/>
          <w:szCs w:val="31"/>
          <w:shd w:val="clear" w:color="auto" w:fill="FFFFFF"/>
        </w:rPr>
      </w:pPr>
      <w:r>
        <w:rPr>
          <w:rFonts w:hint="eastAsia" w:ascii="仿宋_GB2312" w:hAnsi="微软雅黑" w:cs="仿宋_GB2312"/>
          <w:color w:val="000000"/>
          <w:sz w:val="31"/>
          <w:szCs w:val="31"/>
          <w:shd w:val="clear" w:color="auto" w:fill="FFFFFF"/>
        </w:rPr>
        <w:t>对于满足①依法合规经营；②生产经营正常，具有持续经营能力和良好的财务状况；③信用状况良好，还款能力与还款意愿强，没有挪用贷款资金、欠贷欠息等不良行为；④原流动资金周转贷款为正常类，且符合新发放流动资金周转贷款条件和标准等条件的小微企业，经银行业机构审核合格后，在原流动资金周转贷款到期前与小微企业签订新的借款合同，需要担保的签订新的担保合同，落实借款条件，通过新发放贷款结清已有贷款等形式，允许小微企业继续使用贷款资金。银行根据借款人的还款能力、正常营业收入、信用评级以及担保等因素，合理确定续贷贷款的风险分类；符合正常类标准的，划为正常类。</w:t>
      </w:r>
    </w:p>
    <w:p>
      <w:pPr>
        <w:pStyle w:val="12"/>
        <w:widowControl/>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p>
    <w:p>
      <w:pPr>
        <w:pStyle w:val="3"/>
        <w:jc w:val="center"/>
        <w:rPr>
          <w:sz w:val="44"/>
          <w:szCs w:val="44"/>
        </w:rPr>
      </w:pPr>
      <w:bookmarkStart w:id="62" w:name="_Toc28049"/>
      <w:r>
        <w:rPr>
          <w:rFonts w:hint="eastAsia"/>
          <w:sz w:val="44"/>
          <w:szCs w:val="44"/>
        </w:rPr>
        <w:t>二十八、降低企业融资成本</w:t>
      </w:r>
      <w:bookmarkEnd w:id="62"/>
    </w:p>
    <w:p>
      <w:pPr>
        <w:pStyle w:val="12"/>
        <w:widowControl/>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继续保持小微企业贷款利率定价合理水平，严格规范银行保险机构收费行为，严格执行“七不准”“四公开”以及“两禁两限”监管要求。不得以贷转存、不得存贷挂钩、不得以贷收费、不得浮费分利、不得借贷搭售、不得一浮到顶、不得转嫁成本。充分披露服务价格信息，公开收费项目、公开服务质价、公开效用功能、公开优惠政策。取消信贷环节部分收费项目和不合理条件，除银团贷款外，禁止向小微企业贷款收取承诺费、资金管理费，严格限制收取财务顾问费、咨询费。维护企业知情权、自主选择权和公平交易权，防止变相抬高小微企业融资成本，切实减轻企业负担。</w:t>
      </w:r>
    </w:p>
    <w:p>
      <w:pPr>
        <w:pStyle w:val="3"/>
        <w:jc w:val="center"/>
        <w:rPr>
          <w:sz w:val="44"/>
          <w:szCs w:val="44"/>
        </w:rPr>
      </w:pPr>
      <w:bookmarkStart w:id="63" w:name="_Toc20187"/>
      <w:r>
        <w:rPr>
          <w:rFonts w:hint="eastAsia"/>
          <w:sz w:val="44"/>
          <w:szCs w:val="44"/>
        </w:rPr>
        <w:t>二十九、突出重点分类施策</w:t>
      </w:r>
      <w:bookmarkEnd w:id="63"/>
    </w:p>
    <w:p>
      <w:pPr>
        <w:pStyle w:val="12"/>
        <w:widowControl/>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将支持制造业高质量发展作为主攻方向，对于不同行业企业坚持分类施策。促进传统产业转型升级，重点支持成长性好、内生动力足、有条件成为业内旗舰的企业发展，加强供应链金融服务。助力新兴产业发展壮大，推动企业科技创新和成果转化，通过大力发展科创金融，及时满足企业科技研发、技术改造、厂房建设、设备购置的融资及保险保障需求。对于暂时遇困、有发展前景的企业，不抽贷、压贷、断贷，进一步落实好延期还本付息政策，综合运用展期、续贷等手段支持企业贷款周转“无缝衔接”；对于规上企业及重点服务企业的有效大额融资需求，积极发展银团贷款，切实服务好制造业重大项目和重点企业。</w:t>
      </w:r>
    </w:p>
    <w:p>
      <w:pPr>
        <w:pStyle w:val="3"/>
        <w:jc w:val="center"/>
        <w:rPr>
          <w:sz w:val="44"/>
          <w:szCs w:val="44"/>
        </w:rPr>
      </w:pPr>
      <w:bookmarkStart w:id="64" w:name="_Toc19758"/>
      <w:r>
        <w:rPr>
          <w:rFonts w:hint="eastAsia"/>
          <w:sz w:val="44"/>
          <w:szCs w:val="44"/>
        </w:rPr>
        <w:t>三十、优化制造业金融服务</w:t>
      </w:r>
      <w:bookmarkEnd w:id="64"/>
    </w:p>
    <w:p>
      <w:pPr>
        <w:pStyle w:val="12"/>
        <w:widowControl/>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一）增加制造业信贷资源配置，提高制造业贷款比重。发展绿色信贷，支持制造业绿色低碳发展，促进绿色低碳技术推广应用，助力实现碳达峰、碳中和目标。加大对先进制造业、战略性新兴产业和产业链供应链自主可控的资金支持，推动全产业链优化升级和关键核心技术攻关。紧密结合制造业企业生产经营周期，合理确定融资期限，增加制造业中长期贷款投放。</w:t>
      </w:r>
    </w:p>
    <w:p>
      <w:pPr>
        <w:pStyle w:val="12"/>
        <w:widowControl/>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二）加强产品和服务创新，提高制造业金融供给质量。健全多元化金融服务，统筹运用信贷、债券融资、融资租赁等多种方式，增强综合化、个性化服务制造业能力。加强行业研究和金融创新，开发符合制造业特点和需求的金融产品，提高制造业企业金融服务获得感。推动知识产权等无形资产质押融资业务发展，加大支持制造业科技创新力度。</w:t>
      </w:r>
    </w:p>
    <w:p>
      <w:pPr>
        <w:pStyle w:val="3"/>
        <w:jc w:val="center"/>
        <w:rPr>
          <w:sz w:val="44"/>
          <w:szCs w:val="44"/>
        </w:rPr>
      </w:pPr>
      <w:bookmarkStart w:id="65" w:name="_Toc20561"/>
      <w:r>
        <w:rPr>
          <w:rFonts w:hint="eastAsia"/>
          <w:sz w:val="44"/>
          <w:szCs w:val="44"/>
        </w:rPr>
        <w:t>三十一、强化重大项目金融支持</w:t>
      </w:r>
      <w:bookmarkEnd w:id="65"/>
    </w:p>
    <w:p>
      <w:pPr>
        <w:pStyle w:val="12"/>
        <w:widowControl/>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一）加大信贷投放力度。各政策性银行、全国性商业银行要积极向省行推介河南投资环境、优惠政策和优质项目，争取省行在信贷规模、业务审批等方面给予支持；各地方法人银行业机构要充分发挥央行降准、再贷款等货币政策效应，切实加大对重大项目的信贷支持规模，为驻马店市符合贷款条件的重大项目提供融资支持。</w:t>
      </w:r>
    </w:p>
    <w:p>
      <w:pPr>
        <w:pStyle w:val="12"/>
        <w:widowControl/>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二）推进金融产品创新。各银行业金融机构要根据项目的不同特点，以及项目建设、运营等不同阶段的融资需求，积极开展信贷产品和服务创新，通过贷款、投资、债券、租赁等方式支持重大项目建设。鼓励实施银团贷款，为重大项目建设提供一揽子综合性金融服务。支持通过发展包括大型成套设备金融租赁等非信贷融资模式满足重大项目建设专项融资需求。</w:t>
      </w:r>
    </w:p>
    <w:p>
      <w:pPr>
        <w:pStyle w:val="3"/>
        <w:jc w:val="center"/>
        <w:rPr>
          <w:spacing w:val="-20"/>
          <w:sz w:val="44"/>
          <w:szCs w:val="44"/>
        </w:rPr>
      </w:pPr>
      <w:bookmarkStart w:id="66" w:name="_Toc24197"/>
      <w:r>
        <w:rPr>
          <w:spacing w:val="-20"/>
          <w:sz w:val="44"/>
          <w:szCs w:val="44"/>
        </w:rPr>
        <w:t>三十二、支持传统重点企业绿色低碳转型发展</w:t>
      </w:r>
      <w:bookmarkEnd w:id="66"/>
    </w:p>
    <w:p>
      <w:pPr>
        <w:pStyle w:val="12"/>
        <w:widowControl/>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各银行业机构要在市场化、法制化和商业可持续原则下，做好传统重点企业绿色低碳转型金融服务工作。对符合条件的企业和项目给予合理信贷支持，不盲目抽贷、断贷，保持合理信贷支持力度，优化金融资源配置，促进更多资金投向绿色低碳发展领域。对符合绿色低碳转型发展方向，具有持续经营能力和还款能力，贷款到期后仍有融资需求，但暂时存在资金困难的企业，银行业机构要按照风险可控原则，在银企双方自主协商的基础上，合理调整贷款结构、还款进度、期限等安排，提升信贷精细化管理水平。</w:t>
      </w:r>
    </w:p>
    <w:p>
      <w:pPr>
        <w:pStyle w:val="3"/>
        <w:jc w:val="center"/>
        <w:rPr>
          <w:spacing w:val="-20"/>
          <w:sz w:val="44"/>
          <w:szCs w:val="44"/>
        </w:rPr>
      </w:pPr>
      <w:bookmarkStart w:id="67" w:name="_Toc30529"/>
      <w:r>
        <w:rPr>
          <w:rFonts w:hint="eastAsia"/>
          <w:spacing w:val="-20"/>
          <w:sz w:val="44"/>
          <w:szCs w:val="44"/>
        </w:rPr>
        <w:t>三十三、联合授信支持企业发展</w:t>
      </w:r>
      <w:bookmarkEnd w:id="67"/>
    </w:p>
    <w:p>
      <w:pPr>
        <w:pStyle w:val="12"/>
        <w:widowControl/>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在坚持依法合规、市场导向、公开透明的原则下，进一步优化银企合作关系。拟对或已对同一企业（含企业集团）提供债务融资的多家银行业金融机构，通过建立信息共享机制，共同收集汇总、交叉验证企业经营和财务信息，联合评估企业的整体负债状况、实际融资需求和经营状况，改进银企合作模式，优化金融资源配置效率，提高资金使用效率，提升银行业金融服务质效和信用风险防控水平。</w:t>
      </w:r>
    </w:p>
    <w:p>
      <w:pPr>
        <w:pStyle w:val="3"/>
        <w:jc w:val="center"/>
        <w:rPr>
          <w:spacing w:val="-20"/>
          <w:sz w:val="44"/>
          <w:szCs w:val="44"/>
        </w:rPr>
      </w:pPr>
      <w:bookmarkStart w:id="68" w:name="_Toc1136"/>
      <w:r>
        <w:rPr>
          <w:rFonts w:hint="eastAsia"/>
          <w:spacing w:val="-20"/>
          <w:sz w:val="44"/>
          <w:szCs w:val="44"/>
        </w:rPr>
        <w:t>三十四、发挥债委会支持作用</w:t>
      </w:r>
      <w:bookmarkEnd w:id="68"/>
    </w:p>
    <w:p>
      <w:pPr>
        <w:pStyle w:val="12"/>
        <w:widowControl/>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t>对于发展有前景、产品有市场、符合国家产业政策的暂时遇到债务困难的实体企业，经银企充分自主协商一致后，自愿成立临时性、自律性、协商性的企业债委会。在政府的主导下，相关各方依托债委会平台，按照市场化、法治化、公平公正原则，分类施策、精准发力、共进共退，在有效保护金融债权的基础上帮扶困难企业渡过难关，缓释企业金融债务风险，助力实体经济健康可持续发展。</w:t>
      </w:r>
    </w:p>
    <w:p>
      <w:pPr>
        <w:pStyle w:val="12"/>
        <w:widowControl/>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p>
    <w:p>
      <w:pPr>
        <w:pStyle w:val="12"/>
        <w:widowControl/>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p>
    <w:p>
      <w:pPr>
        <w:pStyle w:val="12"/>
        <w:widowControl/>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p>
    <w:p>
      <w:pPr>
        <w:pStyle w:val="12"/>
        <w:widowControl/>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p>
    <w:p>
      <w:pPr>
        <w:pStyle w:val="12"/>
        <w:widowControl/>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p>
    <w:p>
      <w:pPr>
        <w:pStyle w:val="12"/>
        <w:widowControl/>
        <w:shd w:val="clear" w:color="auto" w:fill="FFFFFF"/>
        <w:spacing w:before="0" w:beforeAutospacing="0" w:after="0" w:afterAutospacing="0" w:line="315" w:lineRule="atLeast"/>
        <w:ind w:firstLine="620" w:firstLineChars="200"/>
        <w:jc w:val="both"/>
        <w:textAlignment w:val="top"/>
        <w:rPr>
          <w:rFonts w:ascii="仿宋" w:hAnsi="仿宋" w:eastAsia="仿宋" w:cs="仿宋"/>
          <w:color w:val="000000"/>
          <w:sz w:val="31"/>
          <w:szCs w:val="31"/>
          <w:shd w:val="clear" w:color="auto" w:fill="FFFFFF"/>
        </w:rPr>
      </w:pPr>
    </w:p>
    <w:p>
      <w:pPr>
        <w:rPr>
          <w:rFonts w:ascii="仿宋" w:hAnsi="仿宋" w:eastAsia="仿宋" w:cs="仿宋"/>
          <w:color w:val="000000"/>
          <w:sz w:val="31"/>
          <w:szCs w:val="31"/>
          <w:shd w:val="clear" w:color="auto" w:fill="FFFFFF"/>
        </w:rPr>
      </w:pPr>
      <w:r>
        <w:rPr>
          <w:rFonts w:hint="eastAsia" w:ascii="仿宋" w:hAnsi="仿宋" w:eastAsia="仿宋" w:cs="仿宋"/>
          <w:color w:val="000000"/>
          <w:sz w:val="31"/>
          <w:szCs w:val="31"/>
          <w:shd w:val="clear" w:color="auto" w:fill="FFFFFF"/>
        </w:rPr>
        <w:br w:type="page"/>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等线">
    <w:altName w:val="微软雅黑"/>
    <w:panose1 w:val="00000000000000000000"/>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FangSong_GB2312">
    <w:altName w:val="仿宋_GB2312"/>
    <w:panose1 w:val="02010609060101010101"/>
    <w:charset w:val="00"/>
    <w:family w:val="roman"/>
    <w:pitch w:val="default"/>
    <w:sig w:usb0="00000000" w:usb1="00000000" w:usb2="00000000" w:usb3="00000000" w:csb0="00000000" w:csb1="00000000"/>
  </w:font>
  <w:font w:name="新宋体-18030">
    <w:altName w:val="宋体"/>
    <w:panose1 w:val="00000000000000000000"/>
    <w:charset w:val="86"/>
    <w:family w:val="roman"/>
    <w:pitch w:val="default"/>
    <w:sig w:usb0="00000000" w:usb1="00000000" w:usb2="00000010" w:usb3="00000000" w:csb0="00040000" w:csb1="00000000"/>
  </w:font>
  <w:font w:name="KaiTi_GB2312">
    <w:altName w:val="楷体"/>
    <w:panose1 w:val="00000000000000000000"/>
    <w:charset w:val="00"/>
    <w:family w:val="roman"/>
    <w:pitch w:val="default"/>
    <w:sig w:usb0="00000000" w:usb1="00000000" w:usb2="00000000" w:usb3="00000000" w:csb0="00000000" w:csb1="00000000"/>
  </w:font>
  <w:font w:name="文星标宋">
    <w:altName w:val="Arial Unicode MS"/>
    <w:panose1 w:val="00000000000000000000"/>
    <w:charset w:val="86"/>
    <w:family w:val="auto"/>
    <w:pitch w:val="default"/>
    <w:sig w:usb0="00000000" w:usb1="00000000" w:usb2="00000010" w:usb3="00000000" w:csb0="00040001" w:csb1="00000000"/>
  </w:font>
  <w:font w:name="方正小标宋_GBK">
    <w:panose1 w:val="03000509000000000000"/>
    <w:charset w:val="86"/>
    <w:family w:val="script"/>
    <w:pitch w:val="default"/>
    <w:sig w:usb0="00000001" w:usb1="080E0000" w:usb2="00000000" w:usb3="00000000" w:csb0="00040000" w:csb1="00000000"/>
  </w:font>
  <w:font w:name="E-BZ">
    <w:altName w:val="Segoe Print"/>
    <w:panose1 w:val="00000000000000000000"/>
    <w:charset w:val="00"/>
    <w:family w:val="auto"/>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auto"/>
    <w:pitch w:val="default"/>
    <w:sig w:usb0="E1002EFF" w:usb1="C000605B" w:usb2="00000029" w:usb3="00000000" w:csb0="200101FF" w:csb1="20280000"/>
  </w:font>
  <w:font w:name="@楷体_GB2312">
    <w:panose1 w:val="02010609030101010101"/>
    <w:charset w:val="86"/>
    <w:family w:val="auto"/>
    <w:pitch w:val="fixed"/>
    <w:sig w:usb0="00000001" w:usb1="080E0000" w:usb2="00000000" w:usb3="00000000" w:csb0="00040000" w:csb1="00000000"/>
  </w:font>
  <w:font w:name="Cambria Math">
    <w:panose1 w:val="02040503050406030204"/>
    <w:charset w:val="00"/>
    <w:family w:val="auto"/>
    <w:pitch w:val="variable"/>
    <w:sig w:usb0="E00002FF" w:usb1="420024FF" w:usb2="00000000" w:usb3="00000000" w:csb0="2000019F" w:csb1="00000000"/>
  </w:font>
  <w:font w:name="@宋体">
    <w:panose1 w:val="02010600030101010101"/>
    <w:charset w:val="86"/>
    <w:family w:val="auto"/>
    <w:pitch w:val="variable"/>
    <w:sig w:usb0="00000003" w:usb1="288F0000" w:usb2="00000006" w:usb3="00000000" w:csb0="00040001" w:csb1="00000000"/>
  </w:font>
  <w:font w:name="@仿宋_GB2312">
    <w:panose1 w:val="02010609030101010101"/>
    <w:charset w:val="86"/>
    <w:family w:val="auto"/>
    <w:pitch w:val="fixed"/>
    <w:sig w:usb0="00000001" w:usb1="080E0000" w:usb2="00000000" w:usb3="00000000" w:csb0="00040000" w:csb1="00000000"/>
  </w:font>
  <w:font w:name="@文星标宋">
    <w:altName w:val="宋体"/>
    <w:panose1 w:val="00000000000000000000"/>
    <w:charset w:val="86"/>
    <w:family w:val="auto"/>
    <w:pitch w:val="default"/>
    <w:sig w:usb0="00000000" w:usb1="00000000" w:usb2="00000010" w:usb3="00000000" w:csb0="00040001" w:csb1="00000000"/>
  </w:font>
  <w:font w:name="Arial">
    <w:panose1 w:val="020B0604020202020204"/>
    <w:charset w:val="00"/>
    <w:family w:val="auto"/>
    <w:pitch w:val="default"/>
    <w:sig w:usb0="E0002AFF" w:usb1="C0007843" w:usb2="00000009" w:usb3="00000000" w:csb0="400001FF" w:csb1="FFFF0000"/>
  </w:font>
  <w:font w:name="Sylfaen">
    <w:panose1 w:val="010A0502050306030303"/>
    <w:charset w:val="00"/>
    <w:family w:val="auto"/>
    <w:pitch w:val="default"/>
    <w:sig w:usb0="04000687" w:usb1="00000000" w:usb2="00000000" w:usb3="00000000" w:csb0="2000009F" w:csb1="00000000"/>
  </w:font>
  <w:font w:name="Snap ITC">
    <w:panose1 w:val="04040A07060A02020202"/>
    <w:charset w:val="00"/>
    <w:family w:val="auto"/>
    <w:pitch w:val="default"/>
    <w:sig w:usb0="00000003" w:usb1="00000000" w:usb2="00000000" w:usb3="00000000" w:csb0="20000001" w:csb1="00000000"/>
  </w:font>
  <w:font w:name="Shonar Bangla">
    <w:panose1 w:val="020B0502040204020203"/>
    <w:charset w:val="00"/>
    <w:family w:val="auto"/>
    <w:pitch w:val="default"/>
    <w:sig w:usb0="00010003" w:usb1="00000000" w:usb2="00000000" w:usb3="00000000" w:csb0="00000001" w:csb1="00000000"/>
  </w:font>
  <w:font w:name="Sakkal Majalla">
    <w:panose1 w:val="02000000000000000000"/>
    <w:charset w:val="00"/>
    <w:family w:val="auto"/>
    <w:pitch w:val="default"/>
    <w:sig w:usb0="A000207F" w:usb1="C000204B" w:usb2="00000008" w:usb3="00000000" w:csb0="2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8"/>
                </w:pPr>
                <w:r>
                  <w:fldChar w:fldCharType="begin"/>
                </w:r>
                <w:r>
                  <w:instrText xml:space="preserve"> PAGE  \* MERGEFORMAT </w:instrText>
                </w:r>
                <w:r>
                  <w:fldChar w:fldCharType="separate"/>
                </w:r>
                <w:r>
                  <w:t>20</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670635"/>
    <w:multiLevelType w:val="singleLevel"/>
    <w:tmpl w:val="85670635"/>
    <w:lvl w:ilvl="0" w:tentative="0">
      <w:start w:val="1"/>
      <w:numFmt w:val="decimal"/>
      <w:suff w:val="space"/>
      <w:lvlText w:val="%1."/>
      <w:lvlJc w:val="left"/>
    </w:lvl>
  </w:abstractNum>
  <w:abstractNum w:abstractNumId="1">
    <w:nsid w:val="89892330"/>
    <w:multiLevelType w:val="singleLevel"/>
    <w:tmpl w:val="89892330"/>
    <w:lvl w:ilvl="0" w:tentative="0">
      <w:start w:val="1"/>
      <w:numFmt w:val="chineseCounting"/>
      <w:lvlText w:val="(%1)"/>
      <w:lvlJc w:val="left"/>
      <w:pPr>
        <w:tabs>
          <w:tab w:val="left" w:pos="312"/>
        </w:tabs>
      </w:pPr>
      <w:rPr>
        <w:rFonts w:hint="eastAsia"/>
      </w:rPr>
    </w:lvl>
  </w:abstractNum>
  <w:abstractNum w:abstractNumId="2">
    <w:nsid w:val="932CF93B"/>
    <w:multiLevelType w:val="singleLevel"/>
    <w:tmpl w:val="932CF93B"/>
    <w:lvl w:ilvl="0" w:tentative="0">
      <w:start w:val="1"/>
      <w:numFmt w:val="chineseCounting"/>
      <w:lvlText w:val="(%1)"/>
      <w:lvlJc w:val="left"/>
      <w:pPr>
        <w:tabs>
          <w:tab w:val="left" w:pos="312"/>
        </w:tabs>
      </w:pPr>
      <w:rPr>
        <w:rFonts w:hint="eastAsia"/>
      </w:rPr>
    </w:lvl>
  </w:abstractNum>
  <w:abstractNum w:abstractNumId="3">
    <w:nsid w:val="9EF2B53F"/>
    <w:multiLevelType w:val="singleLevel"/>
    <w:tmpl w:val="9EF2B53F"/>
    <w:lvl w:ilvl="0" w:tentative="0">
      <w:start w:val="1"/>
      <w:numFmt w:val="chineseCounting"/>
      <w:lvlText w:val="(%1)"/>
      <w:lvlJc w:val="left"/>
      <w:pPr>
        <w:tabs>
          <w:tab w:val="left" w:pos="312"/>
        </w:tabs>
      </w:pPr>
      <w:rPr>
        <w:rFonts w:hint="eastAsia"/>
      </w:rPr>
    </w:lvl>
  </w:abstractNum>
  <w:abstractNum w:abstractNumId="4">
    <w:nsid w:val="B9E944C0"/>
    <w:multiLevelType w:val="singleLevel"/>
    <w:tmpl w:val="B9E944C0"/>
    <w:lvl w:ilvl="0" w:tentative="0">
      <w:start w:val="1"/>
      <w:numFmt w:val="chineseCounting"/>
      <w:suff w:val="nothing"/>
      <w:lvlText w:val="%1、"/>
      <w:lvlJc w:val="left"/>
      <w:rPr>
        <w:rFonts w:hint="eastAsia" w:ascii="黑体" w:hAnsi="黑体" w:eastAsia="黑体" w:cs="黑体"/>
      </w:rPr>
    </w:lvl>
  </w:abstractNum>
  <w:abstractNum w:abstractNumId="5">
    <w:nsid w:val="C2988507"/>
    <w:multiLevelType w:val="singleLevel"/>
    <w:tmpl w:val="C2988507"/>
    <w:lvl w:ilvl="0" w:tentative="0">
      <w:start w:val="1"/>
      <w:numFmt w:val="chineseCounting"/>
      <w:lvlText w:val="(%1)"/>
      <w:lvlJc w:val="left"/>
      <w:pPr>
        <w:tabs>
          <w:tab w:val="left" w:pos="312"/>
        </w:tabs>
      </w:pPr>
      <w:rPr>
        <w:rFonts w:hint="eastAsia"/>
      </w:rPr>
    </w:lvl>
  </w:abstractNum>
  <w:abstractNum w:abstractNumId="6">
    <w:nsid w:val="C48CC7B8"/>
    <w:multiLevelType w:val="singleLevel"/>
    <w:tmpl w:val="C48CC7B8"/>
    <w:lvl w:ilvl="0" w:tentative="0">
      <w:start w:val="1"/>
      <w:numFmt w:val="chineseCounting"/>
      <w:suff w:val="nothing"/>
      <w:lvlText w:val="%1、"/>
      <w:lvlJc w:val="left"/>
      <w:rPr>
        <w:rFonts w:hint="eastAsia"/>
      </w:rPr>
    </w:lvl>
  </w:abstractNum>
  <w:abstractNum w:abstractNumId="7">
    <w:nsid w:val="D27BCAB2"/>
    <w:multiLevelType w:val="singleLevel"/>
    <w:tmpl w:val="D27BCAB2"/>
    <w:lvl w:ilvl="0" w:tentative="0">
      <w:start w:val="1"/>
      <w:numFmt w:val="chineseCounting"/>
      <w:lvlText w:val="(%1)"/>
      <w:lvlJc w:val="left"/>
      <w:pPr>
        <w:tabs>
          <w:tab w:val="left" w:pos="312"/>
        </w:tabs>
      </w:pPr>
      <w:rPr>
        <w:rFonts w:hint="eastAsia"/>
      </w:rPr>
    </w:lvl>
  </w:abstractNum>
  <w:abstractNum w:abstractNumId="8">
    <w:nsid w:val="D38DD704"/>
    <w:multiLevelType w:val="singleLevel"/>
    <w:tmpl w:val="D38DD704"/>
    <w:lvl w:ilvl="0" w:tentative="0">
      <w:start w:val="9"/>
      <w:numFmt w:val="chineseCounting"/>
      <w:suff w:val="nothing"/>
      <w:lvlText w:val="%1、"/>
      <w:lvlJc w:val="left"/>
      <w:rPr>
        <w:rFonts w:hint="eastAsia"/>
      </w:rPr>
    </w:lvl>
  </w:abstractNum>
  <w:abstractNum w:abstractNumId="9">
    <w:nsid w:val="D40C2A4C"/>
    <w:multiLevelType w:val="singleLevel"/>
    <w:tmpl w:val="D40C2A4C"/>
    <w:lvl w:ilvl="0" w:tentative="0">
      <w:start w:val="1"/>
      <w:numFmt w:val="decimal"/>
      <w:suff w:val="space"/>
      <w:lvlText w:val="%1."/>
      <w:lvlJc w:val="left"/>
    </w:lvl>
  </w:abstractNum>
  <w:abstractNum w:abstractNumId="10">
    <w:nsid w:val="D44EBCEE"/>
    <w:multiLevelType w:val="singleLevel"/>
    <w:tmpl w:val="D44EBCEE"/>
    <w:lvl w:ilvl="0" w:tentative="0">
      <w:start w:val="1"/>
      <w:numFmt w:val="decimal"/>
      <w:suff w:val="space"/>
      <w:lvlText w:val="%1."/>
      <w:lvlJc w:val="left"/>
      <w:pPr>
        <w:ind w:left="775" w:firstLine="0"/>
      </w:pPr>
    </w:lvl>
  </w:abstractNum>
  <w:abstractNum w:abstractNumId="11">
    <w:nsid w:val="D65BE373"/>
    <w:multiLevelType w:val="singleLevel"/>
    <w:tmpl w:val="D65BE373"/>
    <w:lvl w:ilvl="0" w:tentative="0">
      <w:start w:val="1"/>
      <w:numFmt w:val="chineseCounting"/>
      <w:lvlText w:val="(%1)"/>
      <w:lvlJc w:val="left"/>
      <w:pPr>
        <w:tabs>
          <w:tab w:val="left" w:pos="312"/>
        </w:tabs>
      </w:pPr>
      <w:rPr>
        <w:rFonts w:hint="eastAsia"/>
      </w:rPr>
    </w:lvl>
  </w:abstractNum>
  <w:abstractNum w:abstractNumId="12">
    <w:nsid w:val="D924D42E"/>
    <w:multiLevelType w:val="singleLevel"/>
    <w:tmpl w:val="D924D42E"/>
    <w:lvl w:ilvl="0" w:tentative="0">
      <w:start w:val="1"/>
      <w:numFmt w:val="chineseCounting"/>
      <w:suff w:val="nothing"/>
      <w:lvlText w:val="%1、"/>
      <w:lvlJc w:val="left"/>
      <w:pPr>
        <w:ind w:left="630" w:firstLine="0"/>
      </w:pPr>
      <w:rPr>
        <w:rFonts w:hint="eastAsia"/>
      </w:rPr>
    </w:lvl>
  </w:abstractNum>
  <w:abstractNum w:abstractNumId="13">
    <w:nsid w:val="D94B86AC"/>
    <w:multiLevelType w:val="singleLevel"/>
    <w:tmpl w:val="D94B86AC"/>
    <w:lvl w:ilvl="0" w:tentative="0">
      <w:start w:val="1"/>
      <w:numFmt w:val="decimal"/>
      <w:suff w:val="space"/>
      <w:lvlText w:val="%1."/>
      <w:lvlJc w:val="left"/>
    </w:lvl>
  </w:abstractNum>
  <w:abstractNum w:abstractNumId="14">
    <w:nsid w:val="E7C0A416"/>
    <w:multiLevelType w:val="singleLevel"/>
    <w:tmpl w:val="E7C0A416"/>
    <w:lvl w:ilvl="0" w:tentative="0">
      <w:start w:val="1"/>
      <w:numFmt w:val="chineseCounting"/>
      <w:lvlText w:val="(%1)"/>
      <w:lvlJc w:val="left"/>
      <w:pPr>
        <w:tabs>
          <w:tab w:val="left" w:pos="312"/>
        </w:tabs>
        <w:ind w:left="630" w:firstLine="0"/>
      </w:pPr>
      <w:rPr>
        <w:rFonts w:hint="eastAsia"/>
      </w:rPr>
    </w:lvl>
  </w:abstractNum>
  <w:abstractNum w:abstractNumId="15">
    <w:nsid w:val="EB93E161"/>
    <w:multiLevelType w:val="singleLevel"/>
    <w:tmpl w:val="EB93E161"/>
    <w:lvl w:ilvl="0" w:tentative="0">
      <w:start w:val="2"/>
      <w:numFmt w:val="chineseCounting"/>
      <w:lvlText w:val="(%1)"/>
      <w:lvlJc w:val="left"/>
      <w:pPr>
        <w:tabs>
          <w:tab w:val="left" w:pos="312"/>
        </w:tabs>
      </w:pPr>
      <w:rPr>
        <w:rFonts w:hint="eastAsia"/>
      </w:rPr>
    </w:lvl>
  </w:abstractNum>
  <w:abstractNum w:abstractNumId="16">
    <w:nsid w:val="F2A97905"/>
    <w:multiLevelType w:val="singleLevel"/>
    <w:tmpl w:val="F2A97905"/>
    <w:lvl w:ilvl="0" w:tentative="0">
      <w:start w:val="1"/>
      <w:numFmt w:val="chineseCounting"/>
      <w:lvlText w:val="(%1)"/>
      <w:lvlJc w:val="left"/>
      <w:pPr>
        <w:tabs>
          <w:tab w:val="left" w:pos="312"/>
        </w:tabs>
      </w:pPr>
      <w:rPr>
        <w:rFonts w:hint="eastAsia"/>
      </w:rPr>
    </w:lvl>
  </w:abstractNum>
  <w:abstractNum w:abstractNumId="17">
    <w:nsid w:val="F5D67255"/>
    <w:multiLevelType w:val="singleLevel"/>
    <w:tmpl w:val="F5D67255"/>
    <w:lvl w:ilvl="0" w:tentative="0">
      <w:start w:val="1"/>
      <w:numFmt w:val="chineseCounting"/>
      <w:lvlText w:val="(%1)"/>
      <w:lvlJc w:val="left"/>
      <w:pPr>
        <w:tabs>
          <w:tab w:val="left" w:pos="312"/>
        </w:tabs>
      </w:pPr>
      <w:rPr>
        <w:rFonts w:hint="eastAsia"/>
      </w:rPr>
    </w:lvl>
  </w:abstractNum>
  <w:abstractNum w:abstractNumId="18">
    <w:nsid w:val="FB6ED0DC"/>
    <w:multiLevelType w:val="singleLevel"/>
    <w:tmpl w:val="FB6ED0DC"/>
    <w:lvl w:ilvl="0" w:tentative="0">
      <w:start w:val="1"/>
      <w:numFmt w:val="decimal"/>
      <w:suff w:val="space"/>
      <w:lvlText w:val="%1."/>
      <w:lvlJc w:val="left"/>
    </w:lvl>
  </w:abstractNum>
  <w:abstractNum w:abstractNumId="19">
    <w:nsid w:val="123DDDAC"/>
    <w:multiLevelType w:val="singleLevel"/>
    <w:tmpl w:val="123DDDAC"/>
    <w:lvl w:ilvl="0" w:tentative="0">
      <w:start w:val="1"/>
      <w:numFmt w:val="chineseCounting"/>
      <w:lvlText w:val="(%1)"/>
      <w:lvlJc w:val="left"/>
      <w:pPr>
        <w:tabs>
          <w:tab w:val="left" w:pos="312"/>
        </w:tabs>
      </w:pPr>
      <w:rPr>
        <w:rFonts w:hint="eastAsia"/>
      </w:rPr>
    </w:lvl>
  </w:abstractNum>
  <w:abstractNum w:abstractNumId="20">
    <w:nsid w:val="1AEAB069"/>
    <w:multiLevelType w:val="singleLevel"/>
    <w:tmpl w:val="1AEAB069"/>
    <w:lvl w:ilvl="0" w:tentative="0">
      <w:start w:val="1"/>
      <w:numFmt w:val="chineseCounting"/>
      <w:lvlText w:val="(%1)"/>
      <w:lvlJc w:val="left"/>
      <w:pPr>
        <w:tabs>
          <w:tab w:val="left" w:pos="312"/>
        </w:tabs>
      </w:pPr>
      <w:rPr>
        <w:rFonts w:hint="eastAsia"/>
      </w:rPr>
    </w:lvl>
  </w:abstractNum>
  <w:abstractNum w:abstractNumId="21">
    <w:nsid w:val="320BDBFF"/>
    <w:multiLevelType w:val="singleLevel"/>
    <w:tmpl w:val="320BDBFF"/>
    <w:lvl w:ilvl="0" w:tentative="0">
      <w:start w:val="1"/>
      <w:numFmt w:val="chineseCounting"/>
      <w:suff w:val="nothing"/>
      <w:lvlText w:val="%1、"/>
      <w:lvlJc w:val="left"/>
      <w:pPr>
        <w:ind w:left="775" w:firstLine="0"/>
      </w:pPr>
      <w:rPr>
        <w:rFonts w:hint="eastAsia"/>
      </w:rPr>
    </w:lvl>
  </w:abstractNum>
  <w:abstractNum w:abstractNumId="22">
    <w:nsid w:val="3491FF51"/>
    <w:multiLevelType w:val="singleLevel"/>
    <w:tmpl w:val="3491FF51"/>
    <w:lvl w:ilvl="0" w:tentative="0">
      <w:start w:val="17"/>
      <w:numFmt w:val="chineseCounting"/>
      <w:suff w:val="nothing"/>
      <w:lvlText w:val="%1、"/>
      <w:lvlJc w:val="left"/>
      <w:rPr>
        <w:rFonts w:hint="eastAsia" w:ascii="宋体" w:hAnsi="宋体" w:eastAsia="宋体" w:cs="宋体"/>
        <w:sz w:val="44"/>
        <w:szCs w:val="44"/>
      </w:rPr>
    </w:lvl>
  </w:abstractNum>
  <w:abstractNum w:abstractNumId="23">
    <w:nsid w:val="3AF913BA"/>
    <w:multiLevelType w:val="singleLevel"/>
    <w:tmpl w:val="3AF913BA"/>
    <w:lvl w:ilvl="0" w:tentative="0">
      <w:start w:val="1"/>
      <w:numFmt w:val="chineseCounting"/>
      <w:lvlText w:val="(%1)"/>
      <w:lvlJc w:val="left"/>
      <w:pPr>
        <w:tabs>
          <w:tab w:val="left" w:pos="312"/>
        </w:tabs>
        <w:ind w:left="-10"/>
      </w:pPr>
      <w:rPr>
        <w:rFonts w:hint="eastAsia"/>
      </w:rPr>
    </w:lvl>
  </w:abstractNum>
  <w:abstractNum w:abstractNumId="24">
    <w:nsid w:val="3F56D1A5"/>
    <w:multiLevelType w:val="singleLevel"/>
    <w:tmpl w:val="3F56D1A5"/>
    <w:lvl w:ilvl="0" w:tentative="0">
      <w:start w:val="1"/>
      <w:numFmt w:val="decimal"/>
      <w:suff w:val="space"/>
      <w:lvlText w:val="%1."/>
      <w:lvlJc w:val="left"/>
    </w:lvl>
  </w:abstractNum>
  <w:abstractNum w:abstractNumId="25">
    <w:nsid w:val="55F0E14C"/>
    <w:multiLevelType w:val="singleLevel"/>
    <w:tmpl w:val="55F0E14C"/>
    <w:lvl w:ilvl="0" w:tentative="0">
      <w:start w:val="1"/>
      <w:numFmt w:val="decimal"/>
      <w:suff w:val="space"/>
      <w:lvlText w:val="%1."/>
      <w:lvlJc w:val="left"/>
    </w:lvl>
  </w:abstractNum>
  <w:abstractNum w:abstractNumId="26">
    <w:nsid w:val="63968AB4"/>
    <w:multiLevelType w:val="singleLevel"/>
    <w:tmpl w:val="63968AB4"/>
    <w:lvl w:ilvl="0" w:tentative="0">
      <w:start w:val="2"/>
      <w:numFmt w:val="chineseCounting"/>
      <w:suff w:val="space"/>
      <w:lvlText w:val="第%1篇"/>
      <w:lvlJc w:val="left"/>
      <w:rPr>
        <w:rFonts w:hint="eastAsia"/>
      </w:rPr>
    </w:lvl>
  </w:abstractNum>
  <w:abstractNum w:abstractNumId="27">
    <w:nsid w:val="63DB6C15"/>
    <w:multiLevelType w:val="singleLevel"/>
    <w:tmpl w:val="63DB6C15"/>
    <w:lvl w:ilvl="0" w:tentative="0">
      <w:start w:val="1"/>
      <w:numFmt w:val="decimal"/>
      <w:suff w:val="space"/>
      <w:lvlText w:val="%1."/>
      <w:lvlJc w:val="left"/>
    </w:lvl>
  </w:abstractNum>
  <w:abstractNum w:abstractNumId="28">
    <w:nsid w:val="672A1041"/>
    <w:multiLevelType w:val="multilevel"/>
    <w:tmpl w:val="672A1041"/>
    <w:lvl w:ilvl="0" w:tentative="0">
      <w:start w:val="1"/>
      <w:numFmt w:val="chineseCounting"/>
      <w:suff w:val="nothing"/>
      <w:lvlText w:val="（%1）"/>
      <w:lvlJc w:val="left"/>
      <w:pPr>
        <w:ind w:left="0" w:firstLine="0"/>
      </w:pPr>
      <w:rPr>
        <w:rFonts w:hint="eastAsia" w:ascii="宋体" w:hAnsi="宋体" w:eastAsia="宋体"/>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9">
    <w:nsid w:val="697E8563"/>
    <w:multiLevelType w:val="singleLevel"/>
    <w:tmpl w:val="697E8563"/>
    <w:lvl w:ilvl="0" w:tentative="0">
      <w:start w:val="1"/>
      <w:numFmt w:val="decimal"/>
      <w:suff w:val="space"/>
      <w:lvlText w:val="%1."/>
      <w:lvlJc w:val="left"/>
    </w:lvl>
  </w:abstractNum>
  <w:abstractNum w:abstractNumId="30">
    <w:nsid w:val="70DA0CF7"/>
    <w:multiLevelType w:val="singleLevel"/>
    <w:tmpl w:val="70DA0CF7"/>
    <w:lvl w:ilvl="0" w:tentative="0">
      <w:start w:val="1"/>
      <w:numFmt w:val="chineseCounting"/>
      <w:lvlText w:val="(%1)"/>
      <w:lvlJc w:val="left"/>
      <w:pPr>
        <w:tabs>
          <w:tab w:val="left" w:pos="312"/>
        </w:tabs>
      </w:pPr>
      <w:rPr>
        <w:rFonts w:hint="eastAsia"/>
      </w:rPr>
    </w:lvl>
  </w:abstractNum>
  <w:abstractNum w:abstractNumId="31">
    <w:nsid w:val="77CE5ED9"/>
    <w:multiLevelType w:val="singleLevel"/>
    <w:tmpl w:val="77CE5ED9"/>
    <w:lvl w:ilvl="0" w:tentative="0">
      <w:start w:val="2"/>
      <w:numFmt w:val="decimal"/>
      <w:lvlText w:val="%1."/>
      <w:lvlJc w:val="left"/>
      <w:pPr>
        <w:tabs>
          <w:tab w:val="left" w:pos="312"/>
        </w:tabs>
        <w:ind w:left="1620" w:firstLine="0"/>
      </w:pPr>
    </w:lvl>
  </w:abstractNum>
  <w:abstractNum w:abstractNumId="32">
    <w:nsid w:val="7A4D2A02"/>
    <w:multiLevelType w:val="multilevel"/>
    <w:tmpl w:val="7A4D2A02"/>
    <w:lvl w:ilvl="0" w:tentative="0">
      <w:start w:val="1"/>
      <w:numFmt w:val="chineseCounting"/>
      <w:suff w:val="nothing"/>
      <w:lvlText w:val="%1、"/>
      <w:lvlJc w:val="left"/>
      <w:pPr>
        <w:ind w:left="0" w:firstLine="0"/>
      </w:pPr>
      <w:rPr>
        <w:rFonts w:hint="eastAsia" w:ascii="宋体" w:hAnsi="宋体" w:eastAsia="宋体"/>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3">
    <w:nsid w:val="7EB06C63"/>
    <w:multiLevelType w:val="singleLevel"/>
    <w:tmpl w:val="7EB06C63"/>
    <w:lvl w:ilvl="0" w:tentative="0">
      <w:start w:val="4"/>
      <w:numFmt w:val="chineseCounting"/>
      <w:suff w:val="nothing"/>
      <w:lvlText w:val="%1、"/>
      <w:lvlJc w:val="left"/>
      <w:rPr>
        <w:rFonts w:hint="eastAsia"/>
      </w:r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num>
  <w:num w:numId="4">
    <w:abstractNumId w:val="8"/>
  </w:num>
  <w:num w:numId="5">
    <w:abstractNumId w:val="31"/>
  </w:num>
  <w:num w:numId="6">
    <w:abstractNumId w:val="22"/>
  </w:num>
  <w:num w:numId="7">
    <w:abstractNumId w:val="15"/>
  </w:num>
  <w:num w:numId="8">
    <w:abstractNumId w:val="6"/>
  </w:num>
  <w:num w:numId="9">
    <w:abstractNumId w:val="23"/>
  </w:num>
  <w:num w:numId="10">
    <w:abstractNumId w:val="0"/>
  </w:num>
  <w:num w:numId="11">
    <w:abstractNumId w:val="18"/>
  </w:num>
  <w:num w:numId="12">
    <w:abstractNumId w:val="5"/>
  </w:num>
  <w:num w:numId="13">
    <w:abstractNumId w:val="16"/>
  </w:num>
  <w:num w:numId="14">
    <w:abstractNumId w:val="26"/>
  </w:num>
  <w:num w:numId="15">
    <w:abstractNumId w:val="4"/>
  </w:num>
  <w:num w:numId="16">
    <w:abstractNumId w:val="20"/>
  </w:num>
  <w:num w:numId="17">
    <w:abstractNumId w:val="19"/>
  </w:num>
  <w:num w:numId="18">
    <w:abstractNumId w:val="27"/>
  </w:num>
  <w:num w:numId="19">
    <w:abstractNumId w:val="24"/>
  </w:num>
  <w:num w:numId="20">
    <w:abstractNumId w:val="9"/>
  </w:num>
  <w:num w:numId="21">
    <w:abstractNumId w:val="25"/>
  </w:num>
  <w:num w:numId="22">
    <w:abstractNumId w:val="13"/>
  </w:num>
  <w:num w:numId="23">
    <w:abstractNumId w:val="29"/>
  </w:num>
  <w:num w:numId="24">
    <w:abstractNumId w:val="10"/>
  </w:num>
  <w:num w:numId="25">
    <w:abstractNumId w:val="3"/>
  </w:num>
  <w:num w:numId="26">
    <w:abstractNumId w:val="11"/>
  </w:num>
  <w:num w:numId="27">
    <w:abstractNumId w:val="21"/>
  </w:num>
  <w:num w:numId="28">
    <w:abstractNumId w:val="2"/>
  </w:num>
  <w:num w:numId="29">
    <w:abstractNumId w:val="14"/>
  </w:num>
  <w:num w:numId="30">
    <w:abstractNumId w:val="12"/>
  </w:num>
  <w:num w:numId="31">
    <w:abstractNumId w:val="17"/>
  </w:num>
  <w:num w:numId="32">
    <w:abstractNumId w:val="30"/>
  </w:num>
  <w:num w:numId="33">
    <w:abstractNumId w:val="1"/>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doNotUseIndentAsNumberingTabStop/>
    <w:compatSetting w:name="compatibilityMode" w:uri="http://schemas.microsoft.com/office/word" w:val="12"/>
  </w:compat>
  <w:docVars>
    <w:docVar w:name="commondata" w:val="eyJoZGlkIjoiNmI4MDAzM2Y1OTYzZGY3NzIwZGE3ZmU2MDFkOWE5OWEifQ=="/>
  </w:docVars>
  <w:rsids>
    <w:rsidRoot w:val="00172A27"/>
    <w:rsid w:val="0001380B"/>
    <w:rsid w:val="000F1AD1"/>
    <w:rsid w:val="00172A27"/>
    <w:rsid w:val="001A1917"/>
    <w:rsid w:val="009A3F20"/>
    <w:rsid w:val="00A43953"/>
    <w:rsid w:val="00A809AC"/>
    <w:rsid w:val="00BD4D72"/>
    <w:rsid w:val="00D735AB"/>
    <w:rsid w:val="00F234C5"/>
    <w:rsid w:val="00FB6FE6"/>
    <w:rsid w:val="038B6862"/>
    <w:rsid w:val="09FD689E"/>
    <w:rsid w:val="0D162709"/>
    <w:rsid w:val="10D1683B"/>
    <w:rsid w:val="10E81E19"/>
    <w:rsid w:val="11E15093"/>
    <w:rsid w:val="1B013245"/>
    <w:rsid w:val="1F2A2922"/>
    <w:rsid w:val="23931F66"/>
    <w:rsid w:val="23E20D40"/>
    <w:rsid w:val="270D0281"/>
    <w:rsid w:val="2BDF1D0E"/>
    <w:rsid w:val="2BE20B88"/>
    <w:rsid w:val="2E31364C"/>
    <w:rsid w:val="305F7D9F"/>
    <w:rsid w:val="388859B9"/>
    <w:rsid w:val="3F1936FE"/>
    <w:rsid w:val="405A1A25"/>
    <w:rsid w:val="42523FC6"/>
    <w:rsid w:val="458A2D71"/>
    <w:rsid w:val="4A82495E"/>
    <w:rsid w:val="4E341CC8"/>
    <w:rsid w:val="4EDF13E6"/>
    <w:rsid w:val="55857EBD"/>
    <w:rsid w:val="55EF2A74"/>
    <w:rsid w:val="5A0B17EF"/>
    <w:rsid w:val="5AB0197A"/>
    <w:rsid w:val="67042BD4"/>
    <w:rsid w:val="68A45043"/>
    <w:rsid w:val="6B67048D"/>
    <w:rsid w:val="6D194857"/>
    <w:rsid w:val="6F850375"/>
    <w:rsid w:val="725A5153"/>
    <w:rsid w:val="785F0A27"/>
    <w:rsid w:val="7B12399A"/>
    <w:rsid w:val="7CCF581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23"/>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7"/>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6">
    <w:name w:val="Default Paragraph Font"/>
    <w:semiHidden/>
    <w:unhideWhenUsed/>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kern w:val="2"/>
      <w:sz w:val="21"/>
      <w:szCs w:val="22"/>
    </w:rPr>
    <w:tblPr>
      <w:tblCellMar>
        <w:top w:w="0" w:type="dxa"/>
        <w:left w:w="108" w:type="dxa"/>
        <w:bottom w:w="0" w:type="dxa"/>
        <w:right w:w="108" w:type="dxa"/>
      </w:tblCellMar>
    </w:tblPr>
  </w:style>
  <w:style w:type="paragraph" w:styleId="4">
    <w:name w:val="Document Map"/>
    <w:basedOn w:val="1"/>
    <w:link w:val="22"/>
    <w:qFormat/>
    <w:uiPriority w:val="0"/>
    <w:rPr>
      <w:rFonts w:ascii="宋体" w:eastAsia="宋体"/>
      <w:sz w:val="18"/>
      <w:szCs w:val="18"/>
    </w:rPr>
  </w:style>
  <w:style w:type="paragraph" w:styleId="5">
    <w:name w:val="Body Text"/>
    <w:link w:val="28"/>
    <w:qFormat/>
    <w:uiPriority w:val="0"/>
    <w:pPr>
      <w:widowControl w:val="0"/>
      <w:spacing w:after="120"/>
      <w:jc w:val="both"/>
    </w:pPr>
    <w:rPr>
      <w:rFonts w:ascii="Times New Roman" w:hAnsi="Times New Roman" w:eastAsia="仿宋_GB2312" w:cs="Times New Roman"/>
      <w:kern w:val="2"/>
      <w:sz w:val="32"/>
      <w:szCs w:val="32"/>
      <w:lang w:val="en-US" w:eastAsia="zh-CN" w:bidi="ar-SA"/>
    </w:rPr>
  </w:style>
  <w:style w:type="paragraph" w:styleId="6">
    <w:name w:val="toc 3"/>
    <w:basedOn w:val="1"/>
    <w:next w:val="1"/>
    <w:unhideWhenUsed/>
    <w:qFormat/>
    <w:uiPriority w:val="39"/>
    <w:pPr>
      <w:widowControl/>
      <w:spacing w:after="100" w:line="276" w:lineRule="auto"/>
      <w:ind w:left="440"/>
      <w:jc w:val="left"/>
    </w:pPr>
    <w:rPr>
      <w:kern w:val="0"/>
      <w:sz w:val="22"/>
      <w:szCs w:val="22"/>
    </w:rPr>
  </w:style>
  <w:style w:type="paragraph" w:styleId="7">
    <w:name w:val="Balloon Text"/>
    <w:basedOn w:val="1"/>
    <w:link w:val="25"/>
    <w:qFormat/>
    <w:uiPriority w:val="0"/>
    <w:rPr>
      <w:sz w:val="18"/>
      <w:szCs w:val="18"/>
    </w:rPr>
  </w:style>
  <w:style w:type="paragraph" w:styleId="8">
    <w:name w:val="footer"/>
    <w:basedOn w:val="1"/>
    <w:link w:val="21"/>
    <w:qFormat/>
    <w:uiPriority w:val="0"/>
    <w:pPr>
      <w:tabs>
        <w:tab w:val="center" w:pos="4153"/>
        <w:tab w:val="right" w:pos="8306"/>
      </w:tabs>
      <w:snapToGrid w:val="0"/>
      <w:jc w:val="left"/>
    </w:pPr>
    <w:rPr>
      <w:sz w:val="18"/>
      <w:szCs w:val="18"/>
    </w:rPr>
  </w:style>
  <w:style w:type="paragraph" w:styleId="9">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style>
  <w:style w:type="paragraph" w:styleId="11">
    <w:name w:val="toc 2"/>
    <w:basedOn w:val="1"/>
    <w:next w:val="1"/>
    <w:unhideWhenUsed/>
    <w:qFormat/>
    <w:uiPriority w:val="39"/>
    <w:pPr>
      <w:widowControl/>
      <w:spacing w:after="100" w:line="276" w:lineRule="auto"/>
      <w:ind w:left="220"/>
      <w:jc w:val="left"/>
    </w:pPr>
    <w:rPr>
      <w:kern w:val="0"/>
      <w:sz w:val="22"/>
      <w:szCs w:val="22"/>
    </w:rPr>
  </w:style>
  <w:style w:type="paragraph" w:styleId="12">
    <w:name w:val="Normal (Web)"/>
    <w:qFormat/>
    <w:uiPriority w:val="0"/>
    <w:pPr>
      <w:widowControl w:val="0"/>
      <w:spacing w:before="100" w:beforeAutospacing="1" w:after="100" w:afterAutospacing="1"/>
    </w:pPr>
    <w:rPr>
      <w:rFonts w:eastAsia="仿宋_GB2312" w:cs="Times New Roman" w:asciiTheme="minorHAnsi" w:hAnsiTheme="minorHAnsi"/>
      <w:sz w:val="24"/>
      <w:szCs w:val="32"/>
      <w:lang w:val="en-US" w:eastAsia="zh-CN" w:bidi="ar-SA"/>
    </w:rPr>
  </w:style>
  <w:style w:type="paragraph" w:styleId="13">
    <w:name w:val="Title"/>
    <w:basedOn w:val="1"/>
    <w:next w:val="1"/>
    <w:link w:val="26"/>
    <w:qFormat/>
    <w:uiPriority w:val="0"/>
    <w:pPr>
      <w:spacing w:before="240" w:after="60"/>
      <w:jc w:val="center"/>
      <w:outlineLvl w:val="0"/>
    </w:pPr>
    <w:rPr>
      <w:rFonts w:eastAsia="宋体" w:asciiTheme="majorHAnsi" w:hAnsiTheme="majorHAnsi" w:cstheme="majorBidi"/>
      <w:b/>
      <w:bCs/>
      <w:sz w:val="32"/>
      <w:szCs w:val="32"/>
    </w:rPr>
  </w:style>
  <w:style w:type="paragraph" w:styleId="14">
    <w:name w:val="Body Text First Indent"/>
    <w:qFormat/>
    <w:uiPriority w:val="0"/>
    <w:pPr>
      <w:widowControl w:val="0"/>
      <w:spacing w:before="100" w:beforeAutospacing="1" w:after="120"/>
      <w:ind w:firstLine="880" w:firstLineChars="200"/>
      <w:jc w:val="both"/>
    </w:pPr>
    <w:rPr>
      <w:rFonts w:ascii="等线" w:hAnsi="等线" w:eastAsia="等线" w:cs="Times New Roman"/>
      <w:kern w:val="2"/>
      <w:sz w:val="32"/>
      <w:szCs w:val="21"/>
      <w:lang w:val="en-US" w:eastAsia="zh-CN" w:bidi="ar-SA"/>
    </w:rPr>
  </w:style>
  <w:style w:type="character" w:styleId="17">
    <w:name w:val="Strong"/>
    <w:basedOn w:val="16"/>
    <w:qFormat/>
    <w:uiPriority w:val="0"/>
    <w:rPr>
      <w:b/>
    </w:rPr>
  </w:style>
  <w:style w:type="character" w:styleId="18">
    <w:name w:val="Hyperlink"/>
    <w:basedOn w:val="16"/>
    <w:unhideWhenUsed/>
    <w:qFormat/>
    <w:uiPriority w:val="99"/>
    <w:rPr>
      <w:color w:val="0563C1" w:themeColor="hyperlink"/>
      <w:u w:val="single"/>
    </w:rPr>
  </w:style>
  <w:style w:type="character" w:customStyle="1" w:styleId="19">
    <w:name w:val="15"/>
    <w:qFormat/>
    <w:uiPriority w:val="0"/>
    <w:rPr>
      <w:rFonts w:hint="default" w:ascii="Times New Roman" w:hAnsi="Times New Roman" w:cs="Times New Roman"/>
      <w:kern w:val="2"/>
      <w:sz w:val="21"/>
      <w:szCs w:val="21"/>
    </w:rPr>
  </w:style>
  <w:style w:type="character" w:customStyle="1" w:styleId="20">
    <w:name w:val="页眉 Char"/>
    <w:basedOn w:val="16"/>
    <w:link w:val="9"/>
    <w:qFormat/>
    <w:uiPriority w:val="0"/>
    <w:rPr>
      <w:rFonts w:asciiTheme="minorHAnsi" w:hAnsiTheme="minorHAnsi" w:eastAsiaTheme="minorEastAsia" w:cstheme="minorBidi"/>
      <w:kern w:val="2"/>
      <w:sz w:val="18"/>
      <w:szCs w:val="18"/>
    </w:rPr>
  </w:style>
  <w:style w:type="character" w:customStyle="1" w:styleId="21">
    <w:name w:val="页脚 Char"/>
    <w:basedOn w:val="16"/>
    <w:link w:val="8"/>
    <w:qFormat/>
    <w:uiPriority w:val="0"/>
    <w:rPr>
      <w:rFonts w:asciiTheme="minorHAnsi" w:hAnsiTheme="minorHAnsi" w:eastAsiaTheme="minorEastAsia" w:cstheme="minorBidi"/>
      <w:kern w:val="2"/>
      <w:sz w:val="18"/>
      <w:szCs w:val="18"/>
    </w:rPr>
  </w:style>
  <w:style w:type="character" w:customStyle="1" w:styleId="22">
    <w:name w:val="文档结构图 Char"/>
    <w:basedOn w:val="16"/>
    <w:link w:val="4"/>
    <w:qFormat/>
    <w:uiPriority w:val="0"/>
    <w:rPr>
      <w:rFonts w:ascii="宋体" w:hAnsiTheme="minorHAnsi" w:cstheme="minorBidi"/>
      <w:kern w:val="2"/>
      <w:sz w:val="18"/>
      <w:szCs w:val="18"/>
    </w:rPr>
  </w:style>
  <w:style w:type="character" w:customStyle="1" w:styleId="23">
    <w:name w:val="标题 1 Char"/>
    <w:basedOn w:val="16"/>
    <w:link w:val="2"/>
    <w:qFormat/>
    <w:uiPriority w:val="0"/>
    <w:rPr>
      <w:rFonts w:asciiTheme="minorHAnsi" w:hAnsiTheme="minorHAnsi" w:eastAsiaTheme="minorEastAsia" w:cstheme="minorBidi"/>
      <w:b/>
      <w:bCs/>
      <w:kern w:val="44"/>
      <w:sz w:val="44"/>
      <w:szCs w:val="44"/>
    </w:rPr>
  </w:style>
  <w:style w:type="paragraph" w:customStyle="1" w:styleId="24">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2E75B5" w:themeColor="accent1" w:themeShade="BF"/>
      <w:kern w:val="0"/>
      <w:sz w:val="28"/>
      <w:szCs w:val="28"/>
    </w:rPr>
  </w:style>
  <w:style w:type="character" w:customStyle="1" w:styleId="25">
    <w:name w:val="批注框文本 Char"/>
    <w:basedOn w:val="16"/>
    <w:link w:val="7"/>
    <w:qFormat/>
    <w:uiPriority w:val="0"/>
    <w:rPr>
      <w:rFonts w:asciiTheme="minorHAnsi" w:hAnsiTheme="minorHAnsi" w:eastAsiaTheme="minorEastAsia" w:cstheme="minorBidi"/>
      <w:kern w:val="2"/>
      <w:sz w:val="18"/>
      <w:szCs w:val="18"/>
    </w:rPr>
  </w:style>
  <w:style w:type="character" w:customStyle="1" w:styleId="26">
    <w:name w:val="标题 Char"/>
    <w:basedOn w:val="16"/>
    <w:link w:val="13"/>
    <w:qFormat/>
    <w:uiPriority w:val="0"/>
    <w:rPr>
      <w:rFonts w:asciiTheme="majorHAnsi" w:hAnsiTheme="majorHAnsi" w:cstheme="majorBidi"/>
      <w:b/>
      <w:bCs/>
      <w:kern w:val="2"/>
      <w:sz w:val="32"/>
      <w:szCs w:val="32"/>
    </w:rPr>
  </w:style>
  <w:style w:type="character" w:customStyle="1" w:styleId="27">
    <w:name w:val="标题 2 Char"/>
    <w:basedOn w:val="16"/>
    <w:link w:val="3"/>
    <w:qFormat/>
    <w:uiPriority w:val="0"/>
    <w:rPr>
      <w:rFonts w:asciiTheme="majorHAnsi" w:hAnsiTheme="majorHAnsi" w:eastAsiaTheme="majorEastAsia" w:cstheme="majorBidi"/>
      <w:b/>
      <w:bCs/>
      <w:kern w:val="2"/>
      <w:sz w:val="32"/>
      <w:szCs w:val="32"/>
    </w:rPr>
  </w:style>
  <w:style w:type="character" w:customStyle="1" w:styleId="28">
    <w:name w:val="正文文本 Char"/>
    <w:basedOn w:val="16"/>
    <w:link w:val="5"/>
    <w:qFormat/>
    <w:uiPriority w:val="0"/>
    <w:rPr>
      <w:rFonts w:hint="default" w:ascii="Calibri" w:hAnsi="Calibri" w:cs="Calibri"/>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3CE012C-4EC5-4788-A696-EF69C2882FA0}">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331</Pages>
  <Words>143612</Words>
  <Characters>145429</Characters>
  <Lines>1097</Lines>
  <Paragraphs>308</Paragraphs>
  <TotalTime>3</TotalTime>
  <ScaleCrop>false</ScaleCrop>
  <LinksUpToDate>false</LinksUpToDate>
  <CharactersWithSpaces>147966</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2023-03-28T08:31:00Z</dcterms:created>
  <dc:creator>FREVER 23</dc:creator>
  <cp:lastModifiedBy>Administrator</cp:lastModifiedBy>
  <dcterms:modified xsi:type="dcterms:W3CDTF">2023-04-11T08:18:13Z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E565903A76AA4B13A5351C91F117DA05</vt:lpwstr>
  </property>
</Properties>
</file>