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eastAsia="方正小标宋简体"/>
          <w:sz w:val="44"/>
          <w:szCs w:val="44"/>
        </w:rPr>
      </w:pPr>
      <w:bookmarkStart w:id="0" w:name="标题"/>
    </w:p>
    <w:p>
      <w:pPr>
        <w:spacing w:line="560" w:lineRule="exact"/>
        <w:jc w:val="center"/>
        <w:rPr>
          <w:rFonts w:ascii="仿宋_GB2312" w:eastAsia="仿宋_GB2312"/>
          <w:sz w:val="32"/>
          <w:szCs w:val="32"/>
        </w:rPr>
      </w:pPr>
      <w:bookmarkStart w:id="1" w:name="_GoBack"/>
      <w:bookmarkEnd w:id="1"/>
      <w:r>
        <w:rPr>
          <w:rFonts w:hint="eastAsia" w:ascii="方正小标宋简体" w:eastAsia="方正小标宋简体"/>
          <w:sz w:val="44"/>
          <w:szCs w:val="44"/>
        </w:rPr>
        <w:t>南阳市企业上市三年倍增</w:t>
      </w:r>
      <w:bookmarkEnd w:id="0"/>
      <w:r>
        <w:rPr>
          <w:rFonts w:hint="eastAsia" w:ascii="方正小标宋简体" w:eastAsia="方正小标宋简体"/>
          <w:sz w:val="44"/>
          <w:szCs w:val="44"/>
        </w:rPr>
        <w:t>行动实施方案</w:t>
      </w:r>
    </w:p>
    <w:p>
      <w:pPr>
        <w:spacing w:line="560" w:lineRule="exact"/>
        <w:ind w:firstLine="640" w:firstLineChars="200"/>
        <w:jc w:val="left"/>
        <w:rPr>
          <w:rStyle w:val="14"/>
          <w:rFonts w:hint="eastAsia" w:ascii="仿宋_GB2312" w:hAnsi="仿宋" w:eastAsia="仿宋_GB2312" w:cs="仿宋"/>
          <w:sz w:val="32"/>
          <w:szCs w:val="32"/>
        </w:rPr>
      </w:pPr>
    </w:p>
    <w:p>
      <w:pPr>
        <w:spacing w:line="560" w:lineRule="exact"/>
        <w:ind w:firstLine="640" w:firstLineChars="200"/>
        <w:jc w:val="left"/>
        <w:rPr>
          <w:rStyle w:val="14"/>
          <w:rFonts w:ascii="仿宋_GB2312" w:hAnsi="仿宋" w:eastAsia="仿宋_GB2312" w:cs="仿宋"/>
          <w:sz w:val="32"/>
          <w:szCs w:val="32"/>
        </w:rPr>
      </w:pPr>
      <w:r>
        <w:rPr>
          <w:rStyle w:val="14"/>
          <w:rFonts w:hint="eastAsia" w:ascii="仿宋_GB2312" w:hAnsi="仿宋" w:eastAsia="仿宋_GB2312" w:cs="仿宋"/>
          <w:sz w:val="32"/>
          <w:szCs w:val="32"/>
        </w:rPr>
        <w:t>为贯彻落实党中央、国务院关于资本市场改革的各项政策措施，充分发挥资本市场在促进产业转型升级、培育经济发展新动能等方面的重要作用，助推我市高水平建设省域副中心城市，特制定本方案。</w:t>
      </w:r>
    </w:p>
    <w:p>
      <w:pPr>
        <w:numPr>
          <w:ilvl w:val="0"/>
          <w:numId w:val="1"/>
        </w:numPr>
        <w:spacing w:line="560" w:lineRule="exact"/>
        <w:ind w:firstLine="640" w:firstLineChars="200"/>
        <w:rPr>
          <w:rStyle w:val="14"/>
          <w:rFonts w:ascii="黑体" w:hAnsi="黑体" w:eastAsia="黑体"/>
          <w:sz w:val="32"/>
          <w:szCs w:val="32"/>
        </w:rPr>
      </w:pPr>
      <w:r>
        <w:rPr>
          <w:rStyle w:val="14"/>
          <w:rFonts w:hint="eastAsia" w:ascii="黑体" w:hAnsi="黑体" w:eastAsia="黑体"/>
          <w:sz w:val="32"/>
          <w:szCs w:val="32"/>
        </w:rPr>
        <w:t>总体要求</w:t>
      </w:r>
    </w:p>
    <w:p>
      <w:pPr>
        <w:numPr>
          <w:ilvl w:val="0"/>
          <w:numId w:val="2"/>
        </w:numPr>
        <w:spacing w:line="560" w:lineRule="exact"/>
        <w:ind w:firstLine="640" w:firstLineChars="200"/>
        <w:rPr>
          <w:rStyle w:val="14"/>
          <w:rFonts w:ascii="楷体" w:hAnsi="楷体" w:eastAsia="楷体" w:cs="楷体"/>
          <w:sz w:val="32"/>
          <w:szCs w:val="32"/>
        </w:rPr>
      </w:pPr>
      <w:r>
        <w:rPr>
          <w:rStyle w:val="14"/>
          <w:rFonts w:hint="eastAsia" w:ascii="楷体" w:hAnsi="楷体" w:eastAsia="楷体" w:cs="楷体"/>
          <w:sz w:val="32"/>
          <w:szCs w:val="32"/>
        </w:rPr>
        <w:t>指导思想</w:t>
      </w:r>
    </w:p>
    <w:p>
      <w:pPr>
        <w:spacing w:line="560" w:lineRule="exact"/>
        <w:ind w:firstLine="640" w:firstLineChars="200"/>
        <w:rPr>
          <w:rStyle w:val="14"/>
          <w:rFonts w:ascii="仿宋_GB2312" w:hAnsi="仿宋" w:eastAsia="仿宋_GB2312"/>
          <w:sz w:val="32"/>
          <w:szCs w:val="32"/>
        </w:rPr>
      </w:pPr>
      <w:r>
        <w:rPr>
          <w:rStyle w:val="14"/>
          <w:rFonts w:hint="eastAsia" w:ascii="仿宋_GB2312" w:hAnsi="仿宋" w:eastAsia="仿宋_GB2312"/>
          <w:sz w:val="32"/>
          <w:szCs w:val="32"/>
        </w:rPr>
        <w:t>坚持以习近平新时代中国特色社会主义思想为指导，全面贯彻落实省第十一次党代会精神，锚定省委“两个确保”“十大战略”，紧紧围绕全市“一二三六十”工作布局，强化市场主体培育，加快推动企业股份制改造，促进更多企业在多层次资本市场上市挂牌，企业融资能力持续增强，助力全市产业结构优化升级和经济高质量发展。</w:t>
      </w:r>
    </w:p>
    <w:p>
      <w:pPr>
        <w:numPr>
          <w:ilvl w:val="0"/>
          <w:numId w:val="2"/>
        </w:numPr>
        <w:autoSpaceDE w:val="0"/>
        <w:spacing w:line="560" w:lineRule="exact"/>
        <w:ind w:firstLine="640" w:firstLineChars="200"/>
        <w:rPr>
          <w:rStyle w:val="14"/>
          <w:rFonts w:ascii="楷体" w:hAnsi="楷体" w:eastAsia="楷体" w:cs="楷体"/>
          <w:sz w:val="32"/>
          <w:szCs w:val="32"/>
        </w:rPr>
      </w:pPr>
      <w:r>
        <w:rPr>
          <w:rStyle w:val="14"/>
          <w:rFonts w:hint="eastAsia" w:ascii="楷体" w:hAnsi="楷体" w:eastAsia="楷体" w:cs="楷体"/>
          <w:sz w:val="32"/>
          <w:szCs w:val="32"/>
        </w:rPr>
        <w:t>工作目标</w:t>
      </w:r>
    </w:p>
    <w:p>
      <w:pPr>
        <w:autoSpaceDE w:val="0"/>
        <w:spacing w:line="560" w:lineRule="exact"/>
        <w:ind w:firstLine="640" w:firstLineChars="200"/>
        <w:rPr>
          <w:rStyle w:val="14"/>
          <w:rFonts w:ascii="仿宋_GB2312" w:hAnsi="仿宋" w:eastAsia="仿宋_GB2312"/>
          <w:sz w:val="32"/>
          <w:szCs w:val="32"/>
        </w:rPr>
      </w:pPr>
      <w:r>
        <w:rPr>
          <w:rFonts w:hint="eastAsia" w:ascii="仿宋_GB2312" w:hAnsi="仿宋" w:eastAsia="仿宋_GB2312"/>
          <w:sz w:val="32"/>
          <w:szCs w:val="32"/>
        </w:rPr>
        <w:t>自2023年起，除鸭河工区、官庄工区、卧龙综合保税区外的15个县（市、区），每年分别新增1家上市企业(指在境内外主流资本市场上市，以及在新三板挂牌)、3家完成股份制改造后备企业和3家省定重点上市后备企业，</w:t>
      </w:r>
      <w:r>
        <w:rPr>
          <w:rStyle w:val="14"/>
          <w:rFonts w:hint="eastAsia" w:ascii="仿宋_GB2312" w:hAnsi="仿宋" w:eastAsia="仿宋_GB2312"/>
          <w:sz w:val="32"/>
          <w:szCs w:val="32"/>
        </w:rPr>
        <w:t>力争</w:t>
      </w:r>
      <w:r>
        <w:rPr>
          <w:rFonts w:hint="eastAsia" w:ascii="仿宋_GB2312" w:hAnsi="仿宋" w:eastAsia="仿宋_GB2312"/>
          <w:sz w:val="32"/>
          <w:szCs w:val="32"/>
        </w:rPr>
        <w:t>“十四五”期间</w:t>
      </w:r>
      <w:r>
        <w:rPr>
          <w:rStyle w:val="14"/>
          <w:rFonts w:hint="eastAsia" w:ascii="仿宋_GB2312" w:hAnsi="仿宋" w:eastAsia="仿宋_GB2312"/>
          <w:sz w:val="32"/>
          <w:szCs w:val="32"/>
        </w:rPr>
        <w:t>，实现上市公司和新三板挂牌公司数量倍数增长。其中，邓州市、宛城区、高新区、镇平县、唐河县、南召县、桐柏县、方城县、城乡一体化示范区实现上市公司零的突破，西峡县、内乡县、淅川县、新野县、社旗县、卧龙区实现上市公司稳步增长。</w:t>
      </w:r>
    </w:p>
    <w:p>
      <w:pPr>
        <w:spacing w:line="560" w:lineRule="exact"/>
        <w:ind w:firstLine="640" w:firstLineChars="200"/>
        <w:rPr>
          <w:rStyle w:val="14"/>
          <w:rFonts w:ascii="黑体" w:hAnsi="黑体" w:eastAsia="黑体"/>
          <w:sz w:val="32"/>
          <w:szCs w:val="32"/>
        </w:rPr>
      </w:pPr>
      <w:r>
        <w:rPr>
          <w:rStyle w:val="14"/>
          <w:rFonts w:hint="eastAsia" w:ascii="黑体" w:hAnsi="黑体" w:eastAsia="黑体"/>
          <w:sz w:val="32"/>
          <w:szCs w:val="32"/>
        </w:rPr>
        <w:t>二</w:t>
      </w:r>
      <w:r>
        <w:rPr>
          <w:rStyle w:val="14"/>
          <w:rFonts w:ascii="黑体" w:hAnsi="黑体" w:eastAsia="黑体"/>
          <w:sz w:val="32"/>
          <w:szCs w:val="32"/>
        </w:rPr>
        <w:t>、</w:t>
      </w:r>
      <w:r>
        <w:rPr>
          <w:rStyle w:val="14"/>
          <w:rFonts w:hint="eastAsia" w:ascii="黑体" w:hAnsi="黑体" w:eastAsia="黑体"/>
          <w:sz w:val="32"/>
          <w:szCs w:val="32"/>
        </w:rPr>
        <w:t>重点</w:t>
      </w:r>
      <w:r>
        <w:rPr>
          <w:rStyle w:val="14"/>
          <w:rFonts w:ascii="黑体" w:hAnsi="黑体" w:eastAsia="黑体"/>
          <w:sz w:val="32"/>
          <w:szCs w:val="32"/>
        </w:rPr>
        <w:t>工</w:t>
      </w:r>
      <w:r>
        <w:rPr>
          <w:rStyle w:val="14"/>
          <w:rFonts w:hint="eastAsia" w:ascii="黑体" w:hAnsi="黑体" w:eastAsia="黑体"/>
          <w:sz w:val="32"/>
          <w:szCs w:val="32"/>
        </w:rPr>
        <w:t>作</w:t>
      </w:r>
    </w:p>
    <w:p>
      <w:pPr>
        <w:spacing w:line="560" w:lineRule="exact"/>
        <w:ind w:firstLine="640" w:firstLineChars="200"/>
        <w:rPr>
          <w:rStyle w:val="14"/>
          <w:rFonts w:ascii="楷体" w:hAnsi="楷体" w:eastAsia="楷体"/>
          <w:sz w:val="32"/>
          <w:szCs w:val="32"/>
        </w:rPr>
      </w:pPr>
      <w:r>
        <w:rPr>
          <w:rStyle w:val="14"/>
          <w:rFonts w:ascii="楷体" w:hAnsi="楷体" w:eastAsia="楷体"/>
          <w:sz w:val="32"/>
          <w:szCs w:val="32"/>
        </w:rPr>
        <w:t>（一）</w:t>
      </w:r>
      <w:r>
        <w:rPr>
          <w:rStyle w:val="14"/>
          <w:rFonts w:hint="eastAsia" w:ascii="楷体" w:hAnsi="楷体" w:eastAsia="楷体"/>
          <w:sz w:val="32"/>
          <w:szCs w:val="32"/>
        </w:rPr>
        <w:t>加强上市后备企业资源库建设</w:t>
      </w:r>
    </w:p>
    <w:p>
      <w:pPr>
        <w:spacing w:line="560" w:lineRule="exact"/>
        <w:ind w:firstLine="640" w:firstLineChars="200"/>
        <w:rPr>
          <w:rStyle w:val="14"/>
          <w:rFonts w:ascii="楷体" w:hAnsi="楷体" w:eastAsia="楷体" w:cs="楷体"/>
          <w:sz w:val="32"/>
          <w:szCs w:val="32"/>
        </w:rPr>
      </w:pPr>
      <w:r>
        <w:rPr>
          <w:rFonts w:hint="eastAsia" w:ascii="仿宋_GB2312" w:hAnsi="仿宋" w:eastAsia="仿宋_GB2312"/>
          <w:sz w:val="32"/>
        </w:rPr>
        <w:t>各行业主管部门和各县（市、区）政府（管委会）定期对本行业和辖区企业进行摸底排查，</w:t>
      </w:r>
      <w:r>
        <w:rPr>
          <w:rStyle w:val="14"/>
          <w:rFonts w:hint="eastAsia" w:ascii="仿宋_GB2312" w:hAnsi="仿宋" w:eastAsia="仿宋_GB2312"/>
          <w:sz w:val="32"/>
          <w:szCs w:val="32"/>
        </w:rPr>
        <w:t>挖掘和筛</w:t>
      </w:r>
      <w:r>
        <w:rPr>
          <w:rStyle w:val="14"/>
          <w:rFonts w:hint="eastAsia" w:ascii="仿宋_GB2312" w:hAnsi="仿宋" w:eastAsia="仿宋_GB2312" w:cs="Times New Roman"/>
          <w:sz w:val="32"/>
          <w:szCs w:val="32"/>
        </w:rPr>
        <w:t>选一批智能装备制造、信息技术、半导体、生物医药等</w:t>
      </w:r>
      <w:r>
        <w:rPr>
          <w:rFonts w:hint="eastAsia" w:ascii="仿宋_GB2312" w:hAnsi="仿宋" w:eastAsia="仿宋_GB2312"/>
          <w:sz w:val="32"/>
        </w:rPr>
        <w:t>“两高六新”（“两高”即成长性高、科技含量高;“六新”即新经济、新服务、新农业、新材料、新能源和新商业模式）、专</w:t>
      </w:r>
      <w:r>
        <w:rPr>
          <w:rStyle w:val="14"/>
          <w:rFonts w:hint="eastAsia" w:ascii="仿宋_GB2312" w:hAnsi="仿宋" w:eastAsia="仿宋_GB2312" w:cs="Times New Roman"/>
          <w:sz w:val="32"/>
          <w:szCs w:val="32"/>
        </w:rPr>
        <w:t>精特新“小巨人”、省级“专精特新”、“单项冠军”、“独角兽”等企业纳入上市后备企业资源库。市金融工作局对上市后备企业资源库实施动态管理，及时向社会公布，按照企业拟报板块及发展情况，梯次培育推进。</w:t>
      </w:r>
      <w:r>
        <w:rPr>
          <w:rStyle w:val="14"/>
          <w:rFonts w:hint="eastAsia" w:ascii="仿宋_GB2312" w:hAnsi="仿宋" w:eastAsia="仿宋_GB2312"/>
          <w:sz w:val="32"/>
          <w:szCs w:val="32"/>
        </w:rPr>
        <w:t>对入库企业，按照属地管理原则，各县（市、区）政府（管委会）要明确分包领导，逐企建立专班，制订针对性培育计划，明确专人跟进、定期走访、重点支持，实施精准培育。</w:t>
      </w:r>
      <w:r>
        <w:rPr>
          <w:rStyle w:val="14"/>
          <w:rFonts w:hint="eastAsia" w:ascii="楷体" w:hAnsi="楷体" w:eastAsia="楷体" w:cs="楷体"/>
          <w:sz w:val="32"/>
          <w:szCs w:val="32"/>
        </w:rPr>
        <w:t>（</w:t>
      </w:r>
      <w:r>
        <w:rPr>
          <w:rStyle w:val="14"/>
          <w:rFonts w:ascii="楷体" w:hAnsi="楷体" w:eastAsia="楷体" w:cs="楷体"/>
          <w:sz w:val="32"/>
          <w:szCs w:val="32"/>
        </w:rPr>
        <w:t>责任单位：市金融工作局、市发展改革委、市</w:t>
      </w:r>
      <w:r>
        <w:rPr>
          <w:rStyle w:val="14"/>
          <w:rFonts w:hint="eastAsia" w:ascii="楷体" w:hAnsi="楷体" w:eastAsia="楷体" w:cs="楷体"/>
          <w:sz w:val="32"/>
          <w:szCs w:val="32"/>
        </w:rPr>
        <w:t>工业和信息化</w:t>
      </w:r>
      <w:r>
        <w:rPr>
          <w:rStyle w:val="14"/>
          <w:rFonts w:ascii="楷体" w:hAnsi="楷体" w:eastAsia="楷体" w:cs="楷体"/>
          <w:sz w:val="32"/>
          <w:szCs w:val="32"/>
        </w:rPr>
        <w:t>局、市科技局、市农业农村局</w:t>
      </w:r>
      <w:r>
        <w:rPr>
          <w:rStyle w:val="14"/>
          <w:rFonts w:hint="eastAsia" w:ascii="楷体" w:hAnsi="楷体" w:eastAsia="楷体" w:cs="楷体"/>
          <w:sz w:val="32"/>
          <w:szCs w:val="32"/>
        </w:rPr>
        <w:t>、市中医药发展局、市商务局、</w:t>
      </w:r>
      <w:r>
        <w:rPr>
          <w:rStyle w:val="14"/>
          <w:rFonts w:ascii="楷体" w:hAnsi="楷体" w:eastAsia="楷体" w:cs="楷体"/>
          <w:sz w:val="32"/>
          <w:szCs w:val="32"/>
        </w:rPr>
        <w:t>市文化广电和旅游局</w:t>
      </w:r>
      <w:r>
        <w:rPr>
          <w:rStyle w:val="14"/>
          <w:rFonts w:hint="eastAsia" w:ascii="楷体" w:hAnsi="楷体" w:eastAsia="楷体" w:cs="楷体"/>
          <w:sz w:val="32"/>
          <w:szCs w:val="32"/>
        </w:rPr>
        <w:t>等相关市直单位</w:t>
      </w:r>
      <w:r>
        <w:rPr>
          <w:rFonts w:ascii="楷体" w:hAnsi="楷体" w:eastAsia="楷体" w:cs="楷体"/>
          <w:sz w:val="32"/>
        </w:rPr>
        <w:t>，</w:t>
      </w:r>
      <w:r>
        <w:rPr>
          <w:rStyle w:val="14"/>
          <w:rFonts w:hint="eastAsia" w:ascii="楷体" w:hAnsi="楷体" w:eastAsia="楷体" w:cs="楷体"/>
          <w:sz w:val="32"/>
          <w:szCs w:val="32"/>
        </w:rPr>
        <w:t>各县〔市、区〕政府〔管委会〕）</w:t>
      </w:r>
    </w:p>
    <w:p>
      <w:pPr>
        <w:numPr>
          <w:ilvl w:val="0"/>
          <w:numId w:val="3"/>
        </w:numPr>
        <w:spacing w:line="560" w:lineRule="exact"/>
        <w:ind w:firstLine="640"/>
        <w:rPr>
          <w:rStyle w:val="14"/>
          <w:rFonts w:ascii="楷体" w:hAnsi="楷体" w:eastAsia="楷体"/>
          <w:sz w:val="32"/>
          <w:szCs w:val="32"/>
        </w:rPr>
      </w:pPr>
      <w:r>
        <w:rPr>
          <w:rStyle w:val="14"/>
          <w:rFonts w:ascii="楷体" w:hAnsi="楷体" w:eastAsia="楷体"/>
          <w:sz w:val="32"/>
          <w:szCs w:val="32"/>
        </w:rPr>
        <w:t>加快推动企业股份制改</w:t>
      </w:r>
      <w:r>
        <w:rPr>
          <w:rStyle w:val="14"/>
          <w:rFonts w:hint="eastAsia" w:ascii="楷体" w:hAnsi="楷体" w:eastAsia="楷体"/>
          <w:sz w:val="32"/>
          <w:szCs w:val="32"/>
        </w:rPr>
        <w:t>造</w:t>
      </w:r>
    </w:p>
    <w:p>
      <w:pPr>
        <w:spacing w:line="560" w:lineRule="exact"/>
        <w:ind w:firstLine="640" w:firstLineChars="200"/>
        <w:rPr>
          <w:rStyle w:val="14"/>
          <w:rFonts w:ascii="楷体" w:hAnsi="楷体" w:eastAsia="楷体" w:cs="楷体"/>
          <w:sz w:val="32"/>
          <w:szCs w:val="32"/>
        </w:rPr>
      </w:pPr>
      <w:r>
        <w:rPr>
          <w:rStyle w:val="14"/>
          <w:rFonts w:hint="eastAsia" w:ascii="仿宋_GB2312" w:hAnsi="仿宋" w:eastAsia="仿宋_GB2312"/>
          <w:sz w:val="32"/>
          <w:szCs w:val="32"/>
        </w:rPr>
        <w:t>坚持市场导向、企业为主、政府推动，充分发挥市场在资源配置中的决定性作</w:t>
      </w:r>
      <w:r>
        <w:rPr>
          <w:rFonts w:hint="eastAsia" w:ascii="仿宋_GB2312" w:hAnsi="仿宋" w:eastAsia="仿宋_GB2312"/>
          <w:sz w:val="32"/>
        </w:rPr>
        <w:t>用，有重点、分阶段地推进企业股份制改造，打牢企业上市基础。鼓励有意向上市挂牌的新设市场主体初始登记为股份公司。各县（市、区）政府</w:t>
      </w:r>
      <w:r>
        <w:rPr>
          <w:rStyle w:val="14"/>
          <w:rFonts w:hint="eastAsia" w:ascii="仿宋_GB2312" w:hAnsi="仿宋" w:eastAsia="仿宋_GB2312"/>
          <w:sz w:val="32"/>
          <w:szCs w:val="32"/>
        </w:rPr>
        <w:t>（管委会）</w:t>
      </w:r>
      <w:r>
        <w:rPr>
          <w:rFonts w:hint="eastAsia" w:ascii="仿宋_GB2312" w:hAnsi="仿宋" w:eastAsia="仿宋_GB2312"/>
          <w:sz w:val="32"/>
        </w:rPr>
        <w:t>组织证券公司等中介机构对辖区上市后备企业集中“把脉问诊”，列出股改清单，制定股改计划，倒排时间节点，明确责任单位，规范公司治理。引导证券公司、会计师事务所、律师事务所等中介机构发挥自身专业优势，加大对企业股改、财务规范等方面的业务指导</w:t>
      </w:r>
      <w:r>
        <w:rPr>
          <w:rFonts w:ascii="仿宋" w:hAnsi="仿宋" w:eastAsia="仿宋"/>
          <w:sz w:val="32"/>
        </w:rPr>
        <w:t>。</w:t>
      </w:r>
      <w:r>
        <w:rPr>
          <w:rStyle w:val="14"/>
          <w:rFonts w:hint="eastAsia" w:ascii="楷体" w:hAnsi="楷体" w:eastAsia="楷体" w:cs="楷体"/>
          <w:sz w:val="32"/>
          <w:szCs w:val="32"/>
        </w:rPr>
        <w:t>（</w:t>
      </w:r>
      <w:r>
        <w:rPr>
          <w:rStyle w:val="14"/>
          <w:rFonts w:ascii="楷体" w:hAnsi="楷体" w:eastAsia="楷体" w:cs="楷体"/>
          <w:sz w:val="32"/>
          <w:szCs w:val="32"/>
        </w:rPr>
        <w:t>责任单位:</w:t>
      </w:r>
      <w:r>
        <w:rPr>
          <w:rStyle w:val="14"/>
          <w:rFonts w:hint="eastAsia" w:ascii="楷体" w:hAnsi="楷体" w:eastAsia="楷体" w:cs="楷体"/>
          <w:sz w:val="32"/>
          <w:szCs w:val="32"/>
        </w:rPr>
        <w:t>市工业和信息化局、市市场监督管理局、市自然资源管理局、市生态环境局、市不动产登记服务中心等相关市直单位，各县〔市、区〕政府〔管委会〕）</w:t>
      </w:r>
    </w:p>
    <w:p>
      <w:pPr>
        <w:numPr>
          <w:ilvl w:val="0"/>
          <w:numId w:val="3"/>
        </w:numPr>
        <w:spacing w:line="560" w:lineRule="exact"/>
        <w:ind w:firstLine="640"/>
        <w:rPr>
          <w:rStyle w:val="14"/>
          <w:rFonts w:ascii="楷体" w:hAnsi="楷体" w:eastAsia="楷体" w:cs="楷体"/>
          <w:sz w:val="32"/>
          <w:szCs w:val="32"/>
        </w:rPr>
      </w:pPr>
      <w:r>
        <w:rPr>
          <w:rFonts w:hint="eastAsia" w:ascii="楷体" w:hAnsi="楷体" w:eastAsia="楷体" w:cs="楷体"/>
          <w:sz w:val="32"/>
          <w:szCs w:val="32"/>
        </w:rPr>
        <w:t>加大上市培育力度</w:t>
      </w:r>
    </w:p>
    <w:p>
      <w:pPr>
        <w:spacing w:line="560" w:lineRule="exact"/>
        <w:ind w:firstLine="640" w:firstLineChars="200"/>
      </w:pPr>
      <w:r>
        <w:rPr>
          <w:rFonts w:hint="eastAsia" w:ascii="仿宋_GB2312" w:hAnsi="仿宋_GB2312" w:eastAsia="仿宋_GB2312" w:cs="仿宋_GB2312"/>
          <w:sz w:val="32"/>
          <w:szCs w:val="32"/>
        </w:rPr>
        <w:t>强化企业上市培育，指导企业规范运作。</w:t>
      </w:r>
      <w:r>
        <w:rPr>
          <w:rFonts w:hint="eastAsia" w:ascii="仿宋_GB2312" w:hAnsi="仿宋" w:eastAsia="仿宋_GB2312"/>
          <w:sz w:val="32"/>
          <w:szCs w:val="32"/>
        </w:rPr>
        <w:t>各县（市、区）政府（管委会）和行业部门每季度</w:t>
      </w:r>
      <w:r>
        <w:rPr>
          <w:rStyle w:val="14"/>
          <w:rFonts w:hint="eastAsia" w:ascii="仿宋_GB2312" w:hAnsi="仿宋" w:eastAsia="仿宋_GB2312"/>
          <w:sz w:val="32"/>
          <w:szCs w:val="32"/>
        </w:rPr>
        <w:t>开展资本市场专题培训（或业务培训）</w:t>
      </w:r>
      <w:r>
        <w:rPr>
          <w:rFonts w:hint="eastAsia" w:ascii="仿宋_GB2312" w:hAnsi="仿宋" w:eastAsia="仿宋_GB2312"/>
          <w:sz w:val="32"/>
          <w:szCs w:val="32"/>
        </w:rPr>
        <w:t>不少于1次</w:t>
      </w:r>
      <w:r>
        <w:rPr>
          <w:rStyle w:val="14"/>
          <w:rFonts w:hint="eastAsia" w:ascii="仿宋_GB2312" w:hAnsi="仿宋" w:eastAsia="仿宋_GB2312"/>
          <w:sz w:val="32"/>
          <w:szCs w:val="32"/>
        </w:rPr>
        <w:t>，组织重点上市后备企业集中走进证券交易所，实地感受上市氛围，提升企业上市认识，精准把握当前政策形势，合理规划上市路径。积极联系证券交易所、证券公司等机构，通过上门服务、点面结合、面对面交流等形式，激发企业在多层次资本市场挂牌上市和直接融资的积极性，不断提高企业的资本市场运作能力和市场竞争力。</w:t>
      </w:r>
      <w:r>
        <w:rPr>
          <w:rFonts w:hint="eastAsia" w:ascii="仿宋_GB2312" w:hAnsi="仿宋_GB2312" w:eastAsia="仿宋_GB2312" w:cs="仿宋_GB2312"/>
          <w:sz w:val="32"/>
          <w:szCs w:val="32"/>
        </w:rPr>
        <w:t>鼓励有上市条件的企业根据自身情况选择合适的资本市场板块，鼓励暂不符合上市条件的企业在新三板挂牌，鼓励外向型企业在境外资本市场上市。积极引进与县（市、区）产业关联度高、互补性强的市外企业并推动扶持其上市。（</w:t>
      </w:r>
      <w:r>
        <w:rPr>
          <w:rStyle w:val="14"/>
          <w:rFonts w:ascii="楷体" w:hAnsi="楷体" w:eastAsia="楷体" w:cs="楷体"/>
          <w:sz w:val="32"/>
          <w:szCs w:val="32"/>
        </w:rPr>
        <w:t>责任单位：</w:t>
      </w:r>
      <w:r>
        <w:rPr>
          <w:rStyle w:val="14"/>
          <w:rFonts w:hint="eastAsia" w:ascii="楷体" w:hAnsi="楷体" w:eastAsia="楷体" w:cs="楷体"/>
          <w:sz w:val="32"/>
          <w:szCs w:val="32"/>
        </w:rPr>
        <w:t>各县〔市、区〕政府〔管委会〕、</w:t>
      </w:r>
      <w:r>
        <w:rPr>
          <w:rStyle w:val="14"/>
          <w:rFonts w:ascii="楷体" w:hAnsi="楷体" w:eastAsia="楷体" w:cs="楷体"/>
          <w:sz w:val="32"/>
          <w:szCs w:val="32"/>
        </w:rPr>
        <w:t>市金融工作局、市发展改革委</w:t>
      </w:r>
      <w:r>
        <w:rPr>
          <w:rStyle w:val="14"/>
          <w:rFonts w:hint="eastAsia" w:ascii="楷体" w:hAnsi="楷体" w:eastAsia="楷体" w:cs="楷体"/>
          <w:sz w:val="32"/>
          <w:szCs w:val="32"/>
        </w:rPr>
        <w:t>、</w:t>
      </w:r>
      <w:r>
        <w:rPr>
          <w:rStyle w:val="14"/>
          <w:rFonts w:ascii="楷体" w:hAnsi="楷体" w:eastAsia="楷体" w:cs="楷体"/>
          <w:sz w:val="32"/>
          <w:szCs w:val="32"/>
        </w:rPr>
        <w:t>市</w:t>
      </w:r>
      <w:r>
        <w:rPr>
          <w:rStyle w:val="14"/>
          <w:rFonts w:hint="eastAsia" w:ascii="楷体" w:hAnsi="楷体" w:eastAsia="楷体" w:cs="楷体"/>
          <w:sz w:val="32"/>
          <w:szCs w:val="32"/>
        </w:rPr>
        <w:t>工业和信息化</w:t>
      </w:r>
      <w:r>
        <w:rPr>
          <w:rStyle w:val="14"/>
          <w:rFonts w:ascii="楷体" w:hAnsi="楷体" w:eastAsia="楷体" w:cs="楷体"/>
          <w:sz w:val="32"/>
          <w:szCs w:val="32"/>
        </w:rPr>
        <w:t>局、市科技局、市商务局</w:t>
      </w:r>
      <w:r>
        <w:rPr>
          <w:rStyle w:val="14"/>
          <w:rFonts w:hint="eastAsia" w:ascii="楷体" w:hAnsi="楷体" w:eastAsia="楷体" w:cs="楷体"/>
          <w:sz w:val="32"/>
          <w:szCs w:val="32"/>
        </w:rPr>
        <w:t>、</w:t>
      </w:r>
      <w:r>
        <w:rPr>
          <w:rStyle w:val="14"/>
          <w:rFonts w:ascii="楷体" w:hAnsi="楷体" w:eastAsia="楷体" w:cs="楷体"/>
          <w:sz w:val="32"/>
          <w:szCs w:val="32"/>
        </w:rPr>
        <w:t>市农业农村局</w:t>
      </w:r>
      <w:r>
        <w:rPr>
          <w:rStyle w:val="14"/>
          <w:rFonts w:hint="eastAsia" w:ascii="楷体" w:hAnsi="楷体" w:eastAsia="楷体" w:cs="楷体"/>
          <w:sz w:val="32"/>
          <w:szCs w:val="32"/>
        </w:rPr>
        <w:t>、市中医药发展局）</w:t>
      </w:r>
    </w:p>
    <w:p>
      <w:pPr>
        <w:numPr>
          <w:ilvl w:val="0"/>
          <w:numId w:val="3"/>
        </w:numPr>
        <w:spacing w:line="560" w:lineRule="exact"/>
        <w:ind w:firstLine="640"/>
        <w:rPr>
          <w:rStyle w:val="14"/>
          <w:rFonts w:ascii="楷体" w:hAnsi="楷体" w:eastAsia="楷体"/>
          <w:sz w:val="32"/>
          <w:szCs w:val="32"/>
        </w:rPr>
      </w:pPr>
      <w:r>
        <w:rPr>
          <w:rStyle w:val="14"/>
          <w:rFonts w:hint="eastAsia" w:ascii="楷体" w:hAnsi="楷体" w:eastAsia="楷体"/>
          <w:sz w:val="32"/>
          <w:szCs w:val="32"/>
        </w:rPr>
        <w:t>提升“绿色通道”服务质效</w:t>
      </w:r>
    </w:p>
    <w:p>
      <w:pPr>
        <w:spacing w:line="560" w:lineRule="exact"/>
        <w:ind w:firstLine="640" w:firstLineChars="200"/>
        <w:rPr>
          <w:rStyle w:val="14"/>
          <w:rFonts w:ascii="楷体" w:hAnsi="楷体" w:eastAsia="楷体" w:cs="楷体"/>
          <w:sz w:val="32"/>
          <w:szCs w:val="32"/>
        </w:rPr>
      </w:pPr>
      <w:r>
        <w:rPr>
          <w:rStyle w:val="14"/>
          <w:rFonts w:hint="eastAsia" w:ascii="仿宋_GB2312" w:hAnsi="仿宋" w:eastAsia="仿宋_GB2312"/>
          <w:sz w:val="32"/>
          <w:szCs w:val="32"/>
        </w:rPr>
        <w:t>各级各部门要主动履职尽责，落实企业上市“绿色通道”制度，</w:t>
      </w:r>
      <w:r>
        <w:rPr>
          <w:rStyle w:val="14"/>
          <w:rFonts w:hint="eastAsia" w:ascii="仿宋_GB2312" w:hAnsi="仿宋" w:eastAsia="仿宋_GB2312" w:cs="Times New Roman"/>
          <w:sz w:val="32"/>
          <w:szCs w:val="32"/>
        </w:rPr>
        <w:t>建立线上线下协同服务模式，帮助企业对接投资机构、资本市场中介机构和证券交易所，协调解决企业上市过程中遇到的合规性证明开具、资产权属确认、政策落实等问题。对企业改制上市过程中涉及的土地房产确权、股权纠纷、证照补办、历史欠款、行政许可衔接等问题，按照“一事一议”“一企一策”原则协调解决，简化办事程序，提高办事效率，避免影响上市进程。</w:t>
      </w:r>
      <w:r>
        <w:rPr>
          <w:rFonts w:hint="eastAsia" w:ascii="仿宋_GB2312" w:hAnsi="仿宋" w:eastAsia="仿宋_GB2312"/>
          <w:sz w:val="32"/>
        </w:rPr>
        <w:t>各级行政执法部门履职过程中，对上市后备企业进行相关检查时，若发现企业出现轻微违法行为苗头的，要提醒督促其整改完善，谨慎处理，避免因处罚形成企业上市的实质性障碍。</w:t>
      </w:r>
      <w:r>
        <w:rPr>
          <w:rStyle w:val="14"/>
          <w:rFonts w:hint="eastAsia" w:ascii="楷体" w:hAnsi="楷体" w:eastAsia="楷体" w:cs="楷体"/>
          <w:sz w:val="32"/>
          <w:szCs w:val="32"/>
        </w:rPr>
        <w:t>（责任单位：市金融工作局、市发展改革委、市工业和信息化局、市财政局、市人力资源和社会保障局、市应急管理局、市公安局、市中级人民法院、市自然资源和规划局、市生态环境局、市住房和城乡建设局、市不动产登记服务中心、国家税务总局南阳市税务局、市城市管理局、市市场监督管理局、市住房公积金管理中心、市科技局、人行南阳市中心支行、南阳银保监分局、南阳海关,各县〔市、区〕政府〔管委会〕）</w:t>
      </w:r>
    </w:p>
    <w:p>
      <w:pPr>
        <w:spacing w:line="560" w:lineRule="exact"/>
        <w:ind w:firstLine="640" w:firstLineChars="200"/>
        <w:rPr>
          <w:rStyle w:val="14"/>
          <w:rFonts w:ascii="楷体" w:hAnsi="楷体" w:eastAsia="楷体"/>
          <w:sz w:val="32"/>
          <w:szCs w:val="32"/>
        </w:rPr>
      </w:pPr>
      <w:r>
        <w:rPr>
          <w:rStyle w:val="14"/>
          <w:rFonts w:ascii="楷体" w:hAnsi="楷体" w:eastAsia="楷体"/>
          <w:sz w:val="32"/>
          <w:szCs w:val="32"/>
        </w:rPr>
        <w:t>（</w:t>
      </w:r>
      <w:r>
        <w:rPr>
          <w:rStyle w:val="14"/>
          <w:rFonts w:hint="eastAsia" w:ascii="楷体" w:hAnsi="楷体" w:eastAsia="楷体"/>
          <w:sz w:val="32"/>
          <w:szCs w:val="32"/>
        </w:rPr>
        <w:t>五</w:t>
      </w:r>
      <w:r>
        <w:rPr>
          <w:rStyle w:val="14"/>
          <w:rFonts w:ascii="楷体" w:hAnsi="楷体" w:eastAsia="楷体"/>
          <w:sz w:val="32"/>
          <w:szCs w:val="32"/>
        </w:rPr>
        <w:t>）</w:t>
      </w:r>
      <w:r>
        <w:rPr>
          <w:rStyle w:val="14"/>
          <w:rFonts w:hint="eastAsia" w:ascii="楷体" w:hAnsi="楷体" w:eastAsia="楷体"/>
          <w:sz w:val="32"/>
          <w:szCs w:val="32"/>
        </w:rPr>
        <w:t>加大企业上市挂牌奖励力度</w:t>
      </w:r>
    </w:p>
    <w:p>
      <w:pPr>
        <w:ind w:firstLine="640" w:firstLineChars="200"/>
        <w:rPr>
          <w:rStyle w:val="14"/>
          <w:rFonts w:ascii="Calibri" w:hAnsi="Calibri" w:eastAsia="宋体" w:cs="Times New Roman"/>
          <w:szCs w:val="21"/>
        </w:rPr>
      </w:pPr>
      <w:r>
        <w:rPr>
          <w:rStyle w:val="15"/>
          <w:rFonts w:hint="eastAsia" w:ascii="仿宋_GB2312" w:hAnsi="仿宋" w:eastAsia="仿宋_GB2312"/>
          <w:kern w:val="0"/>
          <w:sz w:val="32"/>
          <w:szCs w:val="32"/>
        </w:rPr>
        <w:t>对注册地在我市的企业，申请</w:t>
      </w:r>
      <w:r>
        <w:rPr>
          <w:rStyle w:val="15"/>
          <w:rFonts w:hint="eastAsia" w:ascii="仿宋_GB2312" w:hAnsi="仿宋" w:eastAsia="仿宋_GB2312"/>
          <w:sz w:val="32"/>
          <w:szCs w:val="32"/>
        </w:rPr>
        <w:t>在上海、深圳、北京证券交易所首次公开发行股票并上市的，按照河南证监局辅导备案登记、中国证监会（证券交易所）受理申报、上市交易三个节点，给予一次性200万元、300万元（因北京证券交易所上市的前提是在新三板挂牌满12个月的创新层企业，为避免重复奖励，通过北京证券交易所受理申报的企业在该阶段仅给予220万元奖励）、100万元奖励。对在境外主流资本市场上市并实现融资的企业，给予一次性200万元奖励。对在全国中小企业股份转让系统（新三板）基础层挂牌的企业，给予一次性80万元奖励。对在中原股权交易中心交易板挂牌的企业，给予一次性20万元奖励。对在南阳行政区域之外的境内上市公司迁址我市并完成工商登记、纳税登记变更的企业，给予一次性300万元奖励。鼓励各县（市、区）依据自身情况，提升完善奖补政策。</w:t>
      </w:r>
      <w:r>
        <w:rPr>
          <w:rStyle w:val="14"/>
          <w:rFonts w:hint="eastAsia" w:ascii="仿宋_GB2312" w:hAnsi="仿宋" w:eastAsia="仿宋_GB2312"/>
          <w:sz w:val="32"/>
          <w:szCs w:val="32"/>
        </w:rPr>
        <w:t>（</w:t>
      </w:r>
      <w:r>
        <w:rPr>
          <w:rStyle w:val="14"/>
          <w:rFonts w:hint="eastAsia" w:ascii="楷体" w:hAnsi="楷体" w:eastAsia="楷体" w:cs="楷体"/>
          <w:sz w:val="32"/>
          <w:szCs w:val="32"/>
        </w:rPr>
        <w:t>责任单位：市金融工作局、市财政局、各县〔市、区〕政府〔管委会〕）</w:t>
      </w:r>
    </w:p>
    <w:p>
      <w:pPr>
        <w:spacing w:line="560" w:lineRule="exact"/>
        <w:ind w:firstLine="640" w:firstLineChars="200"/>
        <w:rPr>
          <w:rStyle w:val="14"/>
          <w:rFonts w:ascii="楷体" w:hAnsi="楷体" w:eastAsia="楷体" w:cs="楷体"/>
          <w:sz w:val="32"/>
          <w:szCs w:val="32"/>
        </w:rPr>
      </w:pPr>
      <w:r>
        <w:rPr>
          <w:rStyle w:val="14"/>
          <w:rFonts w:ascii="楷体" w:hAnsi="楷体" w:eastAsia="楷体"/>
          <w:sz w:val="32"/>
          <w:szCs w:val="32"/>
        </w:rPr>
        <w:t>（</w:t>
      </w:r>
      <w:r>
        <w:rPr>
          <w:rStyle w:val="14"/>
          <w:rFonts w:hint="eastAsia" w:ascii="楷体" w:hAnsi="楷体" w:eastAsia="楷体"/>
          <w:sz w:val="32"/>
          <w:szCs w:val="32"/>
        </w:rPr>
        <w:t>六</w:t>
      </w:r>
      <w:r>
        <w:rPr>
          <w:rStyle w:val="14"/>
          <w:rFonts w:ascii="楷体" w:hAnsi="楷体" w:eastAsia="楷体"/>
          <w:sz w:val="32"/>
          <w:szCs w:val="32"/>
        </w:rPr>
        <w:t>）</w:t>
      </w:r>
      <w:r>
        <w:rPr>
          <w:rStyle w:val="14"/>
          <w:rFonts w:hint="eastAsia" w:ascii="楷体" w:hAnsi="楷体" w:eastAsia="楷体" w:cs="楷体"/>
          <w:sz w:val="32"/>
          <w:szCs w:val="32"/>
        </w:rPr>
        <w:t>强化税收支持</w:t>
      </w:r>
    </w:p>
    <w:p>
      <w:pPr>
        <w:spacing w:line="560" w:lineRule="exact"/>
        <w:ind w:firstLine="640" w:firstLineChars="200"/>
        <w:rPr>
          <w:rStyle w:val="14"/>
          <w:rFonts w:ascii="楷体" w:hAnsi="楷体" w:eastAsia="楷体" w:cs="楷体"/>
          <w:sz w:val="32"/>
          <w:szCs w:val="32"/>
        </w:rPr>
      </w:pPr>
      <w:r>
        <w:rPr>
          <w:rStyle w:val="14"/>
          <w:rFonts w:hint="eastAsia" w:ascii="仿宋_GB2312" w:hAnsi="仿宋" w:eastAsia="仿宋_GB2312" w:cs="Times New Roman"/>
          <w:sz w:val="32"/>
          <w:szCs w:val="32"/>
        </w:rPr>
        <w:t>企业在上市股改过程中以未分配利润、资本公积和盈余公积转增注册资本，产生的个人所得税由受益财政视财力给予企业相应的奖励；企业在上市股改过程中因优化股权结构，以引进战略投资等方式转让股权而产生的企业所得税由受益财政视财力给予企业相应的奖励；企业在上市股改过程中，因正常调整以前年度应纳税所得额而增加的企业税收地方留成部分由受益财政视财力给予企业相应的奖励。</w:t>
      </w:r>
      <w:r>
        <w:rPr>
          <w:rStyle w:val="14"/>
          <w:rFonts w:hint="eastAsia" w:ascii="楷体" w:hAnsi="楷体" w:eastAsia="楷体" w:cs="楷体"/>
          <w:sz w:val="32"/>
          <w:szCs w:val="32"/>
        </w:rPr>
        <w:t>（责任单位：市财政局、国家税务总局南阳市税务局、各县〔市、区〕政府〔管委会〕）</w:t>
      </w:r>
    </w:p>
    <w:p>
      <w:pPr>
        <w:pStyle w:val="2"/>
        <w:numPr>
          <w:ilvl w:val="0"/>
          <w:numId w:val="4"/>
        </w:numPr>
        <w:spacing w:after="0" w:line="560" w:lineRule="exact"/>
        <w:ind w:firstLine="640"/>
        <w:rPr>
          <w:rStyle w:val="14"/>
          <w:rFonts w:ascii="楷体" w:hAnsi="楷体" w:eastAsia="楷体" w:cs="Times New Roman"/>
          <w:sz w:val="32"/>
          <w:szCs w:val="32"/>
        </w:rPr>
      </w:pPr>
      <w:r>
        <w:rPr>
          <w:rStyle w:val="14"/>
          <w:rFonts w:hint="eastAsia" w:ascii="楷体" w:hAnsi="楷体" w:eastAsia="楷体" w:cs="Times New Roman"/>
          <w:sz w:val="32"/>
          <w:szCs w:val="32"/>
        </w:rPr>
        <w:t>加强金融综合服务</w:t>
      </w:r>
    </w:p>
    <w:p>
      <w:pPr>
        <w:autoSpaceDE w:val="0"/>
        <w:spacing w:line="560" w:lineRule="exact"/>
        <w:ind w:firstLine="640" w:firstLineChars="200"/>
        <w:rPr>
          <w:rStyle w:val="14"/>
          <w:rFonts w:ascii="楷体" w:hAnsi="楷体" w:eastAsia="楷体" w:cs="楷体"/>
          <w:sz w:val="32"/>
          <w:szCs w:val="32"/>
        </w:rPr>
      </w:pPr>
      <w:r>
        <w:rPr>
          <w:rStyle w:val="14"/>
          <w:rFonts w:hint="eastAsia" w:ascii="仿宋_GB2312" w:hAnsi="仿宋" w:eastAsia="仿宋_GB2312"/>
          <w:sz w:val="32"/>
          <w:szCs w:val="32"/>
        </w:rPr>
        <w:t>鼓励银行、融资担保、信用增进等机构为上市后备企业提供综合金融服务，拓宽融资渠道，降低融资成本。支持银行业金融机构在风险可控前提下，对上市后备企业制定综合融资方案，开展灵活多样的组合融资，创新金融产品和服务模式，重点</w:t>
      </w:r>
      <w:r>
        <w:rPr>
          <w:rStyle w:val="14"/>
          <w:rFonts w:hint="eastAsia" w:ascii="仿宋_GB2312" w:hAnsi="仿宋" w:eastAsia="仿宋_GB2312" w:cs="Times New Roman"/>
          <w:sz w:val="32"/>
          <w:szCs w:val="32"/>
        </w:rPr>
        <w:t>对“专精特新”和“小巨人”企业，开展银行直贷、银担合作和投贷联动等信用类金融服务，满足企业不同阶段的资金需求。</w:t>
      </w:r>
      <w:r>
        <w:rPr>
          <w:rFonts w:hint="eastAsia" w:ascii="仿宋_GB2312" w:hAnsi="仿宋" w:eastAsia="仿宋_GB2312"/>
          <w:sz w:val="32"/>
        </w:rPr>
        <w:t>各县（市、区）政府</w:t>
      </w:r>
      <w:r>
        <w:rPr>
          <w:rStyle w:val="14"/>
          <w:rFonts w:hint="eastAsia" w:ascii="仿宋_GB2312" w:hAnsi="仿宋" w:eastAsia="仿宋_GB2312"/>
          <w:sz w:val="32"/>
          <w:szCs w:val="32"/>
        </w:rPr>
        <w:t>（管委会）</w:t>
      </w:r>
      <w:r>
        <w:rPr>
          <w:rFonts w:hint="eastAsia" w:ascii="仿宋_GB2312" w:hAnsi="仿宋" w:eastAsia="仿宋_GB2312"/>
          <w:sz w:val="32"/>
        </w:rPr>
        <w:t>要积极推动融资担保机构与银行业金融机构合作，开展以上市后备企业为主要服务对象的转贷款、担保贷款等业务，引导政府性融资担保机构将平均担保费率降至1%以下，放宽反担保要求。</w:t>
      </w:r>
      <w:r>
        <w:rPr>
          <w:rStyle w:val="14"/>
          <w:rFonts w:hint="eastAsia" w:ascii="仿宋_GB2312" w:hAnsi="仿宋" w:eastAsia="仿宋_GB2312"/>
          <w:sz w:val="32"/>
          <w:szCs w:val="32"/>
        </w:rPr>
        <w:t>支持社会资本设立股权投资基金，邀请私募股权投资机构到我市投资，助力企业加速上市。（</w:t>
      </w:r>
      <w:r>
        <w:rPr>
          <w:rStyle w:val="14"/>
          <w:rFonts w:hint="eastAsia" w:ascii="楷体" w:hAnsi="楷体" w:eastAsia="楷体" w:cs="楷体"/>
          <w:sz w:val="32"/>
          <w:szCs w:val="32"/>
        </w:rPr>
        <w:t>责任单位：市金融工作局、市财政局、市工业和信息化局、市发展改革委、人行南阳市中心支行、南阳银保监分局）</w:t>
      </w:r>
    </w:p>
    <w:p>
      <w:pPr>
        <w:numPr>
          <w:ilvl w:val="0"/>
          <w:numId w:val="4"/>
        </w:numPr>
        <w:spacing w:line="560" w:lineRule="exact"/>
        <w:ind w:firstLine="640" w:firstLineChars="200"/>
        <w:rPr>
          <w:rStyle w:val="14"/>
          <w:rFonts w:ascii="楷体" w:hAnsi="楷体" w:eastAsia="楷体"/>
          <w:sz w:val="32"/>
          <w:szCs w:val="32"/>
        </w:rPr>
      </w:pPr>
      <w:r>
        <w:rPr>
          <w:rStyle w:val="14"/>
          <w:rFonts w:ascii="楷体" w:hAnsi="楷体" w:eastAsia="楷体"/>
          <w:sz w:val="32"/>
          <w:szCs w:val="32"/>
        </w:rPr>
        <w:t>发挥中介机构专业</w:t>
      </w:r>
      <w:r>
        <w:rPr>
          <w:rStyle w:val="14"/>
          <w:rFonts w:hint="eastAsia" w:ascii="楷体" w:hAnsi="楷体" w:eastAsia="楷体"/>
          <w:sz w:val="32"/>
          <w:szCs w:val="32"/>
        </w:rPr>
        <w:t>优势</w:t>
      </w:r>
    </w:p>
    <w:p>
      <w:pPr>
        <w:spacing w:line="560" w:lineRule="exact"/>
        <w:ind w:firstLine="640" w:firstLineChars="200"/>
        <w:rPr>
          <w:rStyle w:val="14"/>
          <w:rFonts w:ascii="楷体" w:hAnsi="楷体" w:eastAsia="楷体" w:cs="楷体"/>
          <w:sz w:val="32"/>
          <w:szCs w:val="32"/>
        </w:rPr>
      </w:pPr>
      <w:r>
        <w:rPr>
          <w:rStyle w:val="14"/>
          <w:rFonts w:hint="eastAsia" w:ascii="仿宋_GB2312" w:hAnsi="仿宋" w:eastAsia="仿宋_GB2312"/>
          <w:sz w:val="32"/>
          <w:szCs w:val="32"/>
        </w:rPr>
        <w:t>与证券公司、会计师事务所、律师事务所等中介机构建立紧密合作机制，制作中介机构联系手册，增大上市后备企业选择空间，推动成熟企业与中介机构优质资源的高效匹配。建立证券等中介机构执业评价机制，完善资本市场服务专家库，采用问题通报、公布黑名单和正向激励等形式，督促中介机构严格履行核查验证、专业把关等法定职责，为企业上市提供高质量服务。(</w:t>
      </w:r>
      <w:r>
        <w:rPr>
          <w:rStyle w:val="14"/>
          <w:rFonts w:ascii="楷体" w:hAnsi="楷体" w:eastAsia="楷体" w:cs="楷体"/>
          <w:sz w:val="32"/>
          <w:szCs w:val="32"/>
        </w:rPr>
        <w:t>责任单位：市金融工作局</w:t>
      </w:r>
      <w:r>
        <w:rPr>
          <w:rStyle w:val="14"/>
          <w:rFonts w:hint="eastAsia" w:ascii="楷体" w:hAnsi="楷体" w:eastAsia="楷体" w:cs="楷体"/>
          <w:sz w:val="32"/>
          <w:szCs w:val="32"/>
        </w:rPr>
        <w:t>、市财政局、市司法局)</w:t>
      </w:r>
    </w:p>
    <w:p>
      <w:pPr>
        <w:spacing w:line="560" w:lineRule="exact"/>
        <w:ind w:firstLine="640" w:firstLineChars="200"/>
        <w:rPr>
          <w:rStyle w:val="14"/>
          <w:rFonts w:ascii="楷体" w:hAnsi="楷体" w:eastAsia="楷体"/>
          <w:sz w:val="32"/>
          <w:szCs w:val="32"/>
        </w:rPr>
      </w:pPr>
      <w:r>
        <w:rPr>
          <w:rStyle w:val="14"/>
          <w:rFonts w:hint="eastAsia" w:ascii="楷体" w:hAnsi="楷体" w:eastAsia="楷体"/>
          <w:sz w:val="32"/>
          <w:szCs w:val="32"/>
        </w:rPr>
        <w:t>(九）</w:t>
      </w:r>
      <w:r>
        <w:rPr>
          <w:rStyle w:val="14"/>
          <w:rFonts w:ascii="楷体" w:hAnsi="楷体" w:eastAsia="楷体"/>
          <w:sz w:val="32"/>
          <w:szCs w:val="32"/>
        </w:rPr>
        <w:t>提高上市公司发展质</w:t>
      </w:r>
      <w:r>
        <w:rPr>
          <w:rStyle w:val="14"/>
          <w:rFonts w:hint="eastAsia" w:ascii="楷体" w:hAnsi="楷体" w:eastAsia="楷体"/>
          <w:sz w:val="32"/>
          <w:szCs w:val="32"/>
        </w:rPr>
        <w:t>量</w:t>
      </w:r>
    </w:p>
    <w:p>
      <w:pPr>
        <w:pStyle w:val="6"/>
        <w:widowControl/>
        <w:spacing w:before="0" w:beforeAutospacing="0" w:after="0" w:afterAutospacing="0" w:line="560" w:lineRule="exact"/>
        <w:ind w:firstLine="640" w:firstLineChars="200"/>
        <w:jc w:val="both"/>
        <w:rPr>
          <w:rStyle w:val="14"/>
          <w:rFonts w:ascii="楷体" w:hAnsi="楷体" w:eastAsia="楷体" w:cs="楷体"/>
          <w:sz w:val="32"/>
          <w:szCs w:val="32"/>
        </w:rPr>
      </w:pPr>
      <w:r>
        <w:rPr>
          <w:rStyle w:val="14"/>
          <w:rFonts w:hint="eastAsia" w:ascii="仿宋_GB2312" w:hAnsi="仿宋" w:eastAsia="仿宋_GB2312"/>
          <w:sz w:val="32"/>
          <w:szCs w:val="32"/>
        </w:rPr>
        <w:t>贯彻落实证监会关于提高上市公司质量的工作要求，加强对上市公司的</w:t>
      </w:r>
      <w:r>
        <w:rPr>
          <w:rFonts w:hint="eastAsia" w:ascii="仿宋_GB2312" w:hAnsi="仿宋" w:eastAsia="仿宋_GB2312"/>
          <w:sz w:val="32"/>
        </w:rPr>
        <w:t>动态监测和分析研判，</w:t>
      </w:r>
      <w:r>
        <w:rPr>
          <w:rStyle w:val="14"/>
          <w:rFonts w:hint="eastAsia" w:ascii="仿宋_GB2312" w:hAnsi="仿宋" w:eastAsia="仿宋_GB2312"/>
          <w:sz w:val="32"/>
          <w:szCs w:val="32"/>
        </w:rPr>
        <w:t>督导上市公司、挂牌公司加强行业信用建设，加强规范自律，真实、准确、完整、及时、公平披露信息；积极做好投资者关系管理，通过媒体采访、网站新闻稿、官方公众号等多渠道对外主动发声，正面回应市场热点和投资者关切，提振投资者信心，切实保护中小投资者权益。鼓励上市公司引入战略股东、优化股东结构、提升资本实力、扩大市值规模。深入实施“招金入宛”工程，支持鼓励金融机构、政府引导基金等参与上市公司并购重组。推动上市公司合理运用增发、配股、优先股等股债融资工具，扩大直接融资规模，优化资本结构。（</w:t>
      </w:r>
      <w:r>
        <w:rPr>
          <w:rStyle w:val="14"/>
          <w:rFonts w:ascii="楷体" w:hAnsi="楷体" w:eastAsia="楷体" w:cs="楷体"/>
          <w:sz w:val="32"/>
          <w:szCs w:val="32"/>
        </w:rPr>
        <w:t>责任单位：市金融工作局、市财政局</w:t>
      </w:r>
      <w:r>
        <w:rPr>
          <w:rStyle w:val="14"/>
          <w:rFonts w:hint="eastAsia" w:ascii="楷体" w:hAnsi="楷体" w:eastAsia="楷体" w:cs="楷体"/>
          <w:sz w:val="32"/>
          <w:szCs w:val="32"/>
        </w:rPr>
        <w:t>、市发展改革委、市工业和信息化局、市工商联）</w:t>
      </w:r>
    </w:p>
    <w:p>
      <w:pPr>
        <w:spacing w:line="560" w:lineRule="exact"/>
        <w:ind w:firstLine="800" w:firstLineChars="250"/>
        <w:rPr>
          <w:rStyle w:val="14"/>
          <w:rFonts w:ascii="黑体" w:hAnsi="黑体" w:eastAsia="黑体"/>
          <w:sz w:val="32"/>
          <w:szCs w:val="32"/>
        </w:rPr>
      </w:pPr>
      <w:r>
        <w:rPr>
          <w:rStyle w:val="14"/>
          <w:rFonts w:hint="eastAsia" w:ascii="黑体" w:hAnsi="黑体" w:eastAsia="黑体"/>
          <w:sz w:val="32"/>
          <w:szCs w:val="32"/>
        </w:rPr>
        <w:t>三</w:t>
      </w:r>
      <w:r>
        <w:rPr>
          <w:rStyle w:val="14"/>
          <w:rFonts w:ascii="黑体" w:hAnsi="黑体" w:eastAsia="黑体"/>
          <w:sz w:val="32"/>
          <w:szCs w:val="32"/>
        </w:rPr>
        <w:t>、保障措</w:t>
      </w:r>
      <w:r>
        <w:rPr>
          <w:rStyle w:val="14"/>
          <w:rFonts w:hint="eastAsia" w:ascii="黑体" w:hAnsi="黑体" w:eastAsia="黑体"/>
          <w:sz w:val="32"/>
          <w:szCs w:val="32"/>
        </w:rPr>
        <w:t>施</w:t>
      </w:r>
    </w:p>
    <w:p>
      <w:pPr>
        <w:spacing w:line="560" w:lineRule="exact"/>
        <w:ind w:firstLine="640" w:firstLineChars="200"/>
        <w:rPr>
          <w:rStyle w:val="14"/>
          <w:rFonts w:ascii="楷体" w:hAnsi="楷体" w:eastAsia="楷体"/>
          <w:sz w:val="32"/>
          <w:szCs w:val="32"/>
        </w:rPr>
      </w:pPr>
      <w:r>
        <w:rPr>
          <w:rStyle w:val="14"/>
          <w:rFonts w:ascii="楷体" w:hAnsi="楷体" w:eastAsia="楷体"/>
          <w:sz w:val="32"/>
          <w:szCs w:val="32"/>
        </w:rPr>
        <w:t>（一）加强组织领</w:t>
      </w:r>
      <w:r>
        <w:rPr>
          <w:rStyle w:val="14"/>
          <w:rFonts w:hint="eastAsia" w:ascii="楷体" w:hAnsi="楷体" w:eastAsia="楷体"/>
          <w:sz w:val="32"/>
          <w:szCs w:val="32"/>
        </w:rPr>
        <w:t>导</w:t>
      </w:r>
    </w:p>
    <w:p>
      <w:pPr>
        <w:autoSpaceDE w:val="0"/>
        <w:spacing w:line="560" w:lineRule="exact"/>
        <w:ind w:firstLine="640" w:firstLineChars="200"/>
        <w:rPr>
          <w:rFonts w:ascii="仿宋" w:hAnsi="仿宋" w:eastAsia="仿宋" w:cs="仿宋"/>
          <w:kern w:val="0"/>
          <w:sz w:val="28"/>
          <w:szCs w:val="19"/>
          <w:lang w:bidi="ar"/>
        </w:rPr>
      </w:pPr>
      <w:r>
        <w:rPr>
          <w:rFonts w:hint="eastAsia" w:ascii="仿宋_GB2312" w:hAnsi="仿宋_GB2312" w:eastAsia="仿宋_GB2312" w:cs="仿宋_GB2312"/>
          <w:sz w:val="32"/>
          <w:szCs w:val="32"/>
        </w:rPr>
        <w:t>市企业上市工作领导小组</w:t>
      </w:r>
      <w:r>
        <w:rPr>
          <w:rFonts w:hint="eastAsia" w:ascii="仿宋_GB2312" w:hAnsi="仿宋_GB2312" w:eastAsia="仿宋_GB2312" w:cs="仿宋_GB2312"/>
          <w:kern w:val="0"/>
          <w:sz w:val="32"/>
          <w:szCs w:val="32"/>
          <w:lang w:bidi="ar"/>
        </w:rPr>
        <w:t>负责统筹推进全市企业上市工作，市金融工作局负责领导小组办公室日常协调工作。</w:t>
      </w:r>
      <w:r>
        <w:rPr>
          <w:rFonts w:hint="eastAsia" w:ascii="仿宋_GB2312" w:hAnsi="仿宋_GB2312" w:eastAsia="仿宋_GB2312" w:cs="仿宋_GB2312"/>
          <w:sz w:val="32"/>
          <w:szCs w:val="32"/>
        </w:rPr>
        <w:t>各县（市、区）政府（管委会）要</w:t>
      </w:r>
      <w:r>
        <w:rPr>
          <w:rStyle w:val="14"/>
          <w:rFonts w:hint="eastAsia" w:ascii="仿宋_GB2312" w:hAnsi="仿宋_GB2312" w:eastAsia="仿宋_GB2312" w:cs="仿宋_GB2312"/>
          <w:sz w:val="32"/>
          <w:szCs w:val="32"/>
        </w:rPr>
        <w:t>加强对企业上市工作的组织领导，</w:t>
      </w:r>
      <w:r>
        <w:rPr>
          <w:rFonts w:hint="eastAsia" w:ascii="仿宋_GB2312" w:hAnsi="仿宋_GB2312" w:eastAsia="仿宋_GB2312" w:cs="仿宋_GB2312"/>
          <w:sz w:val="32"/>
        </w:rPr>
        <w:t>成立由党委（党工委）、政府（管委会）主要领导任组长，主管副县长任副组长，相关单位主要负责人为成员的企业上市工作领导小组，</w:t>
      </w:r>
      <w:r>
        <w:rPr>
          <w:rStyle w:val="14"/>
          <w:rFonts w:hint="eastAsia" w:ascii="仿宋_GB2312" w:hAnsi="仿宋_GB2312" w:eastAsia="仿宋_GB2312" w:cs="仿宋_GB2312"/>
          <w:sz w:val="32"/>
          <w:szCs w:val="32"/>
        </w:rPr>
        <w:t>建立推动企业上市长效机制，</w:t>
      </w:r>
      <w:r>
        <w:rPr>
          <w:rFonts w:hint="eastAsia" w:ascii="仿宋_GB2312" w:hAnsi="仿宋_GB2312" w:eastAsia="仿宋_GB2312" w:cs="仿宋_GB2312"/>
          <w:sz w:val="32"/>
          <w:szCs w:val="32"/>
        </w:rPr>
        <w:t>细化分解目标任务，</w:t>
      </w:r>
      <w:r>
        <w:rPr>
          <w:rStyle w:val="14"/>
          <w:rFonts w:hint="eastAsia" w:ascii="仿宋_GB2312" w:hAnsi="仿宋_GB2312" w:eastAsia="仿宋_GB2312" w:cs="仿宋_GB2312"/>
          <w:sz w:val="32"/>
          <w:szCs w:val="32"/>
        </w:rPr>
        <w:t>每月召开工作推进会，协调解决企业上市中存在的问题</w:t>
      </w:r>
      <w:r>
        <w:rPr>
          <w:rFonts w:hint="eastAsia" w:ascii="仿宋_GB2312" w:hAnsi="仿宋_GB2312" w:eastAsia="仿宋_GB2312" w:cs="仿宋_GB2312"/>
          <w:sz w:val="32"/>
          <w:szCs w:val="32"/>
        </w:rPr>
        <w:t>，确保全年目标任务落到实处。</w:t>
      </w:r>
      <w:r>
        <w:rPr>
          <w:rStyle w:val="14"/>
          <w:rFonts w:hint="eastAsia" w:ascii="仿宋_GB2312" w:hAnsi="仿宋_GB2312" w:eastAsia="仿宋_GB2312" w:cs="仿宋_GB2312"/>
          <w:sz w:val="32"/>
          <w:szCs w:val="32"/>
        </w:rPr>
        <w:t>市直相关单位要根据单位职责和所服务产业链情况，明确分管负责同志协调对接上市工作，</w:t>
      </w:r>
      <w:r>
        <w:rPr>
          <w:rFonts w:hint="eastAsia" w:ascii="仿宋_GB2312" w:hAnsi="仿宋_GB2312" w:eastAsia="仿宋_GB2312" w:cs="仿宋_GB2312"/>
          <w:sz w:val="32"/>
          <w:szCs w:val="32"/>
        </w:rPr>
        <w:t>将企业上市列入重点工作内容，制定工作时间表和路线图，确保年度任务按时完成。（</w:t>
      </w:r>
      <w:r>
        <w:rPr>
          <w:rStyle w:val="14"/>
          <w:rFonts w:ascii="楷体" w:hAnsi="楷体" w:eastAsia="楷体" w:cs="楷体"/>
          <w:sz w:val="32"/>
          <w:szCs w:val="32"/>
        </w:rPr>
        <w:t>责任单位：市金融工作局、</w:t>
      </w:r>
      <w:r>
        <w:rPr>
          <w:rStyle w:val="14"/>
          <w:rFonts w:hint="eastAsia" w:ascii="楷体" w:hAnsi="楷体" w:eastAsia="楷体" w:cs="楷体"/>
          <w:sz w:val="32"/>
          <w:szCs w:val="32"/>
        </w:rPr>
        <w:t>市工业和信息化局及其他</w:t>
      </w:r>
      <w:r>
        <w:rPr>
          <w:rStyle w:val="14"/>
          <w:rFonts w:ascii="楷体" w:hAnsi="楷体" w:eastAsia="楷体" w:cs="楷体"/>
          <w:sz w:val="32"/>
          <w:szCs w:val="32"/>
        </w:rPr>
        <w:t>市</w:t>
      </w:r>
      <w:r>
        <w:rPr>
          <w:rStyle w:val="14"/>
          <w:rFonts w:hint="eastAsia" w:ascii="楷体" w:hAnsi="楷体" w:eastAsia="楷体" w:cs="楷体"/>
          <w:sz w:val="32"/>
          <w:szCs w:val="32"/>
        </w:rPr>
        <w:t>企业上市工作领导小组成员单位</w:t>
      </w:r>
      <w:r>
        <w:rPr>
          <w:rStyle w:val="14"/>
          <w:rFonts w:ascii="楷体" w:hAnsi="楷体" w:eastAsia="楷体" w:cs="楷体"/>
          <w:sz w:val="32"/>
          <w:szCs w:val="32"/>
        </w:rPr>
        <w:t>，</w:t>
      </w:r>
      <w:r>
        <w:rPr>
          <w:rStyle w:val="14"/>
          <w:rFonts w:hint="eastAsia" w:ascii="楷体" w:hAnsi="楷体" w:eastAsia="楷体" w:cs="楷体"/>
          <w:sz w:val="32"/>
          <w:szCs w:val="32"/>
        </w:rPr>
        <w:t>各县〔市、区〕政府〔管委会〕）</w:t>
      </w:r>
    </w:p>
    <w:p>
      <w:pPr>
        <w:numPr>
          <w:ilvl w:val="0"/>
          <w:numId w:val="5"/>
        </w:numPr>
        <w:autoSpaceDE w:val="0"/>
        <w:spacing w:line="560" w:lineRule="exact"/>
        <w:ind w:firstLine="640"/>
        <w:rPr>
          <w:rStyle w:val="14"/>
          <w:rFonts w:ascii="楷体" w:hAnsi="楷体" w:eastAsia="楷体" w:cs="Times New Roman"/>
          <w:sz w:val="32"/>
          <w:szCs w:val="32"/>
        </w:rPr>
      </w:pPr>
      <w:r>
        <w:rPr>
          <w:rStyle w:val="14"/>
          <w:rFonts w:hint="eastAsia" w:ascii="楷体" w:hAnsi="楷体" w:eastAsia="楷体" w:cs="Times New Roman"/>
          <w:sz w:val="32"/>
          <w:szCs w:val="32"/>
        </w:rPr>
        <w:t>强化服务保障</w:t>
      </w:r>
    </w:p>
    <w:p>
      <w:pPr>
        <w:spacing w:line="560" w:lineRule="exact"/>
        <w:ind w:firstLine="640" w:firstLineChars="200"/>
        <w:rPr>
          <w:rFonts w:ascii="等线" w:hAnsi="等线" w:eastAsia="等线" w:cs="Times New Roman"/>
          <w:szCs w:val="21"/>
        </w:rPr>
      </w:pPr>
      <w:r>
        <w:rPr>
          <w:rFonts w:hint="eastAsia" w:ascii="仿宋_GB2312" w:hAnsi="仿宋_GB2312" w:eastAsia="仿宋_GB2312" w:cs="仿宋_GB2312"/>
          <w:sz w:val="32"/>
          <w:szCs w:val="32"/>
        </w:rPr>
        <w:t>各县（市、区）政府（管委会）</w:t>
      </w:r>
      <w:r>
        <w:rPr>
          <w:rFonts w:hint="eastAsia" w:ascii="仿宋_GB2312" w:hAnsi="仿宋_GB2312" w:eastAsia="仿宋_GB2312" w:cs="仿宋_GB2312"/>
          <w:kern w:val="0"/>
          <w:sz w:val="32"/>
          <w:szCs w:val="32"/>
          <w:lang w:bidi="ar"/>
        </w:rPr>
        <w:t>和行业主管部门密切配合，做好上市后备资源摸排、遴选、培育工作。</w:t>
      </w:r>
      <w:r>
        <w:rPr>
          <w:rFonts w:hint="eastAsia" w:ascii="仿宋_GB2312" w:hAnsi="仿宋_GB2312" w:eastAsia="仿宋_GB2312" w:cs="仿宋_GB2312"/>
          <w:sz w:val="32"/>
          <w:szCs w:val="32"/>
        </w:rPr>
        <w:t>各县（市、区）政府（管委会）要</w:t>
      </w:r>
      <w:r>
        <w:rPr>
          <w:rFonts w:hint="eastAsia" w:ascii="仿宋_GB2312" w:hAnsi="仿宋_GB2312" w:eastAsia="仿宋_GB2312" w:cs="仿宋_GB2312"/>
          <w:kern w:val="0"/>
          <w:sz w:val="32"/>
          <w:szCs w:val="32"/>
          <w:lang w:bidi="ar"/>
        </w:rPr>
        <w:t>明确专人负责跟踪落实企业上市进度，收集企业上市中存在的困难和问题，建立问题台账，通过交办相关职能部门、</w:t>
      </w:r>
      <w:r>
        <w:rPr>
          <w:rFonts w:hint="eastAsia" w:ascii="仿宋_GB2312" w:hAnsi="仿宋_GB2312" w:eastAsia="仿宋_GB2312" w:cs="仿宋_GB2312"/>
          <w:sz w:val="32"/>
          <w:szCs w:val="32"/>
        </w:rPr>
        <w:t>召开协调会议等方式及时办理</w:t>
      </w:r>
      <w:r>
        <w:rPr>
          <w:rFonts w:hint="eastAsia" w:ascii="仿宋_GB2312" w:hAnsi="仿宋_GB2312" w:eastAsia="仿宋_GB2312" w:cs="仿宋_GB2312"/>
          <w:kern w:val="0"/>
          <w:sz w:val="32"/>
          <w:szCs w:val="32"/>
          <w:lang w:bidi="ar"/>
        </w:rPr>
        <w:t>。相关职能部门要创优营商环境，指导企业依法合规经营，避免以罚代管。（</w:t>
      </w:r>
      <w:r>
        <w:rPr>
          <w:rStyle w:val="14"/>
          <w:rFonts w:ascii="楷体" w:hAnsi="楷体" w:eastAsia="楷体" w:cs="楷体"/>
          <w:sz w:val="32"/>
          <w:szCs w:val="32"/>
        </w:rPr>
        <w:t>责任单位：</w:t>
      </w:r>
      <w:r>
        <w:rPr>
          <w:rStyle w:val="14"/>
          <w:rFonts w:hint="eastAsia" w:ascii="楷体" w:hAnsi="楷体" w:eastAsia="楷体" w:cs="楷体"/>
          <w:sz w:val="32"/>
          <w:szCs w:val="32"/>
        </w:rPr>
        <w:t>各县〔市、区〕政府〔管委会〕、</w:t>
      </w:r>
      <w:r>
        <w:rPr>
          <w:rStyle w:val="14"/>
          <w:rFonts w:ascii="楷体" w:hAnsi="楷体" w:eastAsia="楷体" w:cs="楷体"/>
          <w:sz w:val="32"/>
          <w:szCs w:val="32"/>
        </w:rPr>
        <w:t>市金融工作局、</w:t>
      </w:r>
      <w:r>
        <w:rPr>
          <w:rFonts w:ascii="楷体" w:hAnsi="楷体" w:eastAsia="楷体" w:cs="楷体"/>
          <w:sz w:val="32"/>
        </w:rPr>
        <w:t>市发展改革委、市</w:t>
      </w:r>
      <w:r>
        <w:rPr>
          <w:rFonts w:hint="eastAsia" w:ascii="楷体" w:hAnsi="楷体" w:eastAsia="楷体" w:cs="楷体"/>
          <w:sz w:val="32"/>
        </w:rPr>
        <w:t>工业和信息化</w:t>
      </w:r>
      <w:r>
        <w:rPr>
          <w:rFonts w:ascii="楷体" w:hAnsi="楷体" w:eastAsia="楷体" w:cs="楷体"/>
          <w:sz w:val="32"/>
        </w:rPr>
        <w:t>局、</w:t>
      </w:r>
      <w:r>
        <w:rPr>
          <w:rStyle w:val="14"/>
          <w:rFonts w:ascii="楷体" w:hAnsi="楷体" w:eastAsia="楷体" w:cs="楷体"/>
          <w:sz w:val="32"/>
          <w:szCs w:val="32"/>
        </w:rPr>
        <w:t>市</w:t>
      </w:r>
      <w:r>
        <w:rPr>
          <w:rFonts w:ascii="楷体" w:hAnsi="楷体" w:eastAsia="楷体" w:cs="楷体"/>
          <w:sz w:val="32"/>
        </w:rPr>
        <w:t>财政局、市商务局、市</w:t>
      </w:r>
      <w:r>
        <w:rPr>
          <w:rStyle w:val="14"/>
          <w:rFonts w:ascii="楷体" w:hAnsi="楷体" w:eastAsia="楷体" w:cs="楷体"/>
          <w:sz w:val="32"/>
          <w:szCs w:val="32"/>
        </w:rPr>
        <w:t>科技局、市农业农村局、市林业局、市卫健</w:t>
      </w:r>
      <w:r>
        <w:rPr>
          <w:rStyle w:val="14"/>
          <w:rFonts w:hint="eastAsia" w:ascii="楷体" w:hAnsi="楷体" w:eastAsia="楷体" w:cs="楷体"/>
          <w:sz w:val="32"/>
          <w:szCs w:val="32"/>
        </w:rPr>
        <w:t>体</w:t>
      </w:r>
      <w:r>
        <w:rPr>
          <w:rStyle w:val="14"/>
          <w:rFonts w:ascii="楷体" w:hAnsi="楷体" w:eastAsia="楷体" w:cs="楷体"/>
          <w:sz w:val="32"/>
          <w:szCs w:val="32"/>
        </w:rPr>
        <w:t>委、市文化广电和旅游局、市水利局、</w:t>
      </w:r>
      <w:r>
        <w:rPr>
          <w:rFonts w:ascii="楷体" w:hAnsi="楷体" w:eastAsia="楷体" w:cs="楷体"/>
          <w:sz w:val="32"/>
        </w:rPr>
        <w:t>市人力资源</w:t>
      </w:r>
      <w:r>
        <w:rPr>
          <w:rFonts w:hint="eastAsia" w:ascii="楷体" w:hAnsi="楷体" w:eastAsia="楷体" w:cs="楷体"/>
          <w:sz w:val="32"/>
        </w:rPr>
        <w:t>和</w:t>
      </w:r>
      <w:r>
        <w:rPr>
          <w:rFonts w:ascii="楷体" w:hAnsi="楷体" w:eastAsia="楷体" w:cs="楷体"/>
          <w:sz w:val="32"/>
        </w:rPr>
        <w:t>社会保障局、市自然资源和规划局、市住房和城乡建设局、市生态环境局、</w:t>
      </w:r>
      <w:r>
        <w:rPr>
          <w:rFonts w:hint="eastAsia" w:ascii="楷体" w:hAnsi="楷体" w:eastAsia="楷体" w:cs="楷体"/>
          <w:sz w:val="32"/>
        </w:rPr>
        <w:t>市交通运输局、</w:t>
      </w:r>
      <w:r>
        <w:rPr>
          <w:rStyle w:val="14"/>
          <w:rFonts w:hint="eastAsia" w:ascii="楷体" w:hAnsi="楷体" w:eastAsia="楷体" w:cs="楷体"/>
          <w:sz w:val="32"/>
          <w:szCs w:val="32"/>
        </w:rPr>
        <w:t>市不动产登记服务中心</w:t>
      </w:r>
      <w:r>
        <w:rPr>
          <w:rFonts w:hint="eastAsia" w:ascii="楷体" w:hAnsi="楷体" w:eastAsia="楷体" w:cs="楷体"/>
          <w:sz w:val="32"/>
        </w:rPr>
        <w:t>、</w:t>
      </w:r>
      <w:r>
        <w:rPr>
          <w:rFonts w:ascii="楷体" w:hAnsi="楷体" w:eastAsia="楷体" w:cs="楷体"/>
          <w:sz w:val="32"/>
        </w:rPr>
        <w:t>市市场</w:t>
      </w:r>
      <w:r>
        <w:rPr>
          <w:rFonts w:hint="eastAsia" w:ascii="楷体" w:hAnsi="楷体" w:eastAsia="楷体" w:cs="楷体"/>
          <w:sz w:val="32"/>
        </w:rPr>
        <w:t>监督管理</w:t>
      </w:r>
      <w:r>
        <w:rPr>
          <w:rFonts w:ascii="楷体" w:hAnsi="楷体" w:eastAsia="楷体" w:cs="楷体"/>
          <w:sz w:val="32"/>
        </w:rPr>
        <w:t>局、</w:t>
      </w:r>
      <w:r>
        <w:rPr>
          <w:rFonts w:hint="eastAsia" w:ascii="楷体" w:hAnsi="楷体" w:eastAsia="楷体"/>
          <w:sz w:val="32"/>
          <w:szCs w:val="32"/>
        </w:rPr>
        <w:t>国家税务总局南阳市税务局</w:t>
      </w:r>
      <w:r>
        <w:rPr>
          <w:rFonts w:ascii="楷体" w:hAnsi="楷体" w:eastAsia="楷体" w:cs="楷体"/>
          <w:sz w:val="32"/>
        </w:rPr>
        <w:t>、市住房公积金管理中心、人行</w:t>
      </w:r>
      <w:r>
        <w:rPr>
          <w:rStyle w:val="14"/>
          <w:rFonts w:ascii="楷体" w:hAnsi="楷体" w:eastAsia="楷体" w:cs="楷体"/>
          <w:sz w:val="32"/>
          <w:szCs w:val="32"/>
        </w:rPr>
        <w:t>南阳</w:t>
      </w:r>
      <w:r>
        <w:rPr>
          <w:rStyle w:val="14"/>
          <w:rFonts w:hint="eastAsia" w:ascii="楷体" w:hAnsi="楷体" w:eastAsia="楷体" w:cs="楷体"/>
          <w:sz w:val="32"/>
          <w:szCs w:val="32"/>
        </w:rPr>
        <w:t>市</w:t>
      </w:r>
      <w:r>
        <w:rPr>
          <w:rStyle w:val="14"/>
          <w:rFonts w:ascii="楷体" w:hAnsi="楷体" w:eastAsia="楷体" w:cs="楷体"/>
          <w:sz w:val="32"/>
          <w:szCs w:val="32"/>
        </w:rPr>
        <w:t>中心支行、南阳银</w:t>
      </w:r>
      <w:r>
        <w:rPr>
          <w:rFonts w:ascii="楷体" w:hAnsi="楷体" w:eastAsia="楷体" w:cs="楷体"/>
          <w:sz w:val="32"/>
        </w:rPr>
        <w:t>保监</w:t>
      </w:r>
      <w:r>
        <w:rPr>
          <w:rFonts w:hint="eastAsia" w:ascii="楷体" w:hAnsi="楷体" w:eastAsia="楷体" w:cs="楷体"/>
          <w:sz w:val="32"/>
        </w:rPr>
        <w:t>分</w:t>
      </w:r>
      <w:r>
        <w:rPr>
          <w:rFonts w:ascii="楷体" w:hAnsi="楷体" w:eastAsia="楷体" w:cs="楷体"/>
          <w:sz w:val="32"/>
        </w:rPr>
        <w:t>局</w:t>
      </w:r>
      <w:r>
        <w:rPr>
          <w:rStyle w:val="14"/>
          <w:rFonts w:hint="eastAsia" w:ascii="楷体" w:hAnsi="楷体" w:eastAsia="楷体" w:cs="楷体"/>
          <w:sz w:val="32"/>
          <w:szCs w:val="32"/>
        </w:rPr>
        <w:t>）</w:t>
      </w:r>
    </w:p>
    <w:p>
      <w:pPr>
        <w:autoSpaceDE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（三）加强督导考核</w:t>
      </w:r>
    </w:p>
    <w:p>
      <w:pPr>
        <w:autoSpaceDE w:val="0"/>
        <w:spacing w:line="560" w:lineRule="exact"/>
        <w:ind w:firstLine="640"/>
        <w:rPr>
          <w:rFonts w:eastAsia="楷体"/>
        </w:rPr>
      </w:pPr>
      <w:r>
        <w:rPr>
          <w:rFonts w:hint="eastAsia" w:ascii="仿宋_GB2312" w:hAnsi="仿宋" w:eastAsia="仿宋_GB2312"/>
          <w:sz w:val="32"/>
          <w:szCs w:val="32"/>
        </w:rPr>
        <w:t>市委市政府将企业上市工作纳入各县</w:t>
      </w:r>
      <w:r>
        <w:rPr>
          <w:rFonts w:hint="eastAsia" w:ascii="仿宋_GB2312" w:hAnsi="仿宋_GB2312" w:eastAsia="仿宋_GB2312" w:cs="仿宋_GB2312"/>
          <w:sz w:val="32"/>
          <w:szCs w:val="32"/>
        </w:rPr>
        <w:t>（市、区）</w:t>
      </w:r>
      <w:r>
        <w:rPr>
          <w:rFonts w:hint="eastAsia" w:ascii="仿宋_GB2312" w:hAnsi="仿宋" w:eastAsia="仿宋_GB2312"/>
          <w:sz w:val="32"/>
          <w:szCs w:val="32"/>
        </w:rPr>
        <w:t>政府（管委会）及相关行业主管部门的年度绩效考评体系。市金融工作局定期对各县</w:t>
      </w:r>
      <w:r>
        <w:rPr>
          <w:rFonts w:hint="eastAsia" w:ascii="仿宋_GB2312" w:hAnsi="仿宋_GB2312" w:eastAsia="仿宋_GB2312" w:cs="仿宋_GB2312"/>
          <w:sz w:val="32"/>
          <w:szCs w:val="32"/>
        </w:rPr>
        <w:t>（市、区）</w:t>
      </w:r>
      <w:r>
        <w:rPr>
          <w:rFonts w:hint="eastAsia" w:ascii="仿宋_GB2312" w:hAnsi="仿宋" w:eastAsia="仿宋_GB2312"/>
          <w:sz w:val="32"/>
          <w:szCs w:val="32"/>
        </w:rPr>
        <w:t>和部门工作任务完成情况进行考核。对工作进展缓慢、措施不力的，市企业上市领导小组约谈相关县</w:t>
      </w:r>
      <w:r>
        <w:rPr>
          <w:rFonts w:hint="eastAsia" w:ascii="仿宋_GB2312" w:hAnsi="仿宋_GB2312" w:eastAsia="仿宋_GB2312" w:cs="仿宋_GB2312"/>
          <w:sz w:val="32"/>
          <w:szCs w:val="32"/>
        </w:rPr>
        <w:t>（市、区）</w:t>
      </w:r>
      <w:r>
        <w:rPr>
          <w:rFonts w:hint="eastAsia" w:ascii="仿宋_GB2312" w:hAnsi="仿宋" w:eastAsia="仿宋_GB2312"/>
          <w:sz w:val="32"/>
          <w:szCs w:val="32"/>
        </w:rPr>
        <w:t>和部门主要领导、分管领导；未完成年度目标任务的，对县</w:t>
      </w:r>
      <w:r>
        <w:rPr>
          <w:rFonts w:hint="eastAsia" w:ascii="仿宋_GB2312" w:hAnsi="仿宋_GB2312" w:eastAsia="仿宋_GB2312" w:cs="仿宋_GB2312"/>
          <w:sz w:val="32"/>
          <w:szCs w:val="32"/>
        </w:rPr>
        <w:t>（市、区）</w:t>
      </w:r>
      <w:r>
        <w:rPr>
          <w:rFonts w:hint="eastAsia" w:ascii="仿宋_GB2312" w:hAnsi="仿宋" w:eastAsia="仿宋_GB2312"/>
          <w:sz w:val="32"/>
          <w:szCs w:val="32"/>
        </w:rPr>
        <w:t>政府（管委会）主要领导进行问责；连续两年未完成目标任务的，对县</w:t>
      </w:r>
      <w:r>
        <w:rPr>
          <w:rFonts w:hint="eastAsia" w:ascii="仿宋_GB2312" w:hAnsi="仿宋_GB2312" w:eastAsia="仿宋_GB2312" w:cs="仿宋_GB2312"/>
          <w:sz w:val="32"/>
          <w:szCs w:val="32"/>
        </w:rPr>
        <w:t>（市、区）</w:t>
      </w:r>
      <w:r>
        <w:rPr>
          <w:rFonts w:hint="eastAsia" w:ascii="仿宋_GB2312" w:hAnsi="仿宋" w:eastAsia="仿宋_GB2312"/>
          <w:sz w:val="32"/>
          <w:szCs w:val="32"/>
        </w:rPr>
        <w:t>党委（党工委）主要领导进行问责。（</w:t>
      </w:r>
      <w:r>
        <w:rPr>
          <w:rStyle w:val="14"/>
          <w:rFonts w:ascii="楷体" w:hAnsi="楷体" w:eastAsia="楷体" w:cs="楷体"/>
          <w:sz w:val="32"/>
          <w:szCs w:val="32"/>
        </w:rPr>
        <w:t>责任单位：</w:t>
      </w:r>
      <w:r>
        <w:rPr>
          <w:rFonts w:ascii="楷体" w:hAnsi="楷体" w:eastAsia="楷体" w:cs="楷体"/>
          <w:sz w:val="32"/>
        </w:rPr>
        <w:t>市委市政府督</w:t>
      </w:r>
      <w:r>
        <w:rPr>
          <w:rFonts w:hint="eastAsia" w:ascii="楷体" w:hAnsi="楷体" w:eastAsia="楷体" w:cs="楷体"/>
          <w:sz w:val="32"/>
        </w:rPr>
        <w:t>查</w:t>
      </w:r>
      <w:r>
        <w:rPr>
          <w:rFonts w:ascii="楷体" w:hAnsi="楷体" w:eastAsia="楷体" w:cs="楷体"/>
          <w:sz w:val="32"/>
        </w:rPr>
        <w:t>局、市金融工作局</w:t>
      </w:r>
      <w:r>
        <w:rPr>
          <w:rFonts w:hint="eastAsia" w:ascii="楷体" w:hAnsi="楷体" w:eastAsia="楷体" w:cs="楷体"/>
          <w:sz w:val="32"/>
        </w:rPr>
        <w:t>）</w:t>
      </w:r>
    </w:p>
    <w:p>
      <w:pPr>
        <w:spacing w:line="560" w:lineRule="exact"/>
        <w:ind w:firstLine="640" w:firstLineChars="200"/>
        <w:rPr>
          <w:rStyle w:val="14"/>
          <w:rFonts w:ascii="仿宋_GB2312" w:hAnsi="仿宋" w:eastAsia="仿宋_GB2312" w:cs="Calibri"/>
          <w:sz w:val="32"/>
          <w:szCs w:val="32"/>
        </w:rPr>
      </w:pPr>
      <w:r>
        <w:rPr>
          <w:rStyle w:val="14"/>
          <w:rFonts w:hint="eastAsia" w:ascii="仿宋_GB2312" w:hAnsi="仿宋" w:eastAsia="仿宋_GB2312" w:cs="Calibri"/>
          <w:sz w:val="32"/>
          <w:szCs w:val="32"/>
        </w:rPr>
        <w:t>本方案自发布之日起实施，《南阳市人民政府关于印发南阳市企业上市倍增计划的通知》（宛政〔2021〕13号）同时废止。同一项目、同一事项同时符合市本级其他政策规定的奖补条件的，按照就高不重复的原则享受奖补政策。申报企业须按规定如实报送有关材料，不得弄虚作假，骗取、套取奖励资金。对虚报材料，骗取、套取奖补资金的，市金融工作局会同财政部门追回奖励资金，按照《财政违法行为处罚处分条例》（国务院令第427号）等有关规定严肃处理，并将其违规信息报送信用平台，纳入失信联合惩戒范畴。本意见在具体执行过程中，遇到上级相关政策调整变化或者与法律法规相抵触的，按上级政策和法律法规执行。</w:t>
      </w:r>
    </w:p>
    <w:p>
      <w:pPr>
        <w:pStyle w:val="2"/>
        <w:spacing w:after="0" w:line="560" w:lineRule="exact"/>
        <w:ind w:firstLine="420"/>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1EE3DB"/>
    <w:multiLevelType w:val="singleLevel"/>
    <w:tmpl w:val="911EE3DB"/>
    <w:lvl w:ilvl="0" w:tentative="0">
      <w:start w:val="2"/>
      <w:numFmt w:val="chineseCounting"/>
      <w:suff w:val="nothing"/>
      <w:lvlText w:val="（%1）"/>
      <w:lvlJc w:val="left"/>
      <w:pPr>
        <w:ind w:left="-10"/>
      </w:pPr>
      <w:rPr>
        <w:rFonts w:hint="eastAsia"/>
      </w:rPr>
    </w:lvl>
  </w:abstractNum>
  <w:abstractNum w:abstractNumId="1">
    <w:nsid w:val="9A920710"/>
    <w:multiLevelType w:val="singleLevel"/>
    <w:tmpl w:val="9A920710"/>
    <w:lvl w:ilvl="0" w:tentative="0">
      <w:start w:val="1"/>
      <w:numFmt w:val="chineseCounting"/>
      <w:suff w:val="nothing"/>
      <w:lvlText w:val="%1、"/>
      <w:lvlJc w:val="left"/>
      <w:rPr>
        <w:rFonts w:hint="eastAsia"/>
      </w:rPr>
    </w:lvl>
  </w:abstractNum>
  <w:abstractNum w:abstractNumId="2">
    <w:nsid w:val="B3E5EFC5"/>
    <w:multiLevelType w:val="singleLevel"/>
    <w:tmpl w:val="B3E5EFC5"/>
    <w:lvl w:ilvl="0" w:tentative="0">
      <w:start w:val="7"/>
      <w:numFmt w:val="chineseCounting"/>
      <w:suff w:val="nothing"/>
      <w:lvlText w:val="（%1）"/>
      <w:lvlJc w:val="left"/>
      <w:rPr>
        <w:rFonts w:hint="eastAsia"/>
      </w:rPr>
    </w:lvl>
  </w:abstractNum>
  <w:abstractNum w:abstractNumId="3">
    <w:nsid w:val="28365DAF"/>
    <w:multiLevelType w:val="singleLevel"/>
    <w:tmpl w:val="28365DAF"/>
    <w:lvl w:ilvl="0" w:tentative="0">
      <w:start w:val="1"/>
      <w:numFmt w:val="chineseCounting"/>
      <w:suff w:val="nothing"/>
      <w:lvlText w:val="（%1）"/>
      <w:lvlJc w:val="left"/>
      <w:rPr>
        <w:rFonts w:hint="eastAsia"/>
      </w:rPr>
    </w:lvl>
  </w:abstractNum>
  <w:abstractNum w:abstractNumId="4">
    <w:nsid w:val="2C7AC2F0"/>
    <w:multiLevelType w:val="singleLevel"/>
    <w:tmpl w:val="2C7AC2F0"/>
    <w:lvl w:ilvl="0" w:tentative="0">
      <w:start w:val="2"/>
      <w:numFmt w:val="chineseCounting"/>
      <w:suff w:val="nothing"/>
      <w:lvlText w:val="（%1）"/>
      <w:lvlJc w:val="left"/>
      <w:pPr>
        <w:ind w:left="-10"/>
      </w:pPr>
      <w:rPr>
        <w:rFonts w:hint="eastAsia"/>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hYWEyZWNhNDdmZWY1MmI4YzljNzAyYmZmYmZkYTcifQ=="/>
  </w:docVars>
  <w:rsids>
    <w:rsidRoot w:val="002F7A29"/>
    <w:rsid w:val="00193B3A"/>
    <w:rsid w:val="00210D94"/>
    <w:rsid w:val="00291F00"/>
    <w:rsid w:val="002F7A29"/>
    <w:rsid w:val="00333E7C"/>
    <w:rsid w:val="00350189"/>
    <w:rsid w:val="00382CAE"/>
    <w:rsid w:val="003D0C83"/>
    <w:rsid w:val="00536A38"/>
    <w:rsid w:val="005D0D84"/>
    <w:rsid w:val="007346EE"/>
    <w:rsid w:val="008057B7"/>
    <w:rsid w:val="008264AC"/>
    <w:rsid w:val="00882CC6"/>
    <w:rsid w:val="009F3445"/>
    <w:rsid w:val="00A27183"/>
    <w:rsid w:val="00A75AF9"/>
    <w:rsid w:val="00B40266"/>
    <w:rsid w:val="00B81C8C"/>
    <w:rsid w:val="00BF4370"/>
    <w:rsid w:val="00C109BC"/>
    <w:rsid w:val="00D02F19"/>
    <w:rsid w:val="00E015AB"/>
    <w:rsid w:val="00E4028D"/>
    <w:rsid w:val="026750A1"/>
    <w:rsid w:val="056703FD"/>
    <w:rsid w:val="06C63DFD"/>
    <w:rsid w:val="077A26CA"/>
    <w:rsid w:val="08C80269"/>
    <w:rsid w:val="0B6F4DF1"/>
    <w:rsid w:val="0E1E3CB4"/>
    <w:rsid w:val="0F991C1D"/>
    <w:rsid w:val="10FE46D9"/>
    <w:rsid w:val="11405FA6"/>
    <w:rsid w:val="114510E6"/>
    <w:rsid w:val="125B7840"/>
    <w:rsid w:val="14B36299"/>
    <w:rsid w:val="15646598"/>
    <w:rsid w:val="19951581"/>
    <w:rsid w:val="1B30475D"/>
    <w:rsid w:val="1C9F6D29"/>
    <w:rsid w:val="21B744AA"/>
    <w:rsid w:val="23C27922"/>
    <w:rsid w:val="24AA201D"/>
    <w:rsid w:val="25B0436A"/>
    <w:rsid w:val="27F65AD5"/>
    <w:rsid w:val="2B1B3CBB"/>
    <w:rsid w:val="32F84808"/>
    <w:rsid w:val="336851BD"/>
    <w:rsid w:val="366B2C1F"/>
    <w:rsid w:val="375F4D58"/>
    <w:rsid w:val="377E4E92"/>
    <w:rsid w:val="378D641A"/>
    <w:rsid w:val="385C04AF"/>
    <w:rsid w:val="38843235"/>
    <w:rsid w:val="3AF56621"/>
    <w:rsid w:val="3C134030"/>
    <w:rsid w:val="3E08155D"/>
    <w:rsid w:val="3E281F2B"/>
    <w:rsid w:val="3F4756F1"/>
    <w:rsid w:val="3F95088E"/>
    <w:rsid w:val="405F34A4"/>
    <w:rsid w:val="42F16B3A"/>
    <w:rsid w:val="43A2721C"/>
    <w:rsid w:val="44070C86"/>
    <w:rsid w:val="4671596B"/>
    <w:rsid w:val="47CE4BD6"/>
    <w:rsid w:val="485A1371"/>
    <w:rsid w:val="49804BB7"/>
    <w:rsid w:val="4AA47E79"/>
    <w:rsid w:val="4BB3697D"/>
    <w:rsid w:val="51B91A12"/>
    <w:rsid w:val="53BA0CC5"/>
    <w:rsid w:val="59022354"/>
    <w:rsid w:val="59F96ED1"/>
    <w:rsid w:val="5B5243E8"/>
    <w:rsid w:val="5D4F37A5"/>
    <w:rsid w:val="60135171"/>
    <w:rsid w:val="615E5715"/>
    <w:rsid w:val="623F0BA1"/>
    <w:rsid w:val="62A87401"/>
    <w:rsid w:val="64584715"/>
    <w:rsid w:val="65A435E0"/>
    <w:rsid w:val="66A773A4"/>
    <w:rsid w:val="68BD5288"/>
    <w:rsid w:val="6BC8793D"/>
    <w:rsid w:val="71777D9E"/>
    <w:rsid w:val="71C034F3"/>
    <w:rsid w:val="72EC44F2"/>
    <w:rsid w:val="75CC5CA4"/>
    <w:rsid w:val="78301741"/>
    <w:rsid w:val="7B5F3D7C"/>
    <w:rsid w:val="7EE40B58"/>
    <w:rsid w:val="7F883D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12"/>
    <w:qFormat/>
    <w:uiPriority w:val="0"/>
    <w:pPr>
      <w:ind w:firstLine="880" w:firstLineChars="200"/>
    </w:pPr>
  </w:style>
  <w:style w:type="paragraph" w:styleId="3">
    <w:name w:val="Body Text"/>
    <w:basedOn w:val="1"/>
    <w:link w:val="11"/>
    <w:semiHidden/>
    <w:unhideWhenUsed/>
    <w:qFormat/>
    <w:uiPriority w:val="99"/>
    <w:pPr>
      <w:spacing w:after="120"/>
    </w:p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nhideWhenUsed/>
    <w:qFormat/>
    <w:uiPriority w:val="99"/>
    <w:pPr>
      <w:spacing w:before="100" w:beforeAutospacing="1" w:after="100" w:afterAutospacing="1"/>
      <w:jc w:val="left"/>
    </w:pPr>
    <w:rPr>
      <w:rFonts w:ascii="Calibri" w:hAnsi="Calibri" w:eastAsia="宋体" w:cs="Times New Roman"/>
      <w:kern w:val="0"/>
      <w:sz w:val="24"/>
      <w:szCs w:val="24"/>
    </w:rPr>
  </w:style>
  <w:style w:type="character" w:styleId="9">
    <w:name w:val="Strong"/>
    <w:basedOn w:val="8"/>
    <w:qFormat/>
    <w:uiPriority w:val="22"/>
    <w:rPr>
      <w:b/>
    </w:rPr>
  </w:style>
  <w:style w:type="character" w:styleId="10">
    <w:name w:val="Emphasis"/>
    <w:basedOn w:val="8"/>
    <w:qFormat/>
    <w:uiPriority w:val="20"/>
    <w:rPr>
      <w:i/>
    </w:rPr>
  </w:style>
  <w:style w:type="character" w:customStyle="1" w:styleId="11">
    <w:name w:val="正文文本 字符"/>
    <w:basedOn w:val="8"/>
    <w:link w:val="3"/>
    <w:semiHidden/>
    <w:qFormat/>
    <w:uiPriority w:val="99"/>
  </w:style>
  <w:style w:type="character" w:customStyle="1" w:styleId="12">
    <w:name w:val="正文首行缩进 字符"/>
    <w:basedOn w:val="11"/>
    <w:link w:val="2"/>
    <w:qFormat/>
    <w:uiPriority w:val="0"/>
  </w:style>
  <w:style w:type="character" w:customStyle="1" w:styleId="13">
    <w:name w:val="页脚 字符"/>
    <w:basedOn w:val="8"/>
    <w:link w:val="4"/>
    <w:qFormat/>
    <w:uiPriority w:val="99"/>
    <w:rPr>
      <w:sz w:val="18"/>
      <w:szCs w:val="18"/>
    </w:rPr>
  </w:style>
  <w:style w:type="character" w:customStyle="1" w:styleId="14">
    <w:name w:val="NormalCharacter"/>
    <w:semiHidden/>
    <w:qFormat/>
    <w:uiPriority w:val="0"/>
    <w:rPr>
      <w:kern w:val="2"/>
      <w:sz w:val="21"/>
      <w:lang w:val="en-US" w:eastAsia="zh-CN" w:bidi="ar-SA"/>
    </w:rPr>
  </w:style>
  <w:style w:type="character" w:customStyle="1" w:styleId="15">
    <w:name w:val="15"/>
    <w:basedOn w:val="8"/>
    <w:qFormat/>
    <w:uiPriority w:val="0"/>
    <w:rPr>
      <w:rFonts w:hint="default" w:ascii="Calibri" w:hAnsi="Calibri"/>
      <w:kern w:val="2"/>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4767</Words>
  <Characters>4793</Characters>
  <Lines>36</Lines>
  <Paragraphs>10</Paragraphs>
  <TotalTime>25</TotalTime>
  <ScaleCrop>false</ScaleCrop>
  <LinksUpToDate>false</LinksUpToDate>
  <CharactersWithSpaces>4793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2022-07-27T08:16:00Z</dcterms:created>
  <dc:creator>Administrator</dc:creator>
  <cp:lastModifiedBy>Administrator</cp:lastModifiedBy>
  <cp:lastPrinted>2022-10-24T08:43:52Z</cp:lastPrinted>
  <dcterms:modified xsi:type="dcterms:W3CDTF">2022-10-24T09:00:24Z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54172FCAAB83449D9321E82B24F56E40</vt:lpwstr>
  </property>
</Properties>
</file>