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198" w:rsidRDefault="00D92198">
      <w:pPr>
        <w:spacing w:line="600" w:lineRule="exact"/>
        <w:ind w:firstLineChars="550" w:firstLine="2420"/>
        <w:jc w:val="center"/>
        <w:rPr>
          <w:rFonts w:ascii="方正小标宋简体" w:eastAsia="方正小标宋简体" w:hAnsi="等线"/>
          <w:sz w:val="44"/>
          <w:szCs w:val="44"/>
        </w:rPr>
      </w:pPr>
    </w:p>
    <w:p w:rsidR="00D92198" w:rsidRDefault="00D92198">
      <w:pPr>
        <w:spacing w:line="600" w:lineRule="exact"/>
        <w:jc w:val="center"/>
        <w:rPr>
          <w:rFonts w:ascii="方正小标宋简体" w:eastAsia="方正小标宋简体" w:hAnsi="等线"/>
          <w:sz w:val="44"/>
          <w:szCs w:val="44"/>
        </w:rPr>
      </w:pPr>
    </w:p>
    <w:p w:rsidR="00D92198" w:rsidRDefault="00D92198">
      <w:pPr>
        <w:spacing w:line="600" w:lineRule="exact"/>
        <w:jc w:val="center"/>
        <w:rPr>
          <w:rFonts w:ascii="方正小标宋简体" w:eastAsia="方正小标宋简体" w:hAnsi="等线"/>
          <w:sz w:val="44"/>
          <w:szCs w:val="44"/>
        </w:rPr>
      </w:pPr>
    </w:p>
    <w:p w:rsidR="00D92198" w:rsidRDefault="00AE1128">
      <w:pPr>
        <w:spacing w:line="600" w:lineRule="exact"/>
        <w:jc w:val="center"/>
        <w:rPr>
          <w:rFonts w:ascii="方正小标宋简体" w:eastAsia="方正小标宋简体" w:hAnsi="等线"/>
          <w:sz w:val="44"/>
          <w:szCs w:val="44"/>
        </w:rPr>
      </w:pPr>
      <w:r>
        <w:rPr>
          <w:rFonts w:ascii="方正小标宋简体" w:eastAsia="方正小标宋简体" w:hAnsi="等线" w:hint="eastAsia"/>
          <w:sz w:val="44"/>
          <w:szCs w:val="44"/>
        </w:rPr>
        <w:t>南阳市人民政府</w:t>
      </w:r>
    </w:p>
    <w:p w:rsidR="00D92198" w:rsidRDefault="00AE1128">
      <w:pPr>
        <w:spacing w:line="600" w:lineRule="exact"/>
        <w:ind w:leftChars="-200" w:left="20" w:rightChars="-200" w:right="-420" w:hangingChars="100" w:hanging="440"/>
        <w:jc w:val="center"/>
        <w:rPr>
          <w:rFonts w:ascii="方正小标宋简体" w:eastAsia="方正小标宋简体" w:hAnsi="等线"/>
          <w:sz w:val="44"/>
          <w:szCs w:val="44"/>
        </w:rPr>
      </w:pPr>
      <w:r>
        <w:rPr>
          <w:rFonts w:ascii="方正小标宋简体" w:eastAsia="方正小标宋简体" w:hAnsi="等线" w:hint="eastAsia"/>
          <w:sz w:val="44"/>
          <w:szCs w:val="44"/>
        </w:rPr>
        <w:t>关于印发南阳市</w:t>
      </w:r>
      <w:r>
        <w:rPr>
          <w:rFonts w:ascii="方正小标宋简体" w:eastAsia="方正小标宋简体" w:hAnsi="等线"/>
          <w:sz w:val="44"/>
          <w:szCs w:val="44"/>
        </w:rPr>
        <w:t>国民经济和社会发展</w:t>
      </w:r>
    </w:p>
    <w:p w:rsidR="00D92198" w:rsidRDefault="00AE1128">
      <w:pPr>
        <w:spacing w:line="600" w:lineRule="exact"/>
        <w:ind w:leftChars="-200" w:left="20" w:rightChars="-200" w:right="-420" w:hangingChars="100" w:hanging="440"/>
        <w:jc w:val="center"/>
        <w:rPr>
          <w:rFonts w:ascii="方正小标宋简体" w:eastAsia="方正小标宋简体" w:hAnsi="等线"/>
          <w:sz w:val="44"/>
          <w:szCs w:val="44"/>
        </w:rPr>
      </w:pPr>
      <w:r>
        <w:rPr>
          <w:rFonts w:ascii="方正小标宋简体" w:eastAsia="方正小标宋简体" w:hAnsi="等线"/>
          <w:sz w:val="44"/>
          <w:szCs w:val="44"/>
        </w:rPr>
        <w:t>第十四个五年规划和二</w:t>
      </w:r>
      <w:r>
        <w:rPr>
          <w:rFonts w:ascii="宋体" w:hAnsi="宋体" w:cs="宋体" w:hint="eastAsia"/>
          <w:sz w:val="44"/>
          <w:szCs w:val="44"/>
        </w:rPr>
        <w:t>〇</w:t>
      </w:r>
      <w:r>
        <w:rPr>
          <w:rFonts w:ascii="方正小标宋简体" w:eastAsia="方正小标宋简体" w:hAnsi="等线"/>
          <w:sz w:val="44"/>
          <w:szCs w:val="44"/>
        </w:rPr>
        <w:t>三五年远景目标纲要的</w:t>
      </w:r>
    </w:p>
    <w:p w:rsidR="00D92198" w:rsidRDefault="00AE1128">
      <w:pPr>
        <w:spacing w:line="600" w:lineRule="exact"/>
        <w:ind w:leftChars="-200" w:left="20" w:rightChars="-200" w:right="-420" w:hangingChars="100" w:hanging="440"/>
        <w:jc w:val="center"/>
        <w:rPr>
          <w:rFonts w:ascii="方正小标宋简体" w:eastAsia="方正小标宋简体" w:hAnsi="等线"/>
          <w:sz w:val="44"/>
          <w:szCs w:val="44"/>
        </w:rPr>
      </w:pPr>
      <w:r>
        <w:rPr>
          <w:rFonts w:ascii="方正小标宋简体" w:eastAsia="方正小标宋简体" w:hAnsi="等线"/>
          <w:sz w:val="44"/>
          <w:szCs w:val="44"/>
        </w:rPr>
        <w:t>通</w:t>
      </w:r>
      <w:r>
        <w:rPr>
          <w:rFonts w:ascii="方正小标宋简体" w:eastAsia="方正小标宋简体" w:hAnsi="等线" w:hint="eastAsia"/>
          <w:sz w:val="44"/>
          <w:szCs w:val="44"/>
        </w:rPr>
        <w:t xml:space="preserve">  </w:t>
      </w:r>
      <w:r>
        <w:rPr>
          <w:rFonts w:ascii="方正小标宋简体" w:eastAsia="方正小标宋简体" w:hAnsi="等线"/>
          <w:sz w:val="44"/>
          <w:szCs w:val="44"/>
        </w:rPr>
        <w:t>知</w:t>
      </w:r>
    </w:p>
    <w:p w:rsidR="00D92198" w:rsidRDefault="00D92198">
      <w:pPr>
        <w:rPr>
          <w:rFonts w:ascii="楷体_GB2312" w:eastAsia="楷体_GB2312" w:hAnsi="等线"/>
          <w:sz w:val="32"/>
          <w:szCs w:val="32"/>
        </w:rPr>
      </w:pPr>
    </w:p>
    <w:p w:rsidR="00D92198" w:rsidRDefault="00AE1128">
      <w:pPr>
        <w:rPr>
          <w:rFonts w:ascii="仿宋_GB2312" w:eastAsia="仿宋_GB2312" w:hAnsi="仿宋"/>
          <w:sz w:val="32"/>
          <w:szCs w:val="32"/>
        </w:rPr>
      </w:pPr>
      <w:r>
        <w:rPr>
          <w:rFonts w:ascii="仿宋_GB2312" w:eastAsia="仿宋_GB2312" w:hAnsi="仿宋" w:hint="eastAsia"/>
          <w:sz w:val="32"/>
          <w:szCs w:val="32"/>
        </w:rPr>
        <w:t>各县（市、区）人民政府，城乡一体化示范区、高新区、鸭河工区、官庄工区、卧龙综合保税区管委会，市人民政府各部门：</w:t>
      </w:r>
    </w:p>
    <w:p w:rsidR="00D92198" w:rsidRDefault="00AE1128">
      <w:pPr>
        <w:ind w:firstLine="645"/>
        <w:rPr>
          <w:rFonts w:ascii="仿宋_GB2312" w:eastAsia="仿宋_GB2312" w:hAnsi="仿宋"/>
          <w:sz w:val="32"/>
          <w:szCs w:val="32"/>
        </w:rPr>
      </w:pPr>
      <w:r>
        <w:rPr>
          <w:rFonts w:ascii="仿宋_GB2312" w:eastAsia="仿宋_GB2312" w:hAnsi="仿宋" w:hint="eastAsia"/>
          <w:sz w:val="32"/>
          <w:szCs w:val="32"/>
        </w:rPr>
        <w:t>《南阳市国民经济和社会发展第十四个五年规划和二〇三五年远景目标纲要》已经南阳市第六届人民代表大会第四次会议审查批准,现印发给你们,请认真组织实施。</w:t>
      </w:r>
    </w:p>
    <w:p w:rsidR="00D92198" w:rsidRDefault="00AE1128">
      <w:pPr>
        <w:ind w:firstLine="645"/>
        <w:rPr>
          <w:rFonts w:ascii="仿宋_GB2312" w:eastAsia="仿宋_GB2312" w:hAnsi="仿宋"/>
          <w:sz w:val="32"/>
          <w:szCs w:val="32"/>
        </w:rPr>
      </w:pPr>
      <w:r>
        <w:rPr>
          <w:rFonts w:ascii="仿宋_GB2312" w:eastAsia="仿宋_GB2312" w:hAnsi="仿宋" w:hint="eastAsia"/>
          <w:sz w:val="32"/>
          <w:szCs w:val="32"/>
        </w:rPr>
        <w:t xml:space="preserve"> </w:t>
      </w:r>
    </w:p>
    <w:p w:rsidR="00D92198" w:rsidRDefault="00AE1128">
      <w:pPr>
        <w:ind w:firstLine="645"/>
        <w:rPr>
          <w:rFonts w:ascii="仿宋_GB2312" w:eastAsia="仿宋_GB2312" w:hAnsi="仿宋"/>
          <w:sz w:val="32"/>
          <w:szCs w:val="32"/>
        </w:rPr>
      </w:pPr>
      <w:r>
        <w:rPr>
          <w:rFonts w:ascii="仿宋_GB2312" w:eastAsia="仿宋_GB2312" w:hAnsi="仿宋" w:hint="eastAsia"/>
          <w:sz w:val="32"/>
          <w:szCs w:val="32"/>
        </w:rPr>
        <w:t xml:space="preserve">                               2021年6月28日</w:t>
      </w:r>
    </w:p>
    <w:p w:rsidR="00D92198" w:rsidRDefault="00D92198">
      <w:pPr>
        <w:pStyle w:val="a0"/>
        <w:jc w:val="both"/>
        <w:rPr>
          <w:rFonts w:ascii="仿宋_GB2312" w:eastAsia="仿宋_GB2312"/>
          <w:sz w:val="44"/>
          <w:szCs w:val="44"/>
        </w:rPr>
      </w:pPr>
    </w:p>
    <w:p w:rsidR="00D92198" w:rsidRDefault="00D92198">
      <w:pPr>
        <w:spacing w:line="520" w:lineRule="exact"/>
        <w:jc w:val="center"/>
        <w:rPr>
          <w:rFonts w:ascii="黑体" w:eastAsia="黑体" w:hAnsi="黑体"/>
          <w:sz w:val="44"/>
          <w:szCs w:val="44"/>
        </w:rPr>
      </w:pPr>
    </w:p>
    <w:p w:rsidR="00D92198" w:rsidRDefault="00D92198">
      <w:pPr>
        <w:spacing w:line="520" w:lineRule="exact"/>
        <w:jc w:val="center"/>
        <w:rPr>
          <w:rFonts w:ascii="黑体" w:eastAsia="黑体" w:hAnsi="黑体"/>
          <w:sz w:val="44"/>
          <w:szCs w:val="44"/>
        </w:rPr>
      </w:pPr>
    </w:p>
    <w:p w:rsidR="00D92198" w:rsidRDefault="00D92198">
      <w:pPr>
        <w:pStyle w:val="a0"/>
        <w:jc w:val="both"/>
      </w:pPr>
    </w:p>
    <w:p w:rsidR="00D92198" w:rsidRDefault="00D92198">
      <w:pPr>
        <w:pStyle w:val="a0"/>
        <w:jc w:val="both"/>
        <w:rPr>
          <w:rFonts w:ascii="仿宋_GB2312" w:eastAsia="仿宋_GB2312"/>
          <w:sz w:val="44"/>
          <w:szCs w:val="44"/>
        </w:rPr>
        <w:sectPr w:rsidR="00D92198">
          <w:headerReference w:type="default" r:id="rId9"/>
          <w:footerReference w:type="default" r:id="rId10"/>
          <w:pgSz w:w="11906" w:h="16838"/>
          <w:pgMar w:top="2098" w:right="1474" w:bottom="1985" w:left="1588" w:header="851" w:footer="992" w:gutter="0"/>
          <w:pgNumType w:start="1"/>
          <w:cols w:space="425"/>
          <w:docGrid w:type="lines" w:linePitch="312"/>
        </w:sectPr>
      </w:pPr>
    </w:p>
    <w:p w:rsidR="00D92198" w:rsidRDefault="00AE1128" w:rsidP="00A61652">
      <w:pPr>
        <w:spacing w:afterLines="100" w:after="312" w:line="640" w:lineRule="exact"/>
        <w:jc w:val="center"/>
        <w:rPr>
          <w:rFonts w:ascii="方正小标宋简体" w:eastAsia="方正小标宋简体" w:hAnsi="等线"/>
          <w:w w:val="90"/>
          <w:sz w:val="44"/>
          <w:szCs w:val="44"/>
        </w:rPr>
      </w:pPr>
      <w:r>
        <w:rPr>
          <w:rFonts w:ascii="方正小标宋简体" w:eastAsia="方正小标宋简体" w:hAnsi="等线" w:hint="eastAsia"/>
          <w:w w:val="90"/>
          <w:sz w:val="44"/>
          <w:szCs w:val="44"/>
        </w:rPr>
        <w:lastRenderedPageBreak/>
        <w:t>南阳市</w:t>
      </w:r>
      <w:r>
        <w:rPr>
          <w:rFonts w:ascii="方正小标宋简体" w:eastAsia="方正小标宋简体" w:hAnsi="等线"/>
          <w:w w:val="90"/>
          <w:sz w:val="44"/>
          <w:szCs w:val="44"/>
        </w:rPr>
        <w:t>国民经济和社会发展</w:t>
      </w:r>
    </w:p>
    <w:p w:rsidR="00D92198" w:rsidRDefault="00AE1128" w:rsidP="00A61652">
      <w:pPr>
        <w:spacing w:afterLines="100" w:after="312" w:line="640" w:lineRule="exact"/>
        <w:jc w:val="center"/>
        <w:rPr>
          <w:rFonts w:ascii="方正小标宋简体" w:eastAsia="方正小标宋简体" w:hAnsi="等线"/>
          <w:w w:val="90"/>
          <w:sz w:val="44"/>
          <w:szCs w:val="44"/>
        </w:rPr>
      </w:pPr>
      <w:r>
        <w:rPr>
          <w:rFonts w:ascii="方正小标宋简体" w:eastAsia="方正小标宋简体" w:hAnsi="等线"/>
          <w:w w:val="90"/>
          <w:sz w:val="44"/>
          <w:szCs w:val="44"/>
        </w:rPr>
        <w:t>第十四个五年规划和二</w:t>
      </w:r>
      <w:r>
        <w:rPr>
          <w:rFonts w:ascii="宋体" w:hAnsi="宋体" w:cs="宋体" w:hint="eastAsia"/>
          <w:w w:val="90"/>
          <w:sz w:val="44"/>
          <w:szCs w:val="44"/>
        </w:rPr>
        <w:t>〇</w:t>
      </w:r>
      <w:r>
        <w:rPr>
          <w:rFonts w:ascii="方正小标宋简体" w:eastAsia="方正小标宋简体" w:hAnsi="等线"/>
          <w:w w:val="90"/>
          <w:sz w:val="44"/>
          <w:szCs w:val="44"/>
        </w:rPr>
        <w:t>三五年远景目标纲要</w:t>
      </w:r>
    </w:p>
    <w:p w:rsidR="00D92198" w:rsidRDefault="00AE1128" w:rsidP="00A61652">
      <w:pPr>
        <w:spacing w:afterLines="100" w:after="312" w:line="620" w:lineRule="exact"/>
        <w:ind w:firstLineChars="200" w:firstLine="640"/>
        <w:rPr>
          <w:rFonts w:ascii="仿宋_GB2312" w:eastAsia="仿宋_GB2312" w:hAnsi="仿宋"/>
          <w:sz w:val="32"/>
          <w:szCs w:val="32"/>
        </w:rPr>
      </w:pPr>
      <w:r>
        <w:rPr>
          <w:rFonts w:ascii="仿宋_GB2312" w:eastAsia="仿宋_GB2312" w:hAnsi="仿宋" w:hint="eastAsia"/>
          <w:sz w:val="32"/>
          <w:szCs w:val="32"/>
        </w:rPr>
        <w:t>南阳市国民经济和社会发展第十四个五年（2021-2025）规划和二</w:t>
      </w:r>
      <w:r>
        <w:rPr>
          <w:rFonts w:ascii="仿宋_GB2312" w:eastAsia="仿宋" w:hAnsi="仿宋" w:hint="eastAsia"/>
          <w:sz w:val="32"/>
          <w:szCs w:val="32"/>
        </w:rPr>
        <w:t>〇</w:t>
      </w:r>
      <w:r>
        <w:rPr>
          <w:rFonts w:ascii="仿宋_GB2312" w:eastAsia="仿宋_GB2312" w:hAnsi="仿宋" w:hint="eastAsia"/>
          <w:sz w:val="32"/>
          <w:szCs w:val="32"/>
        </w:rPr>
        <w:t>三五年远景目标纲要根据《中共南阳市委关于制定南阳市国民经济和社会发展第十四个五年规划和二</w:t>
      </w:r>
      <w:r>
        <w:rPr>
          <w:rFonts w:ascii="仿宋_GB2312" w:eastAsia="仿宋" w:hAnsi="仿宋" w:hint="eastAsia"/>
          <w:sz w:val="32"/>
          <w:szCs w:val="32"/>
        </w:rPr>
        <w:t>〇</w:t>
      </w:r>
      <w:r>
        <w:rPr>
          <w:rFonts w:ascii="仿宋_GB2312" w:eastAsia="仿宋_GB2312" w:hAnsi="仿宋" w:hint="eastAsia"/>
          <w:sz w:val="32"/>
          <w:szCs w:val="32"/>
        </w:rPr>
        <w:t>三五年远景目标的建议》编制，主要阐明“十四五”时期全市战略意图和政府工作重点，引导规范市场主体行为，统筹重大战略和重大举措时空安排，是政府履行职责的重要依据，是今后五年乃至更长时期全市经济社会发展的宏伟蓝图和全市人民共同奋斗的行动纲领。</w:t>
      </w:r>
    </w:p>
    <w:p w:rsidR="00D92198" w:rsidRDefault="00AE1128">
      <w:pPr>
        <w:spacing w:line="620" w:lineRule="exact"/>
        <w:ind w:leftChars="74" w:left="155"/>
        <w:jc w:val="center"/>
        <w:rPr>
          <w:rFonts w:ascii="方正小标宋简体" w:eastAsia="方正小标宋简体" w:hAnsi="黑体" w:cs="黑体"/>
          <w:sz w:val="32"/>
          <w:szCs w:val="32"/>
        </w:rPr>
      </w:pPr>
      <w:r>
        <w:rPr>
          <w:rFonts w:ascii="方正小标宋简体" w:eastAsia="方正小标宋简体" w:hAnsi="黑体" w:cs="黑体" w:hint="eastAsia"/>
          <w:sz w:val="32"/>
          <w:szCs w:val="32"/>
        </w:rPr>
        <w:t>第一篇 全面建成小康社会，开启全面建设社会主义</w:t>
      </w:r>
    </w:p>
    <w:p w:rsidR="00D92198" w:rsidRDefault="00AE1128" w:rsidP="00A61652">
      <w:pPr>
        <w:spacing w:afterLines="100" w:after="312" w:line="620" w:lineRule="exact"/>
        <w:ind w:leftChars="74" w:left="155"/>
        <w:jc w:val="center"/>
        <w:rPr>
          <w:rFonts w:ascii="方正小标宋简体" w:eastAsia="方正小标宋简体" w:hAnsi="黑体" w:cs="黑体"/>
          <w:sz w:val="32"/>
          <w:szCs w:val="32"/>
        </w:rPr>
      </w:pPr>
      <w:r>
        <w:rPr>
          <w:rFonts w:ascii="方正小标宋简体" w:eastAsia="方正小标宋简体" w:hAnsi="黑体" w:cs="黑体" w:hint="eastAsia"/>
          <w:sz w:val="32"/>
          <w:szCs w:val="32"/>
        </w:rPr>
        <w:t>现代化南阳新征程</w:t>
      </w:r>
    </w:p>
    <w:p w:rsidR="00D92198" w:rsidRDefault="00AE1128" w:rsidP="00A61652">
      <w:pPr>
        <w:spacing w:afterLines="100" w:after="312" w:line="620" w:lineRule="exact"/>
        <w:ind w:firstLineChars="200" w:firstLine="640"/>
        <w:rPr>
          <w:rFonts w:ascii="仿宋_GB2312" w:eastAsia="仿宋_GB2312" w:hAnsi="仿宋"/>
          <w:sz w:val="32"/>
          <w:szCs w:val="32"/>
        </w:rPr>
      </w:pPr>
      <w:r>
        <w:rPr>
          <w:rFonts w:ascii="仿宋_GB2312" w:eastAsia="仿宋_GB2312" w:hAnsi="仿宋" w:hint="eastAsia"/>
          <w:sz w:val="32"/>
          <w:szCs w:val="32"/>
        </w:rPr>
        <w:t>“十四五”时期，是开启全面建设社会主义现代化南阳新征程的第一个五年，是打造新兴区域经济中心、高质量建设大城市的关键五年。必须全面贯彻落实党的十九届五中全会精神和省、市决策部署，立足新发展阶段、贯彻新发展理念、融入新发展格局，奋力开创现代化南阳建设新局面。</w:t>
      </w:r>
    </w:p>
    <w:p w:rsidR="00D92198" w:rsidRDefault="00AE1128" w:rsidP="00A61652">
      <w:pPr>
        <w:spacing w:afterLines="100" w:after="312" w:line="620" w:lineRule="exact"/>
        <w:jc w:val="center"/>
        <w:rPr>
          <w:rFonts w:ascii="黑体" w:eastAsia="黑体" w:hAnsi="黑体"/>
          <w:sz w:val="32"/>
          <w:szCs w:val="32"/>
        </w:rPr>
      </w:pPr>
      <w:r>
        <w:rPr>
          <w:rFonts w:ascii="黑体" w:eastAsia="黑体" w:hAnsi="黑体" w:hint="eastAsia"/>
          <w:sz w:val="32"/>
          <w:szCs w:val="32"/>
        </w:rPr>
        <w:lastRenderedPageBreak/>
        <w:t>第一章  发展环境</w:t>
      </w:r>
    </w:p>
    <w:p w:rsidR="00D92198" w:rsidRDefault="00AE1128" w:rsidP="00A61652">
      <w:pPr>
        <w:spacing w:afterLines="100" w:after="312" w:line="6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进入新发展阶段，我市发展基础更加坚实，发展环境发生深刻复杂变化，进一步发展面临新的机遇和挑战。</w:t>
      </w:r>
    </w:p>
    <w:p w:rsidR="00D92198" w:rsidRDefault="00AE1128" w:rsidP="00A61652">
      <w:pPr>
        <w:spacing w:afterLines="100" w:after="312" w:line="620" w:lineRule="exact"/>
        <w:jc w:val="center"/>
        <w:rPr>
          <w:rFonts w:ascii="楷体_GB2312" w:eastAsia="楷体_GB2312"/>
          <w:b/>
          <w:sz w:val="32"/>
          <w:szCs w:val="32"/>
        </w:rPr>
      </w:pPr>
      <w:r>
        <w:rPr>
          <w:rFonts w:ascii="楷体_GB2312" w:eastAsia="楷体_GB2312" w:hint="eastAsia"/>
          <w:b/>
          <w:sz w:val="32"/>
          <w:szCs w:val="32"/>
        </w:rPr>
        <w:t>第一节  决胜全面建成小康社会取得决定性成就</w:t>
      </w:r>
    </w:p>
    <w:p w:rsidR="00D92198" w:rsidRDefault="00AE1128">
      <w:pPr>
        <w:spacing w:line="6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三五”时期是全面建成小康社会决胜阶段。面对错综复杂的外部环境、艰巨繁重的改革发展稳定任务，特别是新冠肺炎疫情的严重冲击，市委、市政府坚持以习近平新时代中国特色社会主义思想为指导，认真贯彻党中央、国务院和省委、省政府各项决策部署，团结带领全市人民强力推进党的建设和经济发展“两个高质量”工作体系，深入实施“两轮两翼”战略，重抓重推“九大专项”，打基础谋长远、补短板强弱项、聚重点促转型，夯基垒台、积厚成势，“十三五”规划目标任务总体完成，全面建成小康社会取得伟大历史成果。</w:t>
      </w:r>
    </w:p>
    <w:p w:rsidR="00D92198" w:rsidRDefault="00AE1128">
      <w:pPr>
        <w:spacing w:line="620" w:lineRule="exact"/>
        <w:ind w:firstLineChars="200" w:firstLine="643"/>
        <w:rPr>
          <w:rFonts w:ascii="仿宋_GB2312" w:eastAsia="仿宋_GB2312"/>
          <w:sz w:val="32"/>
          <w:szCs w:val="32"/>
        </w:rPr>
      </w:pPr>
      <w:r>
        <w:rPr>
          <w:rFonts w:ascii="仿宋_GB2312" w:eastAsia="仿宋_GB2312" w:hAnsi="仿宋_GB2312" w:cs="仿宋_GB2312" w:hint="eastAsia"/>
          <w:b/>
          <w:bCs/>
          <w:sz w:val="32"/>
          <w:szCs w:val="32"/>
        </w:rPr>
        <w:t>经济实力大幅提升。</w:t>
      </w:r>
      <w:r>
        <w:rPr>
          <w:rFonts w:ascii="仿宋_GB2312" w:eastAsia="仿宋_GB2312" w:hAnsi="仿宋_GB2312" w:cs="仿宋_GB2312" w:hint="eastAsia"/>
          <w:sz w:val="32"/>
          <w:szCs w:val="32"/>
        </w:rPr>
        <w:t>经济总量迈上</w:t>
      </w:r>
      <w:r>
        <w:rPr>
          <w:rFonts w:ascii="仿宋_GB2312" w:eastAsia="仿宋_GB2312" w:hAnsi="仿宋_GB2312" w:cs="仿宋_GB2312"/>
          <w:sz w:val="32"/>
          <w:szCs w:val="32"/>
        </w:rPr>
        <w:t>3千亿元</w:t>
      </w:r>
      <w:r>
        <w:rPr>
          <w:rFonts w:ascii="仿宋_GB2312" w:eastAsia="仿宋_GB2312" w:hAnsi="仿宋_GB2312" w:cs="仿宋_GB2312" w:hint="eastAsia"/>
          <w:sz w:val="32"/>
          <w:szCs w:val="32"/>
        </w:rPr>
        <w:t>台阶，接近</w:t>
      </w:r>
      <w:r>
        <w:rPr>
          <w:rFonts w:ascii="仿宋_GB2312" w:eastAsia="仿宋_GB2312" w:hAnsi="仿宋_GB2312" w:cs="仿宋_GB2312"/>
          <w:sz w:val="32"/>
          <w:szCs w:val="32"/>
        </w:rPr>
        <w:t>4千亿元</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2020年居民人均可支配收入达到23480元</w:t>
      </w:r>
      <w:r>
        <w:rPr>
          <w:rFonts w:ascii="仿宋_GB2312" w:eastAsia="仿宋_GB2312" w:hAnsi="仿宋_GB2312" w:cs="仿宋_GB2312" w:hint="eastAsia"/>
          <w:sz w:val="32"/>
          <w:szCs w:val="32"/>
        </w:rPr>
        <w:t>，比</w:t>
      </w:r>
      <w:r>
        <w:rPr>
          <w:rFonts w:ascii="仿宋_GB2312" w:eastAsia="仿宋_GB2312" w:hAnsi="仿宋_GB2312" w:cs="仿宋_GB2312"/>
          <w:sz w:val="32"/>
          <w:szCs w:val="32"/>
        </w:rPr>
        <w:t>2010年翻一番</w:t>
      </w:r>
      <w:r>
        <w:rPr>
          <w:rFonts w:ascii="仿宋_GB2312" w:eastAsia="仿宋_GB2312" w:hAnsi="仿宋_GB2312" w:cs="仿宋_GB2312" w:hint="eastAsia"/>
          <w:sz w:val="32"/>
          <w:szCs w:val="32"/>
        </w:rPr>
        <w:t>。</w:t>
      </w:r>
      <w:r>
        <w:rPr>
          <w:rFonts w:ascii="仿宋_GB2312" w:eastAsia="仿宋_GB2312" w:hint="eastAsia"/>
          <w:sz w:val="32"/>
          <w:szCs w:val="32"/>
        </w:rPr>
        <w:t>全社会固定资产投资年均增长</w:t>
      </w:r>
      <w:r>
        <w:rPr>
          <w:rFonts w:ascii="仿宋_GB2312" w:eastAsia="仿宋_GB2312"/>
          <w:sz w:val="32"/>
          <w:szCs w:val="32"/>
        </w:rPr>
        <w:t>10.4%</w:t>
      </w:r>
      <w:r>
        <w:rPr>
          <w:rFonts w:ascii="仿宋_GB2312" w:eastAsia="仿宋_GB2312" w:hint="eastAsia"/>
          <w:sz w:val="32"/>
          <w:szCs w:val="32"/>
        </w:rPr>
        <w:t>。一般公共预算收入达到</w:t>
      </w:r>
      <w:r>
        <w:rPr>
          <w:rFonts w:ascii="仿宋_GB2312" w:eastAsia="仿宋_GB2312"/>
          <w:sz w:val="32"/>
          <w:szCs w:val="32"/>
        </w:rPr>
        <w:t>202</w:t>
      </w:r>
      <w:r>
        <w:rPr>
          <w:rFonts w:ascii="仿宋_GB2312" w:eastAsia="仿宋_GB2312" w:hint="eastAsia"/>
          <w:sz w:val="32"/>
          <w:szCs w:val="32"/>
        </w:rPr>
        <w:t>亿元，年均增长</w:t>
      </w:r>
      <w:r>
        <w:rPr>
          <w:rFonts w:ascii="仿宋_GB2312" w:eastAsia="仿宋_GB2312"/>
          <w:sz w:val="32"/>
          <w:szCs w:val="32"/>
        </w:rPr>
        <w:t>5.2</w:t>
      </w:r>
      <w:r>
        <w:rPr>
          <w:rFonts w:ascii="仿宋_GB2312" w:eastAsia="仿宋_GB2312" w:hint="eastAsia"/>
          <w:sz w:val="32"/>
          <w:szCs w:val="32"/>
        </w:rPr>
        <w:t>％，其中，在减税降费的大背景下，税收收入比五年前增长</w:t>
      </w:r>
      <w:r>
        <w:rPr>
          <w:rFonts w:ascii="仿宋_GB2312" w:eastAsia="仿宋_GB2312"/>
          <w:sz w:val="32"/>
          <w:szCs w:val="32"/>
        </w:rPr>
        <w:t>3</w:t>
      </w:r>
      <w:r>
        <w:rPr>
          <w:rFonts w:ascii="仿宋_GB2312" w:eastAsia="仿宋_GB2312" w:hint="eastAsia"/>
          <w:sz w:val="32"/>
          <w:szCs w:val="32"/>
        </w:rPr>
        <w:t>4</w:t>
      </w:r>
      <w:r>
        <w:rPr>
          <w:rFonts w:ascii="仿宋_GB2312" w:eastAsia="仿宋_GB2312"/>
          <w:sz w:val="32"/>
          <w:szCs w:val="32"/>
        </w:rPr>
        <w:t>.4</w:t>
      </w:r>
      <w:r>
        <w:rPr>
          <w:rFonts w:ascii="仿宋_GB2312" w:eastAsia="仿宋_GB2312" w:hint="eastAsia"/>
          <w:sz w:val="32"/>
          <w:szCs w:val="32"/>
        </w:rPr>
        <w:t>亿元。粮食产量稳定在140</w:t>
      </w:r>
      <w:r>
        <w:rPr>
          <w:rFonts w:ascii="仿宋_GB2312" w:eastAsia="仿宋_GB2312"/>
          <w:sz w:val="32"/>
          <w:szCs w:val="32"/>
        </w:rPr>
        <w:t>亿斤</w:t>
      </w:r>
      <w:r>
        <w:rPr>
          <w:rFonts w:ascii="仿宋_GB2312" w:eastAsia="仿宋_GB2312" w:hint="eastAsia"/>
          <w:sz w:val="32"/>
          <w:szCs w:val="32"/>
        </w:rPr>
        <w:t>左右。</w:t>
      </w:r>
    </w:p>
    <w:p w:rsidR="00D92198" w:rsidRDefault="00AE1128">
      <w:pPr>
        <w:spacing w:line="62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三大攻坚战成效显著。</w:t>
      </w:r>
      <w:r>
        <w:rPr>
          <w:rFonts w:ascii="仿宋_GB2312" w:eastAsia="仿宋_GB2312" w:hAnsi="仿宋_GB2312" w:cs="仿宋_GB2312"/>
          <w:sz w:val="32"/>
          <w:szCs w:val="32"/>
        </w:rPr>
        <w:t>7个贫困县全部摘帽，90</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16</w:t>
      </w:r>
      <w:r>
        <w:rPr>
          <w:rFonts w:ascii="仿宋_GB2312" w:eastAsia="仿宋_GB2312" w:hAnsi="仿宋_GB2312" w:cs="仿宋_GB2312" w:hint="eastAsia"/>
          <w:sz w:val="32"/>
          <w:szCs w:val="32"/>
        </w:rPr>
        <w:t>万农村贫困人口全部脱贫，</w:t>
      </w:r>
      <w:r>
        <w:rPr>
          <w:rFonts w:ascii="仿宋_GB2312" w:eastAsia="仿宋_GB2312" w:hAnsi="仿宋_GB2312" w:cs="仿宋_GB2312"/>
          <w:sz w:val="32"/>
          <w:szCs w:val="32"/>
        </w:rPr>
        <w:t>4.88</w:t>
      </w:r>
      <w:r>
        <w:rPr>
          <w:rFonts w:ascii="仿宋_GB2312" w:eastAsia="仿宋_GB2312" w:hAnsi="仿宋_GB2312" w:cs="仿宋_GB2312" w:hint="eastAsia"/>
          <w:sz w:val="32"/>
          <w:szCs w:val="32"/>
        </w:rPr>
        <w:t>万人实现易地扶贫搬迁，“牧原</w:t>
      </w:r>
      <w:r>
        <w:rPr>
          <w:rFonts w:ascii="仿宋_GB2312" w:eastAsia="仿宋_GB2312" w:hAnsi="仿宋_GB2312" w:cs="仿宋_GB2312"/>
          <w:sz w:val="32"/>
          <w:szCs w:val="32"/>
        </w:rPr>
        <w:t>3+N”扶贫模式、政康保、</w:t>
      </w:r>
      <w:r>
        <w:rPr>
          <w:rFonts w:ascii="仿宋_GB2312" w:eastAsia="仿宋_GB2312" w:hAnsi="仿宋_GB2312" w:cs="仿宋_GB2312" w:hint="eastAsia"/>
          <w:sz w:val="32"/>
          <w:szCs w:val="32"/>
        </w:rPr>
        <w:t>政福保、</w:t>
      </w:r>
      <w:r>
        <w:rPr>
          <w:rFonts w:ascii="仿宋_GB2312" w:eastAsia="仿宋_GB2312" w:hAnsi="仿宋_GB2312" w:cs="仿宋_GB2312"/>
          <w:sz w:val="32"/>
          <w:szCs w:val="32"/>
        </w:rPr>
        <w:t>农村特困</w:t>
      </w:r>
      <w:r>
        <w:rPr>
          <w:rFonts w:ascii="仿宋_GB2312" w:eastAsia="仿宋_GB2312" w:hAnsi="仿宋_GB2312" w:cs="仿宋_GB2312" w:hint="eastAsia"/>
          <w:sz w:val="32"/>
          <w:szCs w:val="32"/>
        </w:rPr>
        <w:t>群体</w:t>
      </w:r>
      <w:r>
        <w:rPr>
          <w:rFonts w:ascii="仿宋_GB2312" w:eastAsia="仿宋_GB2312" w:hAnsi="仿宋_GB2312" w:cs="仿宋_GB2312"/>
          <w:sz w:val="32"/>
          <w:szCs w:val="32"/>
        </w:rPr>
        <w:t>“四集中”等创新举措全国</w:t>
      </w:r>
      <w:r>
        <w:rPr>
          <w:rFonts w:ascii="仿宋_GB2312" w:eastAsia="仿宋_GB2312" w:hAnsi="仿宋_GB2312" w:cs="仿宋_GB2312" w:hint="eastAsia"/>
          <w:sz w:val="32"/>
          <w:szCs w:val="32"/>
        </w:rPr>
        <w:t>全省</w:t>
      </w:r>
      <w:r>
        <w:rPr>
          <w:rFonts w:ascii="仿宋_GB2312" w:eastAsia="仿宋_GB2312" w:hAnsi="仿宋_GB2312" w:cs="仿宋_GB2312"/>
          <w:sz w:val="32"/>
          <w:szCs w:val="32"/>
        </w:rPr>
        <w:t>推广</w:t>
      </w:r>
      <w:r>
        <w:rPr>
          <w:rFonts w:ascii="仿宋_GB2312" w:eastAsia="仿宋_GB2312" w:hAnsi="仿宋_GB2312" w:cs="仿宋_GB2312" w:hint="eastAsia"/>
          <w:sz w:val="32"/>
          <w:szCs w:val="32"/>
        </w:rPr>
        <w:t>推介</w:t>
      </w:r>
      <w:r>
        <w:rPr>
          <w:rFonts w:ascii="仿宋_GB2312" w:eastAsia="仿宋_GB2312" w:hAnsi="仿宋_GB2312" w:cs="仿宋_GB2312"/>
          <w:sz w:val="32"/>
          <w:szCs w:val="32"/>
        </w:rPr>
        <w:t>，脱贫攻坚综合成效位居全省前列。蓝天、碧水、净土三大保卫战扎实推进，</w:t>
      </w:r>
      <w:r>
        <w:rPr>
          <w:rFonts w:ascii="仿宋_GB2312" w:eastAsia="仿宋_GB2312" w:hAnsi="仿宋_GB2312" w:cs="仿宋_GB2312" w:hint="eastAsia"/>
          <w:sz w:val="32"/>
          <w:szCs w:val="32"/>
        </w:rPr>
        <w:t>PM</w:t>
      </w:r>
      <w:r>
        <w:rPr>
          <w:rFonts w:ascii="仿宋_GB2312" w:eastAsia="仿宋_GB2312" w:hAnsi="仿宋_GB2312" w:cs="仿宋_GB2312" w:hint="eastAsia"/>
          <w:sz w:val="32"/>
          <w:szCs w:val="32"/>
          <w:vertAlign w:val="subscript"/>
        </w:rPr>
        <w:t>10</w:t>
      </w:r>
      <w:r>
        <w:rPr>
          <w:rFonts w:ascii="仿宋_GB2312" w:eastAsia="仿宋_GB2312" w:hAnsi="仿宋_GB2312" w:cs="仿宋_GB2312" w:hint="eastAsia"/>
          <w:sz w:val="32"/>
          <w:szCs w:val="32"/>
        </w:rPr>
        <w:t>、PM</w:t>
      </w:r>
      <w:r>
        <w:rPr>
          <w:rFonts w:ascii="仿宋_GB2312" w:eastAsia="仿宋_GB2312" w:hAnsi="仿宋_GB2312" w:cs="仿宋_GB2312" w:hint="eastAsia"/>
          <w:sz w:val="32"/>
          <w:szCs w:val="32"/>
          <w:vertAlign w:val="subscript"/>
        </w:rPr>
        <w:t>2.5</w:t>
      </w:r>
      <w:r>
        <w:rPr>
          <w:rFonts w:ascii="仿宋_GB2312" w:eastAsia="仿宋_GB2312" w:hAnsi="仿宋_GB2312" w:cs="仿宋_GB2312" w:hint="eastAsia"/>
          <w:sz w:val="32"/>
          <w:szCs w:val="32"/>
        </w:rPr>
        <w:t>平均浓度分别下降29.2%、15%，空气优良天数明显增加，集中式饮用水水源地水质达标率</w:t>
      </w:r>
      <w:r>
        <w:rPr>
          <w:rFonts w:ascii="仿宋_GB2312" w:eastAsia="仿宋_GB2312" w:hAnsi="仿宋_GB2312" w:cs="仿宋_GB2312"/>
          <w:sz w:val="32"/>
          <w:szCs w:val="32"/>
        </w:rPr>
        <w:t>100%</w:t>
      </w:r>
      <w:r>
        <w:rPr>
          <w:rFonts w:ascii="仿宋_GB2312" w:eastAsia="仿宋_GB2312" w:hAnsi="仿宋_GB2312" w:cs="仿宋_GB2312" w:hint="eastAsia"/>
          <w:sz w:val="32"/>
          <w:szCs w:val="32"/>
        </w:rPr>
        <w:t>，农村居民饮水安全问题彻底解决，南水北调水源地水质稳定保持Ⅱ类以上、安全送水超过350亿立方米，造林总量连年位居全省第一，森林覆盖率达到40.5%。涉疆服务管理创造了“新时代的枫桥经验”，退役军人服务管理工作走在全国前列，扫黑除恶综合打击成效居全省第一方阵，连续荣获“全省平安建设先进省辖市”称号，金融风险有效防范化解，守住了不发生系统性区域性风险底线。</w:t>
      </w:r>
    </w:p>
    <w:p w:rsidR="00D92198" w:rsidRDefault="00AE1128">
      <w:pPr>
        <w:spacing w:line="62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转型升级有力有效。</w:t>
      </w:r>
      <w:r>
        <w:rPr>
          <w:rFonts w:ascii="仿宋_GB2312" w:eastAsia="仿宋_GB2312" w:hAnsi="仿宋_GB2312" w:cs="仿宋_GB2312"/>
          <w:sz w:val="32"/>
          <w:szCs w:val="32"/>
        </w:rPr>
        <w:t>一批科技含量高、市场前景好、经济效益优的项目“平地起谷堆”，一批百亿级产业园区正在发展壮大，装备制造、绿色食品产业向千亿级规模迈进。4</w:t>
      </w:r>
      <w:r>
        <w:rPr>
          <w:rFonts w:ascii="仿宋_GB2312" w:eastAsia="仿宋_GB2312" w:hAnsi="仿宋_GB2312" w:cs="仿宋_GB2312" w:hint="eastAsia"/>
          <w:sz w:val="32"/>
          <w:szCs w:val="32"/>
        </w:rPr>
        <w:t>家企业成功上市。省级以上科技创新平台达到200</w:t>
      </w:r>
      <w:r w:rsidR="00807A73">
        <w:rPr>
          <w:rFonts w:ascii="仿宋_GB2312" w:eastAsia="仿宋_GB2312" w:hAnsi="仿宋_GB2312" w:cs="仿宋_GB2312" w:hint="eastAsia"/>
          <w:sz w:val="32"/>
          <w:szCs w:val="32"/>
        </w:rPr>
        <w:t>家、</w:t>
      </w:r>
      <w:r>
        <w:rPr>
          <w:rFonts w:ascii="仿宋_GB2312" w:eastAsia="仿宋_GB2312" w:hAnsi="仿宋_GB2312" w:cs="仿宋_GB2312" w:hint="eastAsia"/>
          <w:sz w:val="32"/>
          <w:szCs w:val="32"/>
        </w:rPr>
        <w:t>基本实现大中型企业全覆盖，新增高新技术企业</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1</w:t>
      </w:r>
      <w:r>
        <w:rPr>
          <w:rFonts w:ascii="仿宋_GB2312" w:eastAsia="仿宋_GB2312" w:hAnsi="仿宋_GB2312" w:cs="仿宋_GB2312"/>
          <w:sz w:val="32"/>
          <w:szCs w:val="32"/>
        </w:rPr>
        <w:t>0家</w:t>
      </w:r>
      <w:r w:rsidR="00807A73">
        <w:rPr>
          <w:rFonts w:ascii="仿宋_GB2312" w:eastAsia="仿宋_GB2312" w:hAnsi="仿宋_GB2312" w:cs="仿宋_GB2312" w:hint="eastAsia"/>
          <w:sz w:val="32"/>
          <w:szCs w:val="32"/>
        </w:rPr>
        <w:t>、</w:t>
      </w:r>
      <w:r>
        <w:rPr>
          <w:rFonts w:ascii="仿宋_GB2312" w:eastAsia="仿宋_GB2312" w:hAnsi="仿宋_GB2312" w:cs="仿宋_GB2312"/>
          <w:sz w:val="32"/>
          <w:szCs w:val="32"/>
        </w:rPr>
        <w:t>总量是五年前的近5倍</w:t>
      </w:r>
      <w:r>
        <w:rPr>
          <w:rFonts w:ascii="仿宋_GB2312" w:eastAsia="仿宋_GB2312" w:hAnsi="仿宋_GB2312" w:cs="仿宋_GB2312" w:hint="eastAsia"/>
          <w:sz w:val="32"/>
          <w:szCs w:val="32"/>
        </w:rPr>
        <w:t>，实施省级以上科技项目469项，成为国家创新型城市。</w:t>
      </w:r>
    </w:p>
    <w:p w:rsidR="00D92198" w:rsidRDefault="00AE1128">
      <w:pPr>
        <w:spacing w:line="62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基础支撑更加坚实。</w:t>
      </w:r>
      <w:r w:rsidR="00807A73">
        <w:rPr>
          <w:rFonts w:ascii="仿宋_GB2312" w:eastAsia="仿宋_GB2312" w:hAnsi="仿宋_GB2312" w:cs="仿宋_GB2312" w:hint="eastAsia"/>
          <w:sz w:val="32"/>
          <w:szCs w:val="32"/>
        </w:rPr>
        <w:t>郑渝高铁郑襄段开通运营、</w:t>
      </w:r>
      <w:r>
        <w:rPr>
          <w:rFonts w:ascii="仿宋_GB2312" w:eastAsia="仿宋_GB2312" w:hAnsi="仿宋_GB2312" w:cs="仿宋_GB2312" w:hint="eastAsia"/>
          <w:sz w:val="32"/>
          <w:szCs w:val="32"/>
        </w:rPr>
        <w:t>南阳进入</w:t>
      </w:r>
      <w:r w:rsidR="00807A73">
        <w:rPr>
          <w:rFonts w:ascii="仿宋_GB2312" w:eastAsia="仿宋_GB2312" w:hAnsi="仿宋_GB2312" w:cs="仿宋_GB2312" w:hint="eastAsia"/>
          <w:sz w:val="32"/>
          <w:szCs w:val="32"/>
        </w:rPr>
        <w:lastRenderedPageBreak/>
        <w:t>“高铁时代”，浩吉铁路建成通车、</w:t>
      </w:r>
      <w:r>
        <w:rPr>
          <w:rFonts w:ascii="仿宋_GB2312" w:eastAsia="仿宋_GB2312" w:hAnsi="仿宋_GB2312" w:cs="仿宋_GB2312" w:hint="eastAsia"/>
          <w:sz w:val="32"/>
          <w:szCs w:val="32"/>
        </w:rPr>
        <w:t>铁路货运能力显著增强</w:t>
      </w:r>
      <w:r>
        <w:rPr>
          <w:rFonts w:ascii="仿宋" w:eastAsia="仿宋" w:hAnsi="仿宋" w:hint="eastAsia"/>
          <w:sz w:val="32"/>
          <w:szCs w:val="32"/>
        </w:rPr>
        <w:t>。</w:t>
      </w:r>
      <w:r>
        <w:rPr>
          <w:rFonts w:ascii="仿宋_GB2312" w:eastAsia="仿宋_GB2312" w:hAnsi="仿宋_GB2312" w:cs="仿宋_GB2312" w:hint="eastAsia"/>
          <w:sz w:val="32"/>
          <w:szCs w:val="32"/>
        </w:rPr>
        <w:t>南阳机场航线增至20条、通航城市达到26个、年旅客吞吐量突破118万人次。周南高速建成通车，高速公路通车里程达到794公里，在建3段107公里、入规8段796公里。唐河航运工程开工建设。天池抽水蓄能电站加快建设，内乡电厂1号机组、豫西南LNG应急储备中心项目建成投用，风电、光伏并网总规模实现“双百万千瓦”目标。唐白河治理、卧龙区水系连通等重点工程开工建设。累计建成5G基站3184个，县级以上城区实现</w:t>
      </w:r>
      <w:r>
        <w:rPr>
          <w:rFonts w:ascii="仿宋_GB2312" w:eastAsia="仿宋_GB2312" w:hAnsi="仿宋_GB2312" w:cs="仿宋_GB2312"/>
          <w:sz w:val="32"/>
          <w:szCs w:val="32"/>
        </w:rPr>
        <w:t>5G全覆盖。</w:t>
      </w:r>
    </w:p>
    <w:p w:rsidR="00D92198" w:rsidRDefault="00AE1128">
      <w:pPr>
        <w:spacing w:line="62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城乡面貌日新月异。</w:t>
      </w:r>
      <w:r>
        <w:rPr>
          <w:rFonts w:ascii="仿宋_GB2312" w:eastAsia="仿宋_GB2312" w:hAnsi="仿宋_GB2312" w:cs="仿宋_GB2312" w:hint="eastAsia"/>
          <w:sz w:val="32"/>
          <w:szCs w:val="32"/>
        </w:rPr>
        <w:t>常住人口城镇化率达到</w:t>
      </w:r>
      <w:r>
        <w:rPr>
          <w:rFonts w:ascii="仿宋_GB2312" w:eastAsia="仿宋_GB2312" w:hAnsi="仿宋_GB2312" w:cs="仿宋_GB2312"/>
          <w:sz w:val="32"/>
          <w:szCs w:val="32"/>
        </w:rPr>
        <w:t>50</w:t>
      </w:r>
      <w:r>
        <w:rPr>
          <w:rFonts w:ascii="仿宋_GB2312" w:eastAsia="仿宋_GB2312" w:hAnsi="仿宋_GB2312" w:cs="仿宋_GB2312" w:hint="eastAsia"/>
          <w:sz w:val="32"/>
          <w:szCs w:val="32"/>
        </w:rPr>
        <w:t>.59</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96平方公里新城区高点起步，高铁站、</w:t>
      </w:r>
      <w:r>
        <w:rPr>
          <w:rFonts w:ascii="仿宋_GB2312" w:eastAsia="仿宋_GB2312" w:hAnsi="仿宋_GB2312" w:cs="仿宋_GB2312" w:hint="eastAsia"/>
          <w:sz w:val="32"/>
          <w:szCs w:val="32"/>
        </w:rPr>
        <w:t>世界月季大观园、“三馆一院”等重大工程建成投用，商务中心区、城市综合体、景观水系等工程快速推进，“满城绿色半城水”靓姿初显。老城区旧貌换新颜，卧龙岗文化园即将建成，医圣祠文化园和南阳古城项目加快推进；8条内河完成系统整治，中心城区黑臭水体基本消除；新增城市道路124公里，14条断头路、卡脖子路顺利打通；拆墙透绿621处，新增游园绿地28.5万平方米；实施棚改6.7万户，改造老旧小区3.8万户；中心城区问题楼盘化解大头</w:t>
      </w:r>
      <w:r>
        <w:rPr>
          <w:rFonts w:ascii="仿宋_GB2312" w:eastAsia="仿宋_GB2312" w:hAnsi="仿宋_GB2312" w:cs="仿宋_GB2312"/>
          <w:sz w:val="32"/>
          <w:szCs w:val="32"/>
        </w:rPr>
        <w:t>落地</w:t>
      </w:r>
      <w:r w:rsidR="00807A73">
        <w:rPr>
          <w:rFonts w:ascii="仿宋_GB2312" w:eastAsia="仿宋_GB2312" w:hAnsi="仿宋_GB2312" w:cs="仿宋_GB2312" w:hint="eastAsia"/>
          <w:sz w:val="32"/>
          <w:szCs w:val="32"/>
        </w:rPr>
        <w:t>、</w:t>
      </w:r>
      <w:r>
        <w:rPr>
          <w:rFonts w:ascii="仿宋_GB2312" w:eastAsia="仿宋_GB2312" w:hAnsi="仿宋_GB2312" w:cs="仿宋_GB2312"/>
          <w:sz w:val="32"/>
          <w:szCs w:val="32"/>
        </w:rPr>
        <w:t>受益群众60余万人</w:t>
      </w:r>
      <w:r>
        <w:rPr>
          <w:rFonts w:ascii="仿宋_GB2312" w:eastAsia="仿宋_GB2312" w:hAnsi="仿宋_GB2312" w:cs="仿宋_GB2312" w:hint="eastAsia"/>
          <w:sz w:val="32"/>
          <w:szCs w:val="32"/>
        </w:rPr>
        <w:t>。成功创建全国文明城市、国家卫生城市和国家森林城市。县域百城建设提质工程与文明城</w:t>
      </w:r>
      <w:r>
        <w:rPr>
          <w:rFonts w:ascii="仿宋_GB2312" w:eastAsia="仿宋_GB2312" w:hAnsi="仿宋_GB2312" w:cs="仿宋_GB2312" w:hint="eastAsia"/>
          <w:sz w:val="32"/>
          <w:szCs w:val="32"/>
        </w:rPr>
        <w:lastRenderedPageBreak/>
        <w:t>市创建统筹推进，乡村振兴战略深入实施，城乡面貌焕然一新。</w:t>
      </w:r>
    </w:p>
    <w:p w:rsidR="00D92198" w:rsidRDefault="00AE1128">
      <w:pPr>
        <w:spacing w:line="62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改革开放全面深化。</w:t>
      </w:r>
      <w:r>
        <w:rPr>
          <w:rFonts w:ascii="仿宋_GB2312" w:eastAsia="仿宋_GB2312" w:hAnsi="仿宋_GB2312" w:cs="仿宋_GB2312" w:hint="eastAsia"/>
          <w:sz w:val="32"/>
          <w:szCs w:val="32"/>
        </w:rPr>
        <w:t>市县两级实现“一窗通办”“一网通办”全覆盖</w:t>
      </w:r>
      <w:r>
        <w:rPr>
          <w:rFonts w:ascii="仿宋_GB2312" w:eastAsia="仿宋_GB2312" w:hAnsi="仿宋_GB2312" w:cs="仿宋_GB2312"/>
          <w:sz w:val="32"/>
          <w:szCs w:val="32"/>
        </w:rPr>
        <w:t>，一体化政务服务平台、“互联网+监管”系统建成并实现与全国全省对接</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营商环境</w:t>
      </w:r>
      <w:r>
        <w:rPr>
          <w:rFonts w:ascii="仿宋_GB2312" w:eastAsia="仿宋_GB2312" w:hAnsi="仿宋_GB2312" w:cs="仿宋_GB2312" w:hint="eastAsia"/>
          <w:sz w:val="32"/>
          <w:szCs w:val="32"/>
        </w:rPr>
        <w:t>不断优化，市场主体达到59万户，年均增长20%以上</w:t>
      </w:r>
      <w:r>
        <w:rPr>
          <w:rFonts w:ascii="仿宋_GB2312" w:eastAsia="仿宋_GB2312" w:hAnsi="仿宋_GB2312" w:cs="仿宋_GB2312"/>
          <w:sz w:val="32"/>
          <w:szCs w:val="32"/>
        </w:rPr>
        <w:t>。党政机构改革</w:t>
      </w:r>
      <w:r>
        <w:rPr>
          <w:rFonts w:ascii="仿宋_GB2312" w:eastAsia="仿宋_GB2312" w:hAnsi="仿宋_GB2312" w:cs="仿宋_GB2312" w:hint="eastAsia"/>
          <w:sz w:val="32"/>
          <w:szCs w:val="32"/>
        </w:rPr>
        <w:t>、乡镇（街道）机构改革</w:t>
      </w:r>
      <w:r>
        <w:rPr>
          <w:rFonts w:ascii="仿宋_GB2312" w:eastAsia="仿宋_GB2312" w:hAnsi="仿宋_GB2312" w:cs="仿宋_GB2312"/>
          <w:sz w:val="32"/>
          <w:szCs w:val="32"/>
        </w:rPr>
        <w:t>任务全面完成。</w:t>
      </w:r>
      <w:r>
        <w:rPr>
          <w:rFonts w:ascii="仿宋_GB2312" w:eastAsia="仿宋_GB2312" w:hAnsi="仿宋_GB2312" w:cs="仿宋_GB2312" w:hint="eastAsia"/>
          <w:sz w:val="32"/>
          <w:szCs w:val="32"/>
        </w:rPr>
        <w:t>农村承包地、集体产权、宅基地等改革取得阶段性进展。社会信用体系建设初见成效</w:t>
      </w:r>
      <w:r>
        <w:rPr>
          <w:rFonts w:ascii="仿宋_GB2312" w:eastAsia="仿宋_GB2312" w:hAnsi="仿宋_GB2312" w:cs="仿宋_GB2312"/>
          <w:sz w:val="32"/>
          <w:szCs w:val="32"/>
        </w:rPr>
        <w:t>。2019世界月季洲际大会成功举办。京宛对口协作持续深化</w:t>
      </w:r>
      <w:r>
        <w:rPr>
          <w:rFonts w:ascii="仿宋_GB2312" w:eastAsia="仿宋_GB2312" w:hAnsi="仿宋_GB2312" w:cs="仿宋_GB2312" w:hint="eastAsia"/>
          <w:sz w:val="32"/>
          <w:szCs w:val="32"/>
        </w:rPr>
        <w:t>。</w:t>
      </w:r>
      <w:hyperlink r:id="rId11" w:tgtFrame="https://www.so.com/_blank" w:history="1">
        <w:r>
          <w:rPr>
            <w:rFonts w:ascii="仿宋_GB2312" w:eastAsia="仿宋_GB2312" w:hAnsi="仿宋_GB2312" w:cs="仿宋_GB2312" w:hint="eastAsia"/>
            <w:sz w:val="32"/>
            <w:szCs w:val="32"/>
          </w:rPr>
          <w:t>卧龙综合保税区封关运行</w:t>
        </w:r>
      </w:hyperlink>
      <w:r>
        <w:rPr>
          <w:rFonts w:ascii="仿宋_GB2312" w:eastAsia="仿宋_GB2312" w:hAnsi="仿宋_GB2312" w:cs="仿宋_GB2312" w:hint="eastAsia"/>
          <w:sz w:val="32"/>
          <w:szCs w:val="32"/>
        </w:rPr>
        <w:t>，</w:t>
      </w:r>
      <w:r>
        <w:rPr>
          <w:rFonts w:ascii="仿宋_GB2312" w:eastAsia="仿宋_GB2312" w:hAnsi="仿宋_GB2312" w:cs="仿宋_GB2312"/>
          <w:sz w:val="32"/>
          <w:szCs w:val="32"/>
        </w:rPr>
        <w:t>中欧班列成功开通</w:t>
      </w:r>
      <w:r>
        <w:rPr>
          <w:rFonts w:ascii="仿宋_GB2312" w:eastAsia="仿宋_GB2312" w:hAnsi="仿宋_GB2312" w:cs="仿宋_GB2312" w:hint="eastAsia"/>
          <w:sz w:val="32"/>
          <w:szCs w:val="32"/>
        </w:rPr>
        <w:t>。获批中国（南阳）跨境电商综合试验区和零售进口试点城市。</w:t>
      </w:r>
    </w:p>
    <w:p w:rsidR="00D92198" w:rsidRDefault="00AE1128">
      <w:pPr>
        <w:spacing w:line="62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民生福祉持续改善。</w:t>
      </w:r>
      <w:r>
        <w:rPr>
          <w:rFonts w:ascii="仿宋_GB2312" w:eastAsia="仿宋_GB2312" w:hAnsi="仿宋_GB2312" w:cs="仿宋_GB2312" w:hint="eastAsia"/>
          <w:sz w:val="32"/>
          <w:szCs w:val="32"/>
        </w:rPr>
        <w:t>民生支出占比稳定保持</w:t>
      </w:r>
      <w:r>
        <w:rPr>
          <w:rFonts w:ascii="仿宋_GB2312" w:eastAsia="仿宋_GB2312" w:hAnsi="仿宋_GB2312" w:cs="仿宋_GB2312"/>
          <w:sz w:val="32"/>
          <w:szCs w:val="32"/>
        </w:rPr>
        <w:t>80%以上。城镇新增就业累计超过3</w:t>
      </w:r>
      <w:r>
        <w:rPr>
          <w:rFonts w:ascii="仿宋_GB2312" w:eastAsia="仿宋_GB2312" w:hAnsi="仿宋_GB2312" w:cs="仿宋_GB2312" w:hint="eastAsia"/>
          <w:sz w:val="32"/>
          <w:szCs w:val="32"/>
        </w:rPr>
        <w:t>7</w:t>
      </w:r>
      <w:r>
        <w:rPr>
          <w:rFonts w:ascii="仿宋_GB2312" w:eastAsia="仿宋_GB2312" w:hAnsi="仿宋_GB2312" w:cs="仿宋_GB2312"/>
          <w:sz w:val="32"/>
          <w:szCs w:val="32"/>
        </w:rPr>
        <w:t>万人，城乡居民基本养老保险和基本医疗保险实现制度、人群全覆盖。</w:t>
      </w:r>
      <w:r>
        <w:rPr>
          <w:rFonts w:ascii="仿宋_GB2312" w:eastAsia="仿宋_GB2312" w:hAnsi="仿宋_GB2312" w:cs="仿宋_GB2312" w:hint="eastAsia"/>
          <w:sz w:val="32"/>
          <w:szCs w:val="32"/>
        </w:rPr>
        <w:t>所有县市区通过国家义务教育发展基本均衡县验收，投资</w:t>
      </w:r>
      <w:r>
        <w:rPr>
          <w:rFonts w:ascii="仿宋_GB2312" w:eastAsia="仿宋_GB2312" w:hAnsi="仿宋_GB2312" w:cs="仿宋_GB2312"/>
          <w:sz w:val="32"/>
          <w:szCs w:val="32"/>
        </w:rPr>
        <w:t>120亿元的20所完全学校建设扎实推进、8所建成招生，</w:t>
      </w:r>
      <w:r>
        <w:rPr>
          <w:rFonts w:ascii="仿宋_GB2312" w:eastAsia="仿宋_GB2312" w:hAnsi="仿宋_GB2312" w:cs="仿宋_GB2312" w:hint="eastAsia"/>
          <w:sz w:val="32"/>
          <w:szCs w:val="32"/>
        </w:rPr>
        <w:t>市一中新校区加快</w:t>
      </w:r>
      <w:r>
        <w:rPr>
          <w:rFonts w:ascii="仿宋_GB2312" w:eastAsia="仿宋_GB2312" w:hAnsi="仿宋_GB2312" w:cs="仿宋_GB2312"/>
          <w:sz w:val="32"/>
          <w:szCs w:val="32"/>
        </w:rPr>
        <w:t>建设</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普通高考一本上线率实现“十连增”。</w:t>
      </w:r>
      <w:r>
        <w:rPr>
          <w:rFonts w:ascii="仿宋_GB2312" w:eastAsia="仿宋_GB2312" w:hAnsi="仿宋_GB2312" w:cs="仿宋_GB2312" w:hint="eastAsia"/>
          <w:sz w:val="32"/>
          <w:szCs w:val="32"/>
        </w:rPr>
        <w:t>所有县级人民医院全部建成县域医疗中心，全市三甲医院达到6家。中心城区“一校一馆六院三中心”医疗卫生项目启动实施。公共文化服务体系稳步提升。社会治理体系不断健全。</w:t>
      </w:r>
    </w:p>
    <w:p w:rsidR="00D92198" w:rsidRDefault="00AE1128">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全面从严治党纵深推进。</w:t>
      </w:r>
      <w:r>
        <w:rPr>
          <w:rFonts w:ascii="仿宋_GB2312" w:eastAsia="仿宋_GB2312" w:hAnsi="仿宋_GB2312" w:cs="仿宋_GB2312" w:hint="eastAsia"/>
          <w:sz w:val="32"/>
          <w:szCs w:val="32"/>
        </w:rPr>
        <w:t>“两学一做”学习教育常态化制</w:t>
      </w:r>
      <w:r>
        <w:rPr>
          <w:rFonts w:ascii="仿宋_GB2312" w:eastAsia="仿宋_GB2312" w:hAnsi="仿宋_GB2312" w:cs="仿宋_GB2312" w:hint="eastAsia"/>
          <w:sz w:val="32"/>
          <w:szCs w:val="32"/>
        </w:rPr>
        <w:lastRenderedPageBreak/>
        <w:t>度化推进，“不忘初心、牢记使命”主题教育走深走实，学习贯彻习近平新时代中国特色社会主义思想入脑入心，“四议两公开”工作法写入《中国共产党农村基层组织工作条例》和《中国共产党农村工作条例》，全域党建创新实施，“干部作风整顿年”“作风建设提升年”等活动接续发力，“用心工作、务实重干”成为广大党员干部的共识和导向，反腐败斗争取得压倒性胜利，风清气正的政治生态持续巩固发展。特别是面对新冠肺炎疫情的冲击，我们在以习近平总书记为核心的党中央和省委、省政府的坚强领导下，迅速反应、果断行动，把疫情防控作为压倒一切的政治任务，强化党建引领，统筹推进精准防控、集中救治、物资保障、维护稳定、复工复产等工作，有效遏制了疫情向全省、向北方、向首都蔓延，在打好疫情防控和经济社会发展“两场硬仗”中展示了南阳担当。</w:t>
      </w:r>
    </w:p>
    <w:p w:rsidR="00D92198" w:rsidRDefault="00AE1128">
      <w:pPr>
        <w:pStyle w:val="ad"/>
        <w:spacing w:line="600" w:lineRule="exact"/>
        <w:ind w:firstLineChars="200" w:firstLine="640"/>
        <w:rPr>
          <w:rFonts w:ascii="仿宋_GB2312" w:eastAsia="仿宋_GB2312" w:cs="Calibri"/>
          <w:bCs/>
          <w:sz w:val="32"/>
          <w:szCs w:val="32"/>
        </w:rPr>
      </w:pPr>
      <w:r>
        <w:rPr>
          <w:rFonts w:ascii="仿宋_GB2312" w:eastAsia="仿宋_GB2312" w:cs="Calibri" w:hint="eastAsia"/>
          <w:bCs/>
          <w:sz w:val="32"/>
          <w:szCs w:val="32"/>
        </w:rPr>
        <w:t>五年来，在习近平新时代中国特色社会主义思想指引下，市委、市政府团结带领全市人民，聚焦全面建成小康社会战略目标，把工作导向引领到以党建高质量推动发展高质量上，突出改革推动、开放带动、创新驱动，加快新型工业化、信息化、城镇化、农业现代化同步发展，取得了一系列标志性、历史性重大成就，开启了从传统农业大市向先进制造业大市、从乡村型社会向城市型社会、从内陆腹地向开放高地的转型过渡，为加快建设社会主义现代化南阳奠定了坚实基础。</w:t>
      </w:r>
    </w:p>
    <w:tbl>
      <w:tblPr>
        <w:tblW w:w="8460" w:type="dxa"/>
        <w:tblInd w:w="97" w:type="dxa"/>
        <w:tblLook w:val="04A0" w:firstRow="1" w:lastRow="0" w:firstColumn="1" w:lastColumn="0" w:noHBand="0" w:noVBand="1"/>
      </w:tblPr>
      <w:tblGrid>
        <w:gridCol w:w="417"/>
        <w:gridCol w:w="793"/>
        <w:gridCol w:w="1780"/>
        <w:gridCol w:w="822"/>
        <w:gridCol w:w="955"/>
        <w:gridCol w:w="937"/>
        <w:gridCol w:w="9"/>
        <w:gridCol w:w="955"/>
        <w:gridCol w:w="964"/>
        <w:gridCol w:w="828"/>
      </w:tblGrid>
      <w:tr w:rsidR="00D92198">
        <w:trPr>
          <w:trHeight w:val="384"/>
        </w:trPr>
        <w:tc>
          <w:tcPr>
            <w:tcW w:w="8460"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黑体" w:eastAsia="黑体" w:hAnsi="黑体" w:cs="宋体"/>
                <w:kern w:val="0"/>
                <w:sz w:val="30"/>
                <w:szCs w:val="30"/>
              </w:rPr>
            </w:pPr>
            <w:r>
              <w:rPr>
                <w:rFonts w:ascii="黑体" w:eastAsia="黑体" w:hAnsi="黑体" w:cs="宋体" w:hint="eastAsia"/>
                <w:kern w:val="0"/>
                <w:sz w:val="30"/>
                <w:szCs w:val="30"/>
              </w:rPr>
              <w:lastRenderedPageBreak/>
              <w:t>表1：“十三五”规划主要目标完成情况</w:t>
            </w:r>
          </w:p>
        </w:tc>
      </w:tr>
      <w:tr w:rsidR="00D92198">
        <w:trPr>
          <w:trHeight w:val="576"/>
        </w:trPr>
        <w:tc>
          <w:tcPr>
            <w:tcW w:w="299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t>指标名称</w:t>
            </w:r>
          </w:p>
        </w:tc>
        <w:tc>
          <w:tcPr>
            <w:tcW w:w="822" w:type="dxa"/>
            <w:vMerge w:val="restart"/>
            <w:tcBorders>
              <w:top w:val="nil"/>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t>单位</w:t>
            </w:r>
          </w:p>
        </w:tc>
        <w:tc>
          <w:tcPr>
            <w:tcW w:w="1901" w:type="dxa"/>
            <w:gridSpan w:val="3"/>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jc w:val="center"/>
              <w:rPr>
                <w:rFonts w:ascii="黑体" w:eastAsia="黑体" w:hAnsi="黑体" w:cs="宋体"/>
                <w:w w:val="90"/>
                <w:kern w:val="0"/>
                <w:szCs w:val="21"/>
              </w:rPr>
            </w:pPr>
            <w:r>
              <w:rPr>
                <w:rFonts w:ascii="黑体" w:eastAsia="黑体" w:hAnsi="黑体" w:cs="宋体" w:hint="eastAsia"/>
                <w:w w:val="90"/>
                <w:kern w:val="0"/>
                <w:szCs w:val="21"/>
              </w:rPr>
              <w:t>“十三五”目标</w:t>
            </w:r>
          </w:p>
        </w:tc>
        <w:tc>
          <w:tcPr>
            <w:tcW w:w="1919" w:type="dxa"/>
            <w:gridSpan w:val="2"/>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jc w:val="center"/>
              <w:rPr>
                <w:rFonts w:ascii="黑体" w:eastAsia="黑体" w:hAnsi="黑体" w:cs="宋体"/>
                <w:w w:val="90"/>
                <w:kern w:val="0"/>
                <w:szCs w:val="21"/>
              </w:rPr>
            </w:pPr>
            <w:r>
              <w:rPr>
                <w:rFonts w:ascii="黑体" w:eastAsia="黑体" w:hAnsi="黑体" w:cs="宋体" w:hint="eastAsia"/>
                <w:w w:val="90"/>
                <w:kern w:val="0"/>
                <w:szCs w:val="21"/>
              </w:rPr>
              <w:t>“十三五”完成情况</w:t>
            </w:r>
          </w:p>
        </w:tc>
        <w:tc>
          <w:tcPr>
            <w:tcW w:w="828" w:type="dxa"/>
            <w:vMerge w:val="restart"/>
            <w:tcBorders>
              <w:top w:val="nil"/>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t>指标属性</w:t>
            </w:r>
          </w:p>
        </w:tc>
      </w:tr>
      <w:tr w:rsidR="00D92198">
        <w:trPr>
          <w:trHeight w:val="312"/>
        </w:trPr>
        <w:tc>
          <w:tcPr>
            <w:tcW w:w="2990" w:type="dxa"/>
            <w:gridSpan w:val="3"/>
            <w:vMerge/>
            <w:tcBorders>
              <w:top w:val="single" w:sz="4" w:space="0" w:color="auto"/>
              <w:left w:val="single" w:sz="4" w:space="0" w:color="auto"/>
              <w:bottom w:val="single" w:sz="4" w:space="0" w:color="auto"/>
              <w:right w:val="single" w:sz="4" w:space="0" w:color="auto"/>
            </w:tcBorders>
            <w:vAlign w:val="center"/>
          </w:tcPr>
          <w:p w:rsidR="00D92198" w:rsidRDefault="00D92198">
            <w:pPr>
              <w:widowControl/>
              <w:jc w:val="left"/>
              <w:rPr>
                <w:rFonts w:ascii="黑体" w:eastAsia="黑体" w:hAnsi="黑体" w:cs="宋体"/>
                <w:kern w:val="0"/>
                <w:szCs w:val="21"/>
              </w:rPr>
            </w:pPr>
          </w:p>
        </w:tc>
        <w:tc>
          <w:tcPr>
            <w:tcW w:w="822" w:type="dxa"/>
            <w:vMerge/>
            <w:tcBorders>
              <w:top w:val="nil"/>
              <w:left w:val="single" w:sz="4" w:space="0" w:color="auto"/>
              <w:bottom w:val="single" w:sz="4" w:space="0" w:color="auto"/>
              <w:right w:val="single" w:sz="4" w:space="0" w:color="auto"/>
            </w:tcBorders>
            <w:vAlign w:val="center"/>
          </w:tcPr>
          <w:p w:rsidR="00D92198" w:rsidRDefault="00D92198">
            <w:pPr>
              <w:widowControl/>
              <w:jc w:val="left"/>
              <w:rPr>
                <w:rFonts w:ascii="黑体" w:eastAsia="黑体" w:hAnsi="黑体" w:cs="宋体"/>
                <w:kern w:val="0"/>
                <w:szCs w:val="21"/>
              </w:rPr>
            </w:pPr>
          </w:p>
        </w:tc>
        <w:tc>
          <w:tcPr>
            <w:tcW w:w="955" w:type="dxa"/>
            <w:vMerge w:val="restart"/>
            <w:tcBorders>
              <w:top w:val="nil"/>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t>2020年</w:t>
            </w:r>
          </w:p>
        </w:tc>
        <w:tc>
          <w:tcPr>
            <w:tcW w:w="946" w:type="dxa"/>
            <w:gridSpan w:val="2"/>
            <w:vMerge w:val="restart"/>
            <w:tcBorders>
              <w:top w:val="nil"/>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黑体" w:eastAsia="黑体" w:hAnsi="黑体" w:cs="宋体"/>
                <w:w w:val="80"/>
                <w:kern w:val="0"/>
                <w:szCs w:val="21"/>
              </w:rPr>
            </w:pPr>
            <w:r>
              <w:rPr>
                <w:rFonts w:ascii="黑体" w:eastAsia="黑体" w:hAnsi="黑体" w:cs="宋体" w:hint="eastAsia"/>
                <w:w w:val="80"/>
                <w:kern w:val="0"/>
                <w:szCs w:val="21"/>
              </w:rPr>
              <w:t>年均增长（%）</w:t>
            </w:r>
          </w:p>
        </w:tc>
        <w:tc>
          <w:tcPr>
            <w:tcW w:w="955" w:type="dxa"/>
            <w:vMerge w:val="restart"/>
            <w:tcBorders>
              <w:top w:val="nil"/>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t>2020年</w:t>
            </w:r>
          </w:p>
        </w:tc>
        <w:tc>
          <w:tcPr>
            <w:tcW w:w="964" w:type="dxa"/>
            <w:vMerge w:val="restart"/>
            <w:tcBorders>
              <w:top w:val="nil"/>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黑体" w:eastAsia="黑体" w:hAnsi="黑体" w:cs="宋体"/>
                <w:w w:val="80"/>
                <w:kern w:val="0"/>
                <w:szCs w:val="21"/>
              </w:rPr>
            </w:pPr>
            <w:r>
              <w:rPr>
                <w:rFonts w:ascii="黑体" w:eastAsia="黑体" w:hAnsi="黑体" w:cs="宋体" w:hint="eastAsia"/>
                <w:w w:val="80"/>
                <w:kern w:val="0"/>
                <w:szCs w:val="21"/>
              </w:rPr>
              <w:t>年均增长（%）</w:t>
            </w:r>
          </w:p>
        </w:tc>
        <w:tc>
          <w:tcPr>
            <w:tcW w:w="828" w:type="dxa"/>
            <w:vMerge/>
            <w:tcBorders>
              <w:top w:val="nil"/>
              <w:left w:val="single" w:sz="4" w:space="0" w:color="auto"/>
              <w:bottom w:val="single" w:sz="4" w:space="0" w:color="auto"/>
              <w:right w:val="single" w:sz="4" w:space="0" w:color="auto"/>
            </w:tcBorders>
            <w:vAlign w:val="center"/>
          </w:tcPr>
          <w:p w:rsidR="00D92198" w:rsidRDefault="00D92198">
            <w:pPr>
              <w:widowControl/>
              <w:jc w:val="left"/>
              <w:rPr>
                <w:rFonts w:ascii="黑体" w:eastAsia="黑体" w:hAnsi="黑体" w:cs="宋体"/>
                <w:kern w:val="0"/>
                <w:szCs w:val="21"/>
              </w:rPr>
            </w:pPr>
          </w:p>
        </w:tc>
      </w:tr>
      <w:tr w:rsidR="00D92198">
        <w:trPr>
          <w:trHeight w:val="312"/>
        </w:trPr>
        <w:tc>
          <w:tcPr>
            <w:tcW w:w="2990" w:type="dxa"/>
            <w:gridSpan w:val="3"/>
            <w:vMerge/>
            <w:tcBorders>
              <w:top w:val="single" w:sz="4" w:space="0" w:color="auto"/>
              <w:left w:val="single" w:sz="4" w:space="0" w:color="auto"/>
              <w:bottom w:val="single" w:sz="4" w:space="0" w:color="auto"/>
              <w:right w:val="single" w:sz="4" w:space="0" w:color="auto"/>
            </w:tcBorders>
            <w:vAlign w:val="center"/>
          </w:tcPr>
          <w:p w:rsidR="00D92198" w:rsidRDefault="00D92198">
            <w:pPr>
              <w:widowControl/>
              <w:jc w:val="left"/>
              <w:rPr>
                <w:rFonts w:ascii="黑体" w:eastAsia="黑体" w:hAnsi="黑体" w:cs="宋体"/>
                <w:kern w:val="0"/>
                <w:szCs w:val="21"/>
              </w:rPr>
            </w:pPr>
          </w:p>
        </w:tc>
        <w:tc>
          <w:tcPr>
            <w:tcW w:w="822" w:type="dxa"/>
            <w:vMerge/>
            <w:tcBorders>
              <w:top w:val="nil"/>
              <w:left w:val="single" w:sz="4" w:space="0" w:color="auto"/>
              <w:bottom w:val="single" w:sz="4" w:space="0" w:color="auto"/>
              <w:right w:val="single" w:sz="4" w:space="0" w:color="auto"/>
            </w:tcBorders>
            <w:vAlign w:val="center"/>
          </w:tcPr>
          <w:p w:rsidR="00D92198" w:rsidRDefault="00D92198">
            <w:pPr>
              <w:widowControl/>
              <w:jc w:val="left"/>
              <w:rPr>
                <w:rFonts w:ascii="黑体" w:eastAsia="黑体" w:hAnsi="黑体" w:cs="宋体"/>
                <w:kern w:val="0"/>
                <w:szCs w:val="21"/>
              </w:rPr>
            </w:pPr>
          </w:p>
        </w:tc>
        <w:tc>
          <w:tcPr>
            <w:tcW w:w="955" w:type="dxa"/>
            <w:vMerge/>
            <w:tcBorders>
              <w:top w:val="nil"/>
              <w:left w:val="single" w:sz="4" w:space="0" w:color="auto"/>
              <w:bottom w:val="single" w:sz="4" w:space="0" w:color="auto"/>
              <w:right w:val="single" w:sz="4" w:space="0" w:color="auto"/>
            </w:tcBorders>
            <w:vAlign w:val="center"/>
          </w:tcPr>
          <w:p w:rsidR="00D92198" w:rsidRDefault="00D92198">
            <w:pPr>
              <w:widowControl/>
              <w:jc w:val="left"/>
              <w:rPr>
                <w:rFonts w:ascii="黑体" w:eastAsia="黑体" w:hAnsi="黑体" w:cs="宋体"/>
                <w:kern w:val="0"/>
                <w:szCs w:val="21"/>
              </w:rPr>
            </w:pPr>
          </w:p>
        </w:tc>
        <w:tc>
          <w:tcPr>
            <w:tcW w:w="946" w:type="dxa"/>
            <w:gridSpan w:val="2"/>
            <w:vMerge/>
            <w:tcBorders>
              <w:top w:val="nil"/>
              <w:left w:val="single" w:sz="4" w:space="0" w:color="auto"/>
              <w:bottom w:val="single" w:sz="4" w:space="0" w:color="auto"/>
              <w:right w:val="single" w:sz="4" w:space="0" w:color="auto"/>
            </w:tcBorders>
            <w:vAlign w:val="center"/>
          </w:tcPr>
          <w:p w:rsidR="00D92198" w:rsidRDefault="00D92198">
            <w:pPr>
              <w:widowControl/>
              <w:jc w:val="left"/>
              <w:rPr>
                <w:rFonts w:ascii="黑体" w:eastAsia="黑体" w:hAnsi="黑体" w:cs="宋体"/>
                <w:kern w:val="0"/>
                <w:szCs w:val="21"/>
              </w:rPr>
            </w:pPr>
          </w:p>
        </w:tc>
        <w:tc>
          <w:tcPr>
            <w:tcW w:w="955" w:type="dxa"/>
            <w:vMerge/>
            <w:tcBorders>
              <w:top w:val="nil"/>
              <w:left w:val="single" w:sz="4" w:space="0" w:color="auto"/>
              <w:bottom w:val="single" w:sz="4" w:space="0" w:color="auto"/>
              <w:right w:val="single" w:sz="4" w:space="0" w:color="auto"/>
            </w:tcBorders>
            <w:vAlign w:val="center"/>
          </w:tcPr>
          <w:p w:rsidR="00D92198" w:rsidRDefault="00D92198">
            <w:pPr>
              <w:widowControl/>
              <w:jc w:val="left"/>
              <w:rPr>
                <w:rFonts w:ascii="黑体" w:eastAsia="黑体" w:hAnsi="黑体" w:cs="宋体"/>
                <w:kern w:val="0"/>
                <w:szCs w:val="21"/>
              </w:rPr>
            </w:pPr>
          </w:p>
        </w:tc>
        <w:tc>
          <w:tcPr>
            <w:tcW w:w="964" w:type="dxa"/>
            <w:vMerge/>
            <w:tcBorders>
              <w:top w:val="nil"/>
              <w:left w:val="single" w:sz="4" w:space="0" w:color="auto"/>
              <w:bottom w:val="single" w:sz="4" w:space="0" w:color="auto"/>
              <w:right w:val="single" w:sz="4" w:space="0" w:color="auto"/>
            </w:tcBorders>
            <w:vAlign w:val="center"/>
          </w:tcPr>
          <w:p w:rsidR="00D92198" w:rsidRDefault="00D92198">
            <w:pPr>
              <w:widowControl/>
              <w:jc w:val="left"/>
              <w:rPr>
                <w:rFonts w:ascii="黑体" w:eastAsia="黑体" w:hAnsi="黑体" w:cs="宋体"/>
                <w:kern w:val="0"/>
                <w:szCs w:val="21"/>
              </w:rPr>
            </w:pPr>
          </w:p>
        </w:tc>
        <w:tc>
          <w:tcPr>
            <w:tcW w:w="828" w:type="dxa"/>
            <w:vMerge/>
            <w:tcBorders>
              <w:top w:val="nil"/>
              <w:left w:val="single" w:sz="4" w:space="0" w:color="auto"/>
              <w:bottom w:val="single" w:sz="4" w:space="0" w:color="auto"/>
              <w:right w:val="single" w:sz="4" w:space="0" w:color="auto"/>
            </w:tcBorders>
            <w:vAlign w:val="center"/>
          </w:tcPr>
          <w:p w:rsidR="00D92198" w:rsidRDefault="00D92198">
            <w:pPr>
              <w:widowControl/>
              <w:jc w:val="left"/>
              <w:rPr>
                <w:rFonts w:ascii="黑体" w:eastAsia="黑体" w:hAnsi="黑体" w:cs="宋体"/>
                <w:kern w:val="0"/>
                <w:szCs w:val="21"/>
              </w:rPr>
            </w:pPr>
          </w:p>
        </w:tc>
      </w:tr>
      <w:tr w:rsidR="00D92198">
        <w:trPr>
          <w:trHeight w:val="498"/>
        </w:trPr>
        <w:tc>
          <w:tcPr>
            <w:tcW w:w="8460"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D92198" w:rsidRDefault="00AE1128">
            <w:pPr>
              <w:widowControl/>
              <w:jc w:val="left"/>
              <w:rPr>
                <w:rFonts w:ascii="黑体" w:eastAsia="黑体" w:hAnsi="黑体" w:cs="宋体"/>
                <w:kern w:val="0"/>
                <w:szCs w:val="21"/>
              </w:rPr>
            </w:pPr>
            <w:r>
              <w:rPr>
                <w:rFonts w:ascii="黑体" w:eastAsia="黑体" w:hAnsi="黑体" w:cs="宋体" w:hint="eastAsia"/>
                <w:kern w:val="0"/>
                <w:szCs w:val="21"/>
              </w:rPr>
              <w:t>一、经济发展</w:t>
            </w:r>
          </w:p>
        </w:tc>
      </w:tr>
      <w:tr w:rsidR="00D92198">
        <w:trPr>
          <w:trHeight w:val="396"/>
        </w:trPr>
        <w:tc>
          <w:tcPr>
            <w:tcW w:w="417" w:type="dxa"/>
            <w:tcBorders>
              <w:top w:val="nil"/>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1</w:t>
            </w:r>
          </w:p>
        </w:tc>
        <w:tc>
          <w:tcPr>
            <w:tcW w:w="2573" w:type="dxa"/>
            <w:gridSpan w:val="2"/>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rPr>
                <w:rFonts w:ascii="仿宋_GB2312" w:eastAsia="仿宋_GB2312" w:hAnsi="宋体" w:cs="宋体"/>
                <w:kern w:val="0"/>
                <w:sz w:val="20"/>
                <w:szCs w:val="20"/>
              </w:rPr>
            </w:pPr>
            <w:r>
              <w:rPr>
                <w:rFonts w:ascii="仿宋_GB2312" w:eastAsia="仿宋_GB2312" w:hAnsi="宋体" w:cs="宋体" w:hint="eastAsia"/>
                <w:kern w:val="0"/>
                <w:sz w:val="20"/>
                <w:szCs w:val="20"/>
              </w:rPr>
              <w:t>地区生产总值</w:t>
            </w:r>
          </w:p>
        </w:tc>
        <w:tc>
          <w:tcPr>
            <w:tcW w:w="82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亿元</w:t>
            </w:r>
          </w:p>
        </w:tc>
        <w:tc>
          <w:tcPr>
            <w:tcW w:w="955"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946" w:type="dxa"/>
            <w:gridSpan w:val="2"/>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6.3　</w:t>
            </w:r>
          </w:p>
        </w:tc>
        <w:tc>
          <w:tcPr>
            <w:tcW w:w="955"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3926　</w:t>
            </w:r>
          </w:p>
        </w:tc>
        <w:tc>
          <w:tcPr>
            <w:tcW w:w="96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6.4　</w:t>
            </w:r>
          </w:p>
        </w:tc>
        <w:tc>
          <w:tcPr>
            <w:tcW w:w="828"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预期性</w:t>
            </w:r>
          </w:p>
        </w:tc>
      </w:tr>
      <w:tr w:rsidR="00D92198">
        <w:trPr>
          <w:trHeight w:val="396"/>
        </w:trPr>
        <w:tc>
          <w:tcPr>
            <w:tcW w:w="417" w:type="dxa"/>
            <w:tcBorders>
              <w:top w:val="nil"/>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2</w:t>
            </w:r>
          </w:p>
        </w:tc>
        <w:tc>
          <w:tcPr>
            <w:tcW w:w="2573" w:type="dxa"/>
            <w:gridSpan w:val="2"/>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rPr>
                <w:rFonts w:ascii="仿宋_GB2312" w:eastAsia="仿宋_GB2312" w:hAnsi="宋体" w:cs="宋体"/>
                <w:kern w:val="0"/>
                <w:sz w:val="20"/>
                <w:szCs w:val="20"/>
              </w:rPr>
            </w:pPr>
            <w:r>
              <w:rPr>
                <w:rFonts w:ascii="仿宋_GB2312" w:eastAsia="仿宋_GB2312" w:hAnsi="宋体" w:cs="宋体" w:hint="eastAsia"/>
                <w:kern w:val="0"/>
                <w:sz w:val="20"/>
                <w:szCs w:val="20"/>
              </w:rPr>
              <w:t>全员劳动生产率</w:t>
            </w:r>
          </w:p>
        </w:tc>
        <w:tc>
          <w:tcPr>
            <w:tcW w:w="82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元/人</w:t>
            </w:r>
          </w:p>
        </w:tc>
        <w:tc>
          <w:tcPr>
            <w:tcW w:w="955"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54000　</w:t>
            </w:r>
          </w:p>
        </w:tc>
        <w:tc>
          <w:tcPr>
            <w:tcW w:w="946" w:type="dxa"/>
            <w:gridSpan w:val="2"/>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w w:val="66"/>
                <w:kern w:val="0"/>
                <w:sz w:val="20"/>
                <w:szCs w:val="20"/>
              </w:rPr>
              <w:t>中高速增长</w:t>
            </w:r>
            <w:r>
              <w:rPr>
                <w:rFonts w:ascii="仿宋_GB2312" w:eastAsia="仿宋_GB2312" w:hAnsi="宋体" w:cs="宋体" w:hint="eastAsia"/>
                <w:kern w:val="0"/>
                <w:sz w:val="20"/>
                <w:szCs w:val="20"/>
              </w:rPr>
              <w:t xml:space="preserve">　</w:t>
            </w:r>
          </w:p>
        </w:tc>
        <w:tc>
          <w:tcPr>
            <w:tcW w:w="955"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96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6.4　</w:t>
            </w:r>
          </w:p>
        </w:tc>
        <w:tc>
          <w:tcPr>
            <w:tcW w:w="828"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预期性</w:t>
            </w:r>
          </w:p>
        </w:tc>
      </w:tr>
      <w:tr w:rsidR="00D92198">
        <w:trPr>
          <w:trHeight w:val="396"/>
        </w:trPr>
        <w:tc>
          <w:tcPr>
            <w:tcW w:w="417" w:type="dxa"/>
            <w:tcBorders>
              <w:top w:val="nil"/>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3</w:t>
            </w:r>
          </w:p>
        </w:tc>
        <w:tc>
          <w:tcPr>
            <w:tcW w:w="2573" w:type="dxa"/>
            <w:gridSpan w:val="2"/>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全社会固定资产投资</w:t>
            </w:r>
          </w:p>
        </w:tc>
        <w:tc>
          <w:tcPr>
            <w:tcW w:w="82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亿元</w:t>
            </w:r>
          </w:p>
        </w:tc>
        <w:tc>
          <w:tcPr>
            <w:tcW w:w="955"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946" w:type="dxa"/>
            <w:gridSpan w:val="2"/>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10以上　</w:t>
            </w:r>
          </w:p>
        </w:tc>
        <w:tc>
          <w:tcPr>
            <w:tcW w:w="955"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仿宋_GB2312" w:cs="宋体" w:hint="eastAsia"/>
                <w:kern w:val="0"/>
                <w:sz w:val="20"/>
                <w:szCs w:val="20"/>
              </w:rPr>
              <w:t>—</w:t>
            </w:r>
            <w:r>
              <w:rPr>
                <w:rFonts w:ascii="仿宋_GB2312" w:eastAsia="仿宋_GB2312" w:hAnsi="宋体" w:cs="宋体" w:hint="eastAsia"/>
                <w:kern w:val="0"/>
                <w:sz w:val="20"/>
                <w:szCs w:val="20"/>
              </w:rPr>
              <w:t xml:space="preserve">　</w:t>
            </w:r>
          </w:p>
        </w:tc>
        <w:tc>
          <w:tcPr>
            <w:tcW w:w="96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10.4</w:t>
            </w:r>
          </w:p>
        </w:tc>
        <w:tc>
          <w:tcPr>
            <w:tcW w:w="828"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预期性</w:t>
            </w:r>
          </w:p>
        </w:tc>
      </w:tr>
      <w:tr w:rsidR="00D92198">
        <w:trPr>
          <w:trHeight w:val="396"/>
        </w:trPr>
        <w:tc>
          <w:tcPr>
            <w:tcW w:w="417" w:type="dxa"/>
            <w:tcBorders>
              <w:top w:val="nil"/>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4</w:t>
            </w:r>
          </w:p>
        </w:tc>
        <w:tc>
          <w:tcPr>
            <w:tcW w:w="2573" w:type="dxa"/>
            <w:gridSpan w:val="2"/>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rPr>
                <w:rFonts w:ascii="仿宋_GB2312" w:eastAsia="仿宋_GB2312" w:hAnsi="宋体" w:cs="宋体"/>
                <w:kern w:val="0"/>
                <w:sz w:val="20"/>
                <w:szCs w:val="20"/>
              </w:rPr>
            </w:pPr>
            <w:r>
              <w:rPr>
                <w:rFonts w:ascii="仿宋_GB2312" w:eastAsia="仿宋_GB2312" w:hAnsi="宋体" w:cs="宋体" w:hint="eastAsia"/>
                <w:kern w:val="0"/>
                <w:sz w:val="20"/>
                <w:szCs w:val="20"/>
              </w:rPr>
              <w:t>外贸进出口总额</w:t>
            </w:r>
          </w:p>
        </w:tc>
        <w:tc>
          <w:tcPr>
            <w:tcW w:w="82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亿元</w:t>
            </w:r>
          </w:p>
        </w:tc>
        <w:tc>
          <w:tcPr>
            <w:tcW w:w="955"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946" w:type="dxa"/>
            <w:gridSpan w:val="2"/>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5　</w:t>
            </w:r>
          </w:p>
        </w:tc>
        <w:tc>
          <w:tcPr>
            <w:tcW w:w="955"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仿宋_GB2312" w:cs="宋体" w:hint="eastAsia"/>
                <w:kern w:val="0"/>
                <w:sz w:val="20"/>
                <w:szCs w:val="20"/>
              </w:rPr>
              <w:t>[700]</w:t>
            </w:r>
          </w:p>
        </w:tc>
        <w:tc>
          <w:tcPr>
            <w:tcW w:w="96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828"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预期性</w:t>
            </w:r>
          </w:p>
        </w:tc>
      </w:tr>
      <w:tr w:rsidR="00D92198">
        <w:trPr>
          <w:trHeight w:val="396"/>
        </w:trPr>
        <w:tc>
          <w:tcPr>
            <w:tcW w:w="417" w:type="dxa"/>
            <w:tcBorders>
              <w:top w:val="nil"/>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5</w:t>
            </w:r>
          </w:p>
        </w:tc>
        <w:tc>
          <w:tcPr>
            <w:tcW w:w="2573" w:type="dxa"/>
            <w:gridSpan w:val="2"/>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rPr>
                <w:rFonts w:ascii="仿宋_GB2312" w:eastAsia="仿宋_GB2312" w:hAnsi="宋体" w:cs="宋体"/>
                <w:kern w:val="0"/>
                <w:sz w:val="20"/>
                <w:szCs w:val="20"/>
              </w:rPr>
            </w:pPr>
            <w:r>
              <w:rPr>
                <w:rFonts w:ascii="仿宋_GB2312" w:eastAsia="仿宋_GB2312" w:hAnsi="宋体" w:cs="宋体" w:hint="eastAsia"/>
                <w:kern w:val="0"/>
                <w:sz w:val="20"/>
                <w:szCs w:val="20"/>
              </w:rPr>
              <w:t>服务业增加值比重</w:t>
            </w:r>
          </w:p>
        </w:tc>
        <w:tc>
          <w:tcPr>
            <w:tcW w:w="82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955"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43　　</w:t>
            </w:r>
          </w:p>
        </w:tc>
        <w:tc>
          <w:tcPr>
            <w:tcW w:w="946" w:type="dxa"/>
            <w:gridSpan w:val="2"/>
            <w:tcBorders>
              <w:top w:val="nil"/>
              <w:left w:val="nil"/>
              <w:bottom w:val="single" w:sz="4" w:space="0" w:color="auto"/>
              <w:right w:val="single" w:sz="4" w:space="0" w:color="auto"/>
            </w:tcBorders>
            <w:shd w:val="clear" w:color="auto" w:fill="auto"/>
            <w:vAlign w:val="center"/>
          </w:tcPr>
          <w:p w:rsidR="00D92198" w:rsidRDefault="00D92198">
            <w:pPr>
              <w:widowControl/>
              <w:jc w:val="center"/>
              <w:rPr>
                <w:rFonts w:ascii="仿宋_GB2312" w:eastAsia="仿宋_GB2312" w:hAnsi="宋体" w:cs="宋体"/>
                <w:kern w:val="0"/>
                <w:sz w:val="20"/>
                <w:szCs w:val="20"/>
              </w:rPr>
            </w:pPr>
          </w:p>
        </w:tc>
        <w:tc>
          <w:tcPr>
            <w:tcW w:w="955"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51.3　</w:t>
            </w:r>
          </w:p>
        </w:tc>
        <w:tc>
          <w:tcPr>
            <w:tcW w:w="96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828"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预期性</w:t>
            </w:r>
          </w:p>
        </w:tc>
      </w:tr>
      <w:tr w:rsidR="00D92198">
        <w:trPr>
          <w:trHeight w:val="548"/>
        </w:trPr>
        <w:tc>
          <w:tcPr>
            <w:tcW w:w="417" w:type="dxa"/>
            <w:tcBorders>
              <w:top w:val="nil"/>
              <w:left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6</w:t>
            </w:r>
          </w:p>
        </w:tc>
        <w:tc>
          <w:tcPr>
            <w:tcW w:w="2573" w:type="dxa"/>
            <w:gridSpan w:val="2"/>
            <w:tcBorders>
              <w:top w:val="single" w:sz="4" w:space="0" w:color="auto"/>
              <w:left w:val="nil"/>
              <w:right w:val="single" w:sz="4" w:space="0" w:color="auto"/>
            </w:tcBorders>
            <w:shd w:val="clear" w:color="auto" w:fill="auto"/>
            <w:vAlign w:val="center"/>
          </w:tcPr>
          <w:p w:rsidR="00D92198" w:rsidRDefault="00AE1128">
            <w:pPr>
              <w:widowControl/>
              <w:rPr>
                <w:rFonts w:ascii="仿宋_GB2312" w:eastAsia="仿宋_GB2312" w:hAnsi="宋体" w:cs="宋体"/>
                <w:w w:val="90"/>
                <w:kern w:val="0"/>
                <w:sz w:val="20"/>
                <w:szCs w:val="20"/>
              </w:rPr>
            </w:pPr>
            <w:r>
              <w:rPr>
                <w:rFonts w:ascii="仿宋_GB2312" w:eastAsia="仿宋_GB2312" w:hAnsi="宋体" w:cs="宋体" w:hint="eastAsia"/>
                <w:kern w:val="0"/>
                <w:sz w:val="20"/>
                <w:szCs w:val="20"/>
              </w:rPr>
              <w:t>常住人口城镇化率</w:t>
            </w:r>
          </w:p>
        </w:tc>
        <w:tc>
          <w:tcPr>
            <w:tcW w:w="82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955"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49　</w:t>
            </w:r>
          </w:p>
        </w:tc>
        <w:tc>
          <w:tcPr>
            <w:tcW w:w="946" w:type="dxa"/>
            <w:gridSpan w:val="2"/>
            <w:tcBorders>
              <w:top w:val="nil"/>
              <w:left w:val="nil"/>
              <w:bottom w:val="single" w:sz="4" w:space="0" w:color="auto"/>
              <w:right w:val="single" w:sz="4" w:space="0" w:color="auto"/>
            </w:tcBorders>
            <w:shd w:val="clear" w:color="auto" w:fill="auto"/>
            <w:vAlign w:val="center"/>
          </w:tcPr>
          <w:p w:rsidR="00D92198" w:rsidRDefault="00D92198">
            <w:pPr>
              <w:widowControl/>
              <w:jc w:val="center"/>
              <w:rPr>
                <w:rFonts w:ascii="仿宋_GB2312" w:eastAsia="仿宋_GB2312" w:hAnsi="宋体" w:cs="宋体"/>
                <w:kern w:val="0"/>
                <w:sz w:val="20"/>
                <w:szCs w:val="20"/>
              </w:rPr>
            </w:pPr>
          </w:p>
        </w:tc>
        <w:tc>
          <w:tcPr>
            <w:tcW w:w="955"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50.59　</w:t>
            </w:r>
          </w:p>
        </w:tc>
        <w:tc>
          <w:tcPr>
            <w:tcW w:w="964" w:type="dxa"/>
            <w:tcBorders>
              <w:top w:val="nil"/>
              <w:left w:val="nil"/>
              <w:bottom w:val="single" w:sz="4" w:space="0" w:color="auto"/>
              <w:right w:val="single" w:sz="4" w:space="0" w:color="auto"/>
            </w:tcBorders>
            <w:shd w:val="clear" w:color="auto" w:fill="auto"/>
            <w:vAlign w:val="center"/>
          </w:tcPr>
          <w:p w:rsidR="00D92198" w:rsidRDefault="00D92198">
            <w:pPr>
              <w:widowControl/>
              <w:jc w:val="center"/>
              <w:rPr>
                <w:rFonts w:ascii="仿宋_GB2312" w:eastAsia="仿宋_GB2312" w:hAnsi="宋体" w:cs="宋体"/>
                <w:kern w:val="0"/>
                <w:sz w:val="20"/>
                <w:szCs w:val="20"/>
              </w:rPr>
            </w:pPr>
          </w:p>
        </w:tc>
        <w:tc>
          <w:tcPr>
            <w:tcW w:w="828"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预期性</w:t>
            </w:r>
          </w:p>
        </w:tc>
      </w:tr>
      <w:tr w:rsidR="00D92198">
        <w:trPr>
          <w:trHeight w:val="531"/>
        </w:trPr>
        <w:tc>
          <w:tcPr>
            <w:tcW w:w="8460" w:type="dxa"/>
            <w:gridSpan w:val="10"/>
            <w:tcBorders>
              <w:top w:val="single" w:sz="4" w:space="0" w:color="auto"/>
              <w:left w:val="single" w:sz="4" w:space="0" w:color="auto"/>
              <w:bottom w:val="single" w:sz="4" w:space="0" w:color="auto"/>
              <w:right w:val="single" w:sz="4" w:space="0" w:color="000000"/>
            </w:tcBorders>
            <w:shd w:val="clear" w:color="auto" w:fill="auto"/>
            <w:vAlign w:val="center"/>
          </w:tcPr>
          <w:p w:rsidR="00D92198" w:rsidRDefault="00AE1128">
            <w:pPr>
              <w:widowControl/>
              <w:jc w:val="left"/>
              <w:rPr>
                <w:rFonts w:ascii="黑体" w:eastAsia="黑体" w:hAnsi="黑体" w:cs="宋体"/>
                <w:kern w:val="0"/>
                <w:szCs w:val="21"/>
              </w:rPr>
            </w:pPr>
            <w:r>
              <w:rPr>
                <w:rFonts w:ascii="黑体" w:eastAsia="黑体" w:hAnsi="黑体" w:cs="宋体" w:hint="eastAsia"/>
                <w:kern w:val="0"/>
                <w:szCs w:val="21"/>
              </w:rPr>
              <w:t>二、创新驱动</w:t>
            </w:r>
          </w:p>
        </w:tc>
      </w:tr>
      <w:tr w:rsidR="00D92198">
        <w:trPr>
          <w:trHeight w:val="396"/>
        </w:trPr>
        <w:tc>
          <w:tcPr>
            <w:tcW w:w="417" w:type="dxa"/>
            <w:tcBorders>
              <w:top w:val="nil"/>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7</w:t>
            </w:r>
          </w:p>
        </w:tc>
        <w:tc>
          <w:tcPr>
            <w:tcW w:w="2573" w:type="dxa"/>
            <w:gridSpan w:val="2"/>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rPr>
                <w:rFonts w:ascii="仿宋_GB2312" w:eastAsia="仿宋_GB2312" w:hAnsi="宋体" w:cs="宋体"/>
                <w:w w:val="85"/>
                <w:kern w:val="0"/>
                <w:sz w:val="20"/>
                <w:szCs w:val="20"/>
              </w:rPr>
            </w:pPr>
            <w:r>
              <w:rPr>
                <w:rFonts w:ascii="仿宋_GB2312" w:eastAsia="仿宋_GB2312" w:hAnsi="宋体" w:cs="宋体" w:hint="eastAsia"/>
                <w:w w:val="85"/>
                <w:kern w:val="0"/>
                <w:sz w:val="20"/>
                <w:szCs w:val="20"/>
              </w:rPr>
              <w:t>研究与实验发展经费投入强度</w:t>
            </w:r>
          </w:p>
        </w:tc>
        <w:tc>
          <w:tcPr>
            <w:tcW w:w="82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955"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1　</w:t>
            </w:r>
          </w:p>
        </w:tc>
        <w:tc>
          <w:tcPr>
            <w:tcW w:w="946" w:type="dxa"/>
            <w:gridSpan w:val="2"/>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955"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1　</w:t>
            </w:r>
          </w:p>
        </w:tc>
        <w:tc>
          <w:tcPr>
            <w:tcW w:w="96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828"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预期性</w:t>
            </w:r>
          </w:p>
        </w:tc>
      </w:tr>
      <w:tr w:rsidR="00D92198">
        <w:trPr>
          <w:trHeight w:val="396"/>
        </w:trPr>
        <w:tc>
          <w:tcPr>
            <w:tcW w:w="417" w:type="dxa"/>
            <w:tcBorders>
              <w:top w:val="nil"/>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8</w:t>
            </w:r>
          </w:p>
        </w:tc>
        <w:tc>
          <w:tcPr>
            <w:tcW w:w="2573" w:type="dxa"/>
            <w:gridSpan w:val="2"/>
            <w:tcBorders>
              <w:top w:val="single" w:sz="4" w:space="0" w:color="auto"/>
              <w:left w:val="nil"/>
              <w:bottom w:val="single" w:sz="4" w:space="0" w:color="auto"/>
              <w:right w:val="single" w:sz="4" w:space="0" w:color="000000"/>
            </w:tcBorders>
            <w:shd w:val="clear" w:color="auto" w:fill="auto"/>
            <w:vAlign w:val="center"/>
          </w:tcPr>
          <w:p w:rsidR="00D92198" w:rsidRDefault="00AE1128">
            <w:pPr>
              <w:widowControl/>
              <w:rPr>
                <w:rFonts w:ascii="仿宋_GB2312" w:eastAsia="仿宋_GB2312" w:hAnsi="宋体" w:cs="宋体"/>
                <w:w w:val="90"/>
                <w:kern w:val="0"/>
                <w:sz w:val="20"/>
                <w:szCs w:val="20"/>
              </w:rPr>
            </w:pPr>
            <w:r>
              <w:rPr>
                <w:rFonts w:ascii="仿宋_GB2312" w:eastAsia="仿宋_GB2312" w:hAnsi="宋体" w:cs="宋体" w:hint="eastAsia"/>
                <w:w w:val="90"/>
                <w:kern w:val="0"/>
                <w:sz w:val="20"/>
                <w:szCs w:val="20"/>
              </w:rPr>
              <w:t>每万人发明专利拥有量</w:t>
            </w:r>
          </w:p>
        </w:tc>
        <w:tc>
          <w:tcPr>
            <w:tcW w:w="82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件</w:t>
            </w:r>
          </w:p>
        </w:tc>
        <w:tc>
          <w:tcPr>
            <w:tcW w:w="955"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1.6　</w:t>
            </w:r>
          </w:p>
        </w:tc>
        <w:tc>
          <w:tcPr>
            <w:tcW w:w="946" w:type="dxa"/>
            <w:gridSpan w:val="2"/>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955"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1.6</w:t>
            </w:r>
          </w:p>
        </w:tc>
        <w:tc>
          <w:tcPr>
            <w:tcW w:w="96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828"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预期性</w:t>
            </w:r>
          </w:p>
        </w:tc>
      </w:tr>
      <w:tr w:rsidR="00D92198">
        <w:trPr>
          <w:trHeight w:val="396"/>
        </w:trPr>
        <w:tc>
          <w:tcPr>
            <w:tcW w:w="417" w:type="dxa"/>
            <w:tcBorders>
              <w:top w:val="nil"/>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9</w:t>
            </w:r>
          </w:p>
        </w:tc>
        <w:tc>
          <w:tcPr>
            <w:tcW w:w="2573" w:type="dxa"/>
            <w:gridSpan w:val="2"/>
            <w:tcBorders>
              <w:top w:val="single" w:sz="4" w:space="0" w:color="auto"/>
              <w:left w:val="nil"/>
              <w:bottom w:val="single" w:sz="4" w:space="0" w:color="auto"/>
              <w:right w:val="single" w:sz="4" w:space="0" w:color="000000"/>
            </w:tcBorders>
            <w:shd w:val="clear" w:color="auto" w:fill="auto"/>
            <w:vAlign w:val="center"/>
          </w:tcPr>
          <w:p w:rsidR="00D92198" w:rsidRDefault="00AE1128">
            <w:pPr>
              <w:widowControl/>
              <w:rPr>
                <w:rFonts w:ascii="仿宋_GB2312" w:eastAsia="仿宋_GB2312" w:hAnsi="宋体" w:cs="宋体"/>
                <w:kern w:val="0"/>
                <w:sz w:val="20"/>
                <w:szCs w:val="20"/>
              </w:rPr>
            </w:pPr>
            <w:r>
              <w:rPr>
                <w:rFonts w:ascii="仿宋_GB2312" w:eastAsia="仿宋_GB2312" w:hAnsi="宋体" w:cs="宋体" w:hint="eastAsia"/>
                <w:kern w:val="0"/>
                <w:sz w:val="20"/>
                <w:szCs w:val="20"/>
              </w:rPr>
              <w:t>科技进步贡献率</w:t>
            </w:r>
          </w:p>
        </w:tc>
        <w:tc>
          <w:tcPr>
            <w:tcW w:w="82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955"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58　</w:t>
            </w:r>
          </w:p>
        </w:tc>
        <w:tc>
          <w:tcPr>
            <w:tcW w:w="946" w:type="dxa"/>
            <w:gridSpan w:val="2"/>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955"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58　</w:t>
            </w:r>
          </w:p>
        </w:tc>
        <w:tc>
          <w:tcPr>
            <w:tcW w:w="96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828"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预期性</w:t>
            </w:r>
          </w:p>
        </w:tc>
      </w:tr>
      <w:tr w:rsidR="00D92198">
        <w:trPr>
          <w:trHeight w:val="396"/>
        </w:trPr>
        <w:tc>
          <w:tcPr>
            <w:tcW w:w="417" w:type="dxa"/>
            <w:vMerge w:val="restart"/>
            <w:tcBorders>
              <w:top w:val="nil"/>
              <w:left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10</w:t>
            </w:r>
          </w:p>
        </w:tc>
        <w:tc>
          <w:tcPr>
            <w:tcW w:w="793" w:type="dxa"/>
            <w:vMerge w:val="restart"/>
            <w:tcBorders>
              <w:top w:val="single" w:sz="4" w:space="0" w:color="auto"/>
              <w:left w:val="nil"/>
              <w:right w:val="single" w:sz="4" w:space="0" w:color="auto"/>
            </w:tcBorders>
            <w:shd w:val="clear" w:color="auto" w:fill="auto"/>
            <w:vAlign w:val="center"/>
          </w:tcPr>
          <w:p w:rsidR="00D92198" w:rsidRDefault="00AE1128">
            <w:pPr>
              <w:widowControl/>
              <w:rPr>
                <w:rFonts w:ascii="仿宋_GB2312" w:eastAsia="仿宋_GB2312" w:hAnsi="宋体" w:cs="宋体"/>
                <w:w w:val="80"/>
                <w:kern w:val="0"/>
                <w:sz w:val="20"/>
                <w:szCs w:val="20"/>
              </w:rPr>
            </w:pPr>
            <w:r>
              <w:rPr>
                <w:rFonts w:ascii="仿宋_GB2312" w:eastAsia="仿宋_GB2312" w:hAnsi="宋体" w:cs="宋体" w:hint="eastAsia"/>
                <w:w w:val="80"/>
                <w:kern w:val="0"/>
                <w:sz w:val="20"/>
                <w:szCs w:val="20"/>
              </w:rPr>
              <w:t>互联网普及率</w:t>
            </w:r>
          </w:p>
        </w:tc>
        <w:tc>
          <w:tcPr>
            <w:tcW w:w="1780" w:type="dxa"/>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rPr>
                <w:rFonts w:ascii="仿宋_GB2312" w:eastAsia="仿宋_GB2312" w:hAnsi="宋体" w:cs="宋体"/>
                <w:w w:val="85"/>
                <w:kern w:val="0"/>
                <w:sz w:val="20"/>
                <w:szCs w:val="20"/>
              </w:rPr>
            </w:pPr>
            <w:r>
              <w:rPr>
                <w:rFonts w:ascii="仿宋_GB2312" w:eastAsia="仿宋_GB2312" w:hAnsi="宋体" w:cs="宋体" w:hint="eastAsia"/>
                <w:w w:val="85"/>
                <w:kern w:val="0"/>
                <w:sz w:val="20"/>
                <w:szCs w:val="20"/>
              </w:rPr>
              <w:t>固定宽带家庭普及率</w:t>
            </w:r>
          </w:p>
        </w:tc>
        <w:tc>
          <w:tcPr>
            <w:tcW w:w="82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955"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70　</w:t>
            </w:r>
          </w:p>
        </w:tc>
        <w:tc>
          <w:tcPr>
            <w:tcW w:w="946" w:type="dxa"/>
            <w:gridSpan w:val="2"/>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955"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90　</w:t>
            </w:r>
          </w:p>
        </w:tc>
        <w:tc>
          <w:tcPr>
            <w:tcW w:w="96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828" w:type="dxa"/>
            <w:vMerge w:val="restart"/>
            <w:tcBorders>
              <w:top w:val="nil"/>
              <w:left w:val="nil"/>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预期性</w:t>
            </w:r>
          </w:p>
        </w:tc>
      </w:tr>
      <w:tr w:rsidR="00D92198">
        <w:trPr>
          <w:trHeight w:val="669"/>
        </w:trPr>
        <w:tc>
          <w:tcPr>
            <w:tcW w:w="417" w:type="dxa"/>
            <w:vMerge/>
            <w:tcBorders>
              <w:left w:val="single" w:sz="4" w:space="0" w:color="auto"/>
              <w:bottom w:val="single" w:sz="4" w:space="0" w:color="auto"/>
              <w:right w:val="single" w:sz="4" w:space="0" w:color="auto"/>
            </w:tcBorders>
            <w:shd w:val="clear" w:color="auto" w:fill="auto"/>
            <w:vAlign w:val="center"/>
          </w:tcPr>
          <w:p w:rsidR="00D92198" w:rsidRDefault="00D92198">
            <w:pPr>
              <w:widowControl/>
              <w:jc w:val="left"/>
              <w:rPr>
                <w:rFonts w:ascii="黑体" w:eastAsia="黑体" w:hAnsi="黑体" w:cs="宋体"/>
                <w:kern w:val="0"/>
                <w:szCs w:val="21"/>
              </w:rPr>
            </w:pPr>
          </w:p>
        </w:tc>
        <w:tc>
          <w:tcPr>
            <w:tcW w:w="793" w:type="dxa"/>
            <w:vMerge/>
            <w:tcBorders>
              <w:left w:val="single" w:sz="4" w:space="0" w:color="auto"/>
              <w:bottom w:val="single" w:sz="4" w:space="0" w:color="auto"/>
              <w:right w:val="single" w:sz="4" w:space="0" w:color="auto"/>
            </w:tcBorders>
            <w:shd w:val="clear" w:color="auto" w:fill="auto"/>
            <w:vAlign w:val="center"/>
          </w:tcPr>
          <w:p w:rsidR="00D92198" w:rsidRDefault="00D92198">
            <w:pPr>
              <w:widowControl/>
              <w:jc w:val="left"/>
              <w:rPr>
                <w:rFonts w:ascii="黑体" w:eastAsia="黑体" w:hAnsi="黑体" w:cs="宋体"/>
                <w:kern w:val="0"/>
                <w:szCs w:val="21"/>
              </w:rPr>
            </w:pP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D92198" w:rsidRDefault="00AE1128">
            <w:pPr>
              <w:widowControl/>
              <w:jc w:val="left"/>
              <w:rPr>
                <w:rFonts w:ascii="黑体" w:eastAsia="黑体" w:hAnsi="黑体" w:cs="宋体"/>
                <w:w w:val="80"/>
                <w:kern w:val="0"/>
                <w:szCs w:val="21"/>
              </w:rPr>
            </w:pPr>
            <w:r>
              <w:rPr>
                <w:rFonts w:ascii="仿宋_GB2312" w:eastAsia="仿宋_GB2312" w:hAnsi="宋体" w:cs="宋体" w:hint="eastAsia"/>
                <w:w w:val="80"/>
                <w:kern w:val="0"/>
                <w:sz w:val="20"/>
                <w:szCs w:val="20"/>
              </w:rPr>
              <w:t>移动宽带用户普及率</w:t>
            </w:r>
          </w:p>
        </w:tc>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黑体" w:eastAsia="黑体" w:hAnsi="黑体" w:cs="宋体"/>
                <w:kern w:val="0"/>
                <w:szCs w:val="21"/>
              </w:rPr>
            </w:pPr>
            <w:r>
              <w:rPr>
                <w:rFonts w:ascii="仿宋_GB2312" w:eastAsia="仿宋_GB2312" w:hAnsi="宋体" w:cs="宋体" w:hint="eastAsia"/>
                <w:kern w:val="0"/>
                <w:sz w:val="20"/>
                <w:szCs w:val="20"/>
              </w:rPr>
              <w:t>80</w:t>
            </w:r>
          </w:p>
        </w:tc>
        <w:tc>
          <w:tcPr>
            <w:tcW w:w="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t>—</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黑体" w:eastAsia="黑体" w:hAnsi="黑体" w:cs="宋体"/>
                <w:kern w:val="0"/>
                <w:szCs w:val="21"/>
              </w:rPr>
            </w:pPr>
            <w:r>
              <w:rPr>
                <w:rFonts w:ascii="仿宋_GB2312" w:eastAsia="仿宋_GB2312" w:hAnsi="宋体" w:cs="宋体" w:hint="eastAsia"/>
                <w:kern w:val="0"/>
                <w:sz w:val="20"/>
                <w:szCs w:val="20"/>
              </w:rPr>
              <w:t>102.1</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t>—</w:t>
            </w:r>
          </w:p>
        </w:tc>
        <w:tc>
          <w:tcPr>
            <w:tcW w:w="828" w:type="dxa"/>
            <w:vMerge/>
            <w:tcBorders>
              <w:left w:val="single" w:sz="4" w:space="0" w:color="auto"/>
              <w:bottom w:val="single" w:sz="4" w:space="0" w:color="auto"/>
              <w:right w:val="single" w:sz="4" w:space="0" w:color="auto"/>
            </w:tcBorders>
            <w:shd w:val="clear" w:color="auto" w:fill="auto"/>
            <w:vAlign w:val="center"/>
          </w:tcPr>
          <w:p w:rsidR="00D92198" w:rsidRDefault="00D92198">
            <w:pPr>
              <w:widowControl/>
              <w:jc w:val="center"/>
              <w:rPr>
                <w:rFonts w:ascii="仿宋_GB2312" w:eastAsia="仿宋_GB2312" w:hAnsi="宋体" w:cs="宋体"/>
                <w:kern w:val="0"/>
                <w:sz w:val="18"/>
                <w:szCs w:val="18"/>
              </w:rPr>
            </w:pPr>
          </w:p>
        </w:tc>
      </w:tr>
      <w:tr w:rsidR="00D92198">
        <w:trPr>
          <w:trHeight w:val="523"/>
        </w:trPr>
        <w:tc>
          <w:tcPr>
            <w:tcW w:w="8460" w:type="dxa"/>
            <w:gridSpan w:val="10"/>
            <w:tcBorders>
              <w:top w:val="single" w:sz="4" w:space="0" w:color="auto"/>
              <w:left w:val="single" w:sz="4" w:space="0" w:color="auto"/>
              <w:bottom w:val="single" w:sz="4" w:space="0" w:color="auto"/>
              <w:right w:val="single" w:sz="4" w:space="0" w:color="000000"/>
            </w:tcBorders>
            <w:shd w:val="clear" w:color="auto" w:fill="auto"/>
            <w:vAlign w:val="center"/>
          </w:tcPr>
          <w:p w:rsidR="00D92198" w:rsidRDefault="00AE1128">
            <w:pPr>
              <w:widowControl/>
              <w:jc w:val="left"/>
              <w:rPr>
                <w:rFonts w:ascii="黑体" w:eastAsia="黑体" w:hAnsi="黑体" w:cs="宋体"/>
                <w:kern w:val="0"/>
                <w:szCs w:val="21"/>
              </w:rPr>
            </w:pPr>
            <w:r>
              <w:rPr>
                <w:rFonts w:ascii="黑体" w:eastAsia="黑体" w:hAnsi="黑体" w:cs="宋体" w:hint="eastAsia"/>
                <w:kern w:val="0"/>
                <w:szCs w:val="21"/>
              </w:rPr>
              <w:t>三、民生福祉</w:t>
            </w:r>
          </w:p>
        </w:tc>
      </w:tr>
      <w:tr w:rsidR="00D92198">
        <w:trPr>
          <w:trHeight w:val="689"/>
        </w:trPr>
        <w:tc>
          <w:tcPr>
            <w:tcW w:w="417" w:type="dxa"/>
            <w:tcBorders>
              <w:top w:val="nil"/>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11</w:t>
            </w:r>
          </w:p>
        </w:tc>
        <w:tc>
          <w:tcPr>
            <w:tcW w:w="2573" w:type="dxa"/>
            <w:gridSpan w:val="2"/>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rPr>
                <w:rFonts w:ascii="仿宋_GB2312" w:eastAsia="仿宋_GB2312" w:hAnsi="宋体" w:cs="宋体"/>
                <w:kern w:val="0"/>
                <w:sz w:val="20"/>
                <w:szCs w:val="20"/>
              </w:rPr>
            </w:pPr>
            <w:r>
              <w:rPr>
                <w:rFonts w:ascii="仿宋_GB2312" w:eastAsia="仿宋_GB2312" w:hAnsi="宋体" w:cs="宋体" w:hint="eastAsia"/>
                <w:kern w:val="0"/>
                <w:sz w:val="20"/>
                <w:szCs w:val="20"/>
              </w:rPr>
              <w:t>居民人均可支配收入</w:t>
            </w:r>
          </w:p>
        </w:tc>
        <w:tc>
          <w:tcPr>
            <w:tcW w:w="82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元</w:t>
            </w:r>
          </w:p>
        </w:tc>
        <w:tc>
          <w:tcPr>
            <w:tcW w:w="955"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经济增速同步　</w:t>
            </w:r>
          </w:p>
        </w:tc>
        <w:tc>
          <w:tcPr>
            <w:tcW w:w="946" w:type="dxa"/>
            <w:gridSpan w:val="2"/>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黑体" w:eastAsia="黑体" w:hAnsi="黑体" w:cs="宋体" w:hint="eastAsia"/>
                <w:kern w:val="0"/>
                <w:szCs w:val="21"/>
              </w:rPr>
              <w:t>—</w:t>
            </w:r>
            <w:r>
              <w:rPr>
                <w:rFonts w:ascii="仿宋_GB2312" w:eastAsia="仿宋_GB2312" w:hAnsi="宋体" w:cs="宋体" w:hint="eastAsia"/>
                <w:kern w:val="0"/>
                <w:sz w:val="20"/>
                <w:szCs w:val="20"/>
              </w:rPr>
              <w:t xml:space="preserve">　</w:t>
            </w:r>
          </w:p>
        </w:tc>
        <w:tc>
          <w:tcPr>
            <w:tcW w:w="955"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23480　</w:t>
            </w:r>
          </w:p>
        </w:tc>
        <w:tc>
          <w:tcPr>
            <w:tcW w:w="96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黑体" w:eastAsia="黑体" w:hAnsi="黑体" w:cs="宋体" w:hint="eastAsia"/>
                <w:kern w:val="0"/>
                <w:szCs w:val="21"/>
              </w:rPr>
              <w:t>—</w:t>
            </w:r>
            <w:r>
              <w:rPr>
                <w:rFonts w:ascii="仿宋_GB2312" w:eastAsia="仿宋_GB2312" w:hAnsi="宋体" w:cs="宋体" w:hint="eastAsia"/>
                <w:kern w:val="0"/>
                <w:sz w:val="20"/>
                <w:szCs w:val="20"/>
              </w:rPr>
              <w:t xml:space="preserve">　</w:t>
            </w:r>
          </w:p>
        </w:tc>
        <w:tc>
          <w:tcPr>
            <w:tcW w:w="828"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预期性</w:t>
            </w:r>
          </w:p>
        </w:tc>
      </w:tr>
      <w:tr w:rsidR="00D92198">
        <w:trPr>
          <w:trHeight w:val="723"/>
        </w:trPr>
        <w:tc>
          <w:tcPr>
            <w:tcW w:w="417" w:type="dxa"/>
            <w:tcBorders>
              <w:top w:val="nil"/>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12</w:t>
            </w:r>
          </w:p>
        </w:tc>
        <w:tc>
          <w:tcPr>
            <w:tcW w:w="2573" w:type="dxa"/>
            <w:gridSpan w:val="2"/>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rPr>
                <w:rFonts w:ascii="仿宋_GB2312" w:eastAsia="仿宋_GB2312" w:hAnsi="宋体" w:cs="宋体"/>
                <w:w w:val="85"/>
                <w:kern w:val="0"/>
                <w:sz w:val="20"/>
                <w:szCs w:val="20"/>
              </w:rPr>
            </w:pPr>
            <w:r>
              <w:rPr>
                <w:rFonts w:ascii="仿宋_GB2312" w:eastAsia="仿宋_GB2312" w:hAnsi="宋体" w:cs="宋体" w:hint="eastAsia"/>
                <w:w w:val="85"/>
                <w:kern w:val="0"/>
                <w:sz w:val="20"/>
                <w:szCs w:val="20"/>
              </w:rPr>
              <w:t>劳动年龄人口平均受教育年限</w:t>
            </w:r>
          </w:p>
        </w:tc>
        <w:tc>
          <w:tcPr>
            <w:tcW w:w="82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年</w:t>
            </w:r>
          </w:p>
        </w:tc>
        <w:tc>
          <w:tcPr>
            <w:tcW w:w="955"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10.5　</w:t>
            </w:r>
          </w:p>
        </w:tc>
        <w:tc>
          <w:tcPr>
            <w:tcW w:w="946" w:type="dxa"/>
            <w:gridSpan w:val="2"/>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955"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10.5　</w:t>
            </w:r>
          </w:p>
        </w:tc>
        <w:tc>
          <w:tcPr>
            <w:tcW w:w="96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828"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约束性</w:t>
            </w:r>
          </w:p>
        </w:tc>
      </w:tr>
      <w:tr w:rsidR="00D92198">
        <w:trPr>
          <w:trHeight w:val="564"/>
        </w:trPr>
        <w:tc>
          <w:tcPr>
            <w:tcW w:w="417" w:type="dxa"/>
            <w:tcBorders>
              <w:top w:val="nil"/>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13</w:t>
            </w:r>
          </w:p>
        </w:tc>
        <w:tc>
          <w:tcPr>
            <w:tcW w:w="2573" w:type="dxa"/>
            <w:gridSpan w:val="2"/>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rPr>
                <w:rFonts w:ascii="仿宋_GB2312" w:eastAsia="仿宋_GB2312" w:hAnsi="宋体" w:cs="宋体"/>
                <w:kern w:val="0"/>
                <w:sz w:val="20"/>
                <w:szCs w:val="20"/>
              </w:rPr>
            </w:pPr>
            <w:r>
              <w:rPr>
                <w:rFonts w:ascii="仿宋_GB2312" w:eastAsia="仿宋_GB2312" w:hAnsi="宋体" w:cs="宋体" w:hint="eastAsia"/>
                <w:kern w:val="0"/>
                <w:sz w:val="20"/>
                <w:szCs w:val="20"/>
              </w:rPr>
              <w:t>城镇新增就业人数</w:t>
            </w:r>
          </w:p>
        </w:tc>
        <w:tc>
          <w:tcPr>
            <w:tcW w:w="82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万人</w:t>
            </w:r>
          </w:p>
        </w:tc>
        <w:tc>
          <w:tcPr>
            <w:tcW w:w="955"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仿宋_GB2312" w:cs="宋体" w:hint="eastAsia"/>
                <w:kern w:val="0"/>
                <w:sz w:val="20"/>
                <w:szCs w:val="20"/>
              </w:rPr>
              <w:t>[30]</w:t>
            </w:r>
            <w:r>
              <w:rPr>
                <w:rFonts w:ascii="仿宋_GB2312" w:eastAsia="仿宋_GB2312" w:hAnsi="宋体" w:cs="宋体" w:hint="eastAsia"/>
                <w:kern w:val="0"/>
                <w:sz w:val="20"/>
                <w:szCs w:val="20"/>
              </w:rPr>
              <w:t xml:space="preserve">　</w:t>
            </w:r>
          </w:p>
        </w:tc>
        <w:tc>
          <w:tcPr>
            <w:tcW w:w="946" w:type="dxa"/>
            <w:gridSpan w:val="2"/>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955"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仿宋_GB2312" w:cs="宋体" w:hint="eastAsia"/>
                <w:kern w:val="0"/>
                <w:sz w:val="20"/>
                <w:szCs w:val="20"/>
              </w:rPr>
              <w:t>[37]</w:t>
            </w:r>
            <w:r>
              <w:rPr>
                <w:rFonts w:ascii="仿宋_GB2312" w:eastAsia="仿宋_GB2312" w:hAnsi="宋体" w:cs="宋体" w:hint="eastAsia"/>
                <w:kern w:val="0"/>
                <w:sz w:val="20"/>
                <w:szCs w:val="20"/>
              </w:rPr>
              <w:t xml:space="preserve">　</w:t>
            </w:r>
          </w:p>
        </w:tc>
        <w:tc>
          <w:tcPr>
            <w:tcW w:w="96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828"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预期性</w:t>
            </w:r>
          </w:p>
        </w:tc>
      </w:tr>
      <w:tr w:rsidR="00D92198">
        <w:trPr>
          <w:trHeight w:val="700"/>
        </w:trPr>
        <w:tc>
          <w:tcPr>
            <w:tcW w:w="417" w:type="dxa"/>
            <w:tcBorders>
              <w:top w:val="nil"/>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14</w:t>
            </w:r>
          </w:p>
        </w:tc>
        <w:tc>
          <w:tcPr>
            <w:tcW w:w="2573" w:type="dxa"/>
            <w:gridSpan w:val="2"/>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rPr>
                <w:rFonts w:ascii="仿宋_GB2312" w:eastAsia="仿宋_GB2312" w:hAnsi="宋体" w:cs="宋体"/>
                <w:kern w:val="0"/>
                <w:sz w:val="20"/>
                <w:szCs w:val="20"/>
              </w:rPr>
            </w:pPr>
            <w:r>
              <w:rPr>
                <w:rFonts w:ascii="仿宋_GB2312" w:eastAsia="仿宋_GB2312" w:hAnsi="宋体" w:cs="宋体" w:hint="eastAsia"/>
                <w:kern w:val="0"/>
                <w:sz w:val="20"/>
                <w:szCs w:val="20"/>
              </w:rPr>
              <w:t>农村贫困人口脱贫</w:t>
            </w:r>
          </w:p>
        </w:tc>
        <w:tc>
          <w:tcPr>
            <w:tcW w:w="82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万人</w:t>
            </w:r>
          </w:p>
        </w:tc>
        <w:tc>
          <w:tcPr>
            <w:tcW w:w="955"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仿宋_GB2312" w:cs="宋体" w:hint="eastAsia"/>
                <w:kern w:val="0"/>
                <w:sz w:val="20"/>
                <w:szCs w:val="20"/>
              </w:rPr>
              <w:t>[49]</w:t>
            </w:r>
            <w:r>
              <w:rPr>
                <w:rFonts w:ascii="仿宋_GB2312" w:eastAsia="仿宋_GB2312" w:hAnsi="宋体" w:cs="宋体" w:hint="eastAsia"/>
                <w:kern w:val="0"/>
                <w:sz w:val="20"/>
                <w:szCs w:val="20"/>
              </w:rPr>
              <w:t xml:space="preserve">　　</w:t>
            </w:r>
          </w:p>
        </w:tc>
        <w:tc>
          <w:tcPr>
            <w:tcW w:w="946" w:type="dxa"/>
            <w:gridSpan w:val="2"/>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955"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仿宋_GB2312" w:cs="宋体" w:hint="eastAsia"/>
                <w:kern w:val="0"/>
                <w:sz w:val="20"/>
                <w:szCs w:val="20"/>
              </w:rPr>
              <w:t>[90.16]</w:t>
            </w:r>
            <w:r>
              <w:rPr>
                <w:rFonts w:ascii="仿宋_GB2312" w:eastAsia="仿宋_GB2312" w:hAnsi="宋体" w:cs="宋体" w:hint="eastAsia"/>
                <w:kern w:val="0"/>
                <w:sz w:val="20"/>
                <w:szCs w:val="20"/>
              </w:rPr>
              <w:t xml:space="preserve">　</w:t>
            </w:r>
          </w:p>
        </w:tc>
        <w:tc>
          <w:tcPr>
            <w:tcW w:w="96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828"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约束性</w:t>
            </w:r>
          </w:p>
        </w:tc>
      </w:tr>
      <w:tr w:rsidR="00D92198">
        <w:trPr>
          <w:trHeight w:val="463"/>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15                                                                                                                                                                                                                                                                                                                                                                                                                                                                                                                                                                                                                                                                                                                                                                                                                                                                                                                                                                                                                                                                                                                                                                                                                                                                                                                                                                                                                                                                                                                                                                                                                                                                                                                                                                                                                                                                                                                                                                                                                                                                                                                                                                                                                                                                                                                                                                                                                                                                                                                                                                                                                                                                                                                                                                                                                                                                                                                                                                                                                                                                                                                                                                                                                                                                                                                                                                                                                                                                                                                                                                                                                                                                                                                                                                                                                                                                                                                                                                                                                                                                                                                                                                                                                                                                                                                                                                                                                                                                                                                                                                                                                                                                                                                                                                                                                                                                                                                                                                                                                                                                                                                                                                                                                                                                                                                                                                                                                                                                                                                                                                                                                                                                                                                                                                                                                                                                                                                                                                                                                                                                                                                                                                                                                                                                                                                                                                                                                                                                                                                                                                                                                                                                                                                                                                                                                                                                                                                                                                                                                                                                                                                                                                                                                                                                                                                                                                                                                                                                                                                                                                                                                                                                                                                                                                                                                                                                                                                                                                                                                                                                                                                                                                                                                                                                                                                                                                                                                                                                                                                                                                                                                                                                                                                                                                                                                                                                                                                                                                                                                                                                                                                                                                                                                                                                                                                                                                                                                                                                                                                                                                                                                                                                                                                                                                                                                                                                                                                                                                                                                                                                                                                                                                                                                                                                                                                                                                                                                               </w:t>
            </w:r>
          </w:p>
        </w:tc>
        <w:tc>
          <w:tcPr>
            <w:tcW w:w="257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92198" w:rsidRDefault="00AE1128">
            <w:pPr>
              <w:widowControl/>
              <w:rPr>
                <w:rFonts w:ascii="仿宋_GB2312" w:eastAsia="仿宋_GB2312" w:hAnsi="宋体" w:cs="宋体"/>
                <w:kern w:val="0"/>
                <w:sz w:val="20"/>
                <w:szCs w:val="20"/>
              </w:rPr>
            </w:pPr>
            <w:r>
              <w:rPr>
                <w:rFonts w:ascii="仿宋_GB2312" w:eastAsia="仿宋_GB2312" w:hAnsi="宋体" w:cs="宋体" w:hint="eastAsia"/>
                <w:kern w:val="0"/>
                <w:sz w:val="20"/>
                <w:szCs w:val="20"/>
              </w:rPr>
              <w:t>基本养老保险参保率</w:t>
            </w:r>
          </w:p>
        </w:tc>
        <w:tc>
          <w:tcPr>
            <w:tcW w:w="82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955"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92</w:t>
            </w:r>
          </w:p>
        </w:tc>
        <w:tc>
          <w:tcPr>
            <w:tcW w:w="946" w:type="dxa"/>
            <w:gridSpan w:val="2"/>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955"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95.7</w:t>
            </w:r>
          </w:p>
        </w:tc>
        <w:tc>
          <w:tcPr>
            <w:tcW w:w="96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828" w:type="dxa"/>
            <w:tcBorders>
              <w:top w:val="nil"/>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预期性</w:t>
            </w:r>
          </w:p>
        </w:tc>
      </w:tr>
      <w:tr w:rsidR="00D92198">
        <w:trPr>
          <w:trHeight w:val="555"/>
        </w:trPr>
        <w:tc>
          <w:tcPr>
            <w:tcW w:w="417" w:type="dxa"/>
            <w:tcBorders>
              <w:top w:val="single" w:sz="4" w:space="0" w:color="auto"/>
              <w:left w:val="single" w:sz="4" w:space="0" w:color="auto"/>
              <w:bottom w:val="single" w:sz="4" w:space="0" w:color="auto"/>
              <w:right w:val="single" w:sz="4" w:space="0" w:color="auto"/>
            </w:tcBorders>
            <w:vAlign w:val="center"/>
          </w:tcPr>
          <w:p w:rsidR="00D92198" w:rsidRDefault="00AE1128">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16</w:t>
            </w:r>
          </w:p>
        </w:tc>
        <w:tc>
          <w:tcPr>
            <w:tcW w:w="2573" w:type="dxa"/>
            <w:gridSpan w:val="2"/>
            <w:tcBorders>
              <w:top w:val="single" w:sz="4" w:space="0" w:color="auto"/>
              <w:left w:val="single" w:sz="4" w:space="0" w:color="auto"/>
              <w:bottom w:val="single" w:sz="4" w:space="0" w:color="auto"/>
              <w:right w:val="single" w:sz="4" w:space="0" w:color="auto"/>
            </w:tcBorders>
            <w:vAlign w:val="center"/>
          </w:tcPr>
          <w:p w:rsidR="00D92198" w:rsidRDefault="00AE1128">
            <w:pPr>
              <w:widowControl/>
              <w:rPr>
                <w:rFonts w:ascii="仿宋_GB2312" w:eastAsia="仿宋_GB2312" w:hAnsi="宋体" w:cs="宋体"/>
                <w:kern w:val="0"/>
                <w:sz w:val="20"/>
                <w:szCs w:val="20"/>
              </w:rPr>
            </w:pPr>
            <w:r>
              <w:rPr>
                <w:rFonts w:ascii="仿宋_GB2312" w:eastAsia="仿宋_GB2312" w:hAnsi="宋体" w:cs="宋体" w:hint="eastAsia"/>
                <w:kern w:val="0"/>
                <w:sz w:val="20"/>
                <w:szCs w:val="20"/>
              </w:rPr>
              <w:t>城镇棚户区住房改造</w:t>
            </w:r>
          </w:p>
        </w:tc>
        <w:tc>
          <w:tcPr>
            <w:tcW w:w="82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万套</w:t>
            </w:r>
          </w:p>
        </w:tc>
        <w:tc>
          <w:tcPr>
            <w:tcW w:w="955"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仿宋_GB2312" w:cs="宋体" w:hint="eastAsia"/>
                <w:kern w:val="0"/>
                <w:sz w:val="20"/>
                <w:szCs w:val="20"/>
              </w:rPr>
              <w:t>[3.2]</w:t>
            </w:r>
          </w:p>
        </w:tc>
        <w:tc>
          <w:tcPr>
            <w:tcW w:w="946" w:type="dxa"/>
            <w:gridSpan w:val="2"/>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955"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仿宋_GB2312" w:cs="宋体" w:hint="eastAsia"/>
                <w:kern w:val="0"/>
                <w:sz w:val="20"/>
                <w:szCs w:val="20"/>
              </w:rPr>
              <w:t>[6.7]</w:t>
            </w:r>
          </w:p>
        </w:tc>
        <w:tc>
          <w:tcPr>
            <w:tcW w:w="96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828" w:type="dxa"/>
            <w:tcBorders>
              <w:top w:val="single" w:sz="4" w:space="0" w:color="auto"/>
              <w:left w:val="single" w:sz="4" w:space="0" w:color="auto"/>
              <w:bottom w:val="single" w:sz="4" w:space="0" w:color="auto"/>
              <w:right w:val="single" w:sz="4" w:space="0" w:color="auto"/>
            </w:tcBorders>
            <w:vAlign w:val="center"/>
          </w:tcPr>
          <w:p w:rsidR="00D92198" w:rsidRDefault="00AE1128">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约束性</w:t>
            </w:r>
          </w:p>
        </w:tc>
      </w:tr>
      <w:tr w:rsidR="00D92198">
        <w:trPr>
          <w:trHeight w:val="563"/>
        </w:trPr>
        <w:tc>
          <w:tcPr>
            <w:tcW w:w="417" w:type="dxa"/>
            <w:tcBorders>
              <w:top w:val="single" w:sz="4" w:space="0" w:color="auto"/>
              <w:left w:val="single" w:sz="4" w:space="0" w:color="auto"/>
              <w:bottom w:val="single" w:sz="4" w:space="0" w:color="auto"/>
              <w:right w:val="single" w:sz="4" w:space="0" w:color="auto"/>
            </w:tcBorders>
            <w:vAlign w:val="center"/>
          </w:tcPr>
          <w:p w:rsidR="00D92198" w:rsidRDefault="00AE1128">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17</w:t>
            </w:r>
          </w:p>
        </w:tc>
        <w:tc>
          <w:tcPr>
            <w:tcW w:w="2573" w:type="dxa"/>
            <w:gridSpan w:val="2"/>
            <w:tcBorders>
              <w:top w:val="single" w:sz="4" w:space="0" w:color="auto"/>
              <w:left w:val="single" w:sz="4" w:space="0" w:color="auto"/>
              <w:bottom w:val="single" w:sz="4" w:space="0" w:color="auto"/>
              <w:right w:val="single" w:sz="4" w:space="0" w:color="auto"/>
            </w:tcBorders>
            <w:vAlign w:val="center"/>
          </w:tcPr>
          <w:p w:rsidR="00D92198" w:rsidRDefault="00AE1128">
            <w:pPr>
              <w:widowControl/>
              <w:rPr>
                <w:rFonts w:ascii="仿宋_GB2312" w:eastAsia="仿宋_GB2312" w:hAnsi="宋体" w:cs="宋体"/>
                <w:kern w:val="0"/>
                <w:sz w:val="20"/>
                <w:szCs w:val="20"/>
              </w:rPr>
            </w:pPr>
            <w:r>
              <w:rPr>
                <w:rFonts w:ascii="仿宋_GB2312" w:eastAsia="仿宋_GB2312" w:hAnsi="宋体" w:cs="宋体" w:hint="eastAsia"/>
                <w:kern w:val="0"/>
                <w:sz w:val="20"/>
                <w:szCs w:val="20"/>
              </w:rPr>
              <w:t>人均预期寿命</w:t>
            </w:r>
          </w:p>
        </w:tc>
        <w:tc>
          <w:tcPr>
            <w:tcW w:w="82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岁</w:t>
            </w:r>
          </w:p>
        </w:tc>
        <w:tc>
          <w:tcPr>
            <w:tcW w:w="955"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946" w:type="dxa"/>
            <w:gridSpan w:val="2"/>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仿宋_GB2312" w:cs="宋体" w:hint="eastAsia"/>
                <w:kern w:val="0"/>
                <w:sz w:val="20"/>
                <w:szCs w:val="20"/>
              </w:rPr>
              <w:t>[0.9]</w:t>
            </w:r>
          </w:p>
        </w:tc>
        <w:tc>
          <w:tcPr>
            <w:tcW w:w="955"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96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仿宋_GB2312" w:cs="宋体" w:hint="eastAsia"/>
                <w:kern w:val="0"/>
                <w:sz w:val="20"/>
                <w:szCs w:val="20"/>
              </w:rPr>
              <w:t>[1.0]</w:t>
            </w:r>
            <w:r>
              <w:rPr>
                <w:rFonts w:ascii="仿宋_GB2312" w:eastAsia="仿宋_GB2312" w:hAnsi="宋体" w:cs="宋体" w:hint="eastAsia"/>
                <w:kern w:val="0"/>
                <w:sz w:val="20"/>
                <w:szCs w:val="20"/>
              </w:rPr>
              <w:t xml:space="preserve">　</w:t>
            </w:r>
          </w:p>
        </w:tc>
        <w:tc>
          <w:tcPr>
            <w:tcW w:w="828" w:type="dxa"/>
            <w:tcBorders>
              <w:top w:val="single" w:sz="4" w:space="0" w:color="auto"/>
              <w:left w:val="single" w:sz="4" w:space="0" w:color="auto"/>
              <w:bottom w:val="single" w:sz="4" w:space="0" w:color="auto"/>
              <w:right w:val="single" w:sz="4" w:space="0" w:color="auto"/>
            </w:tcBorders>
            <w:vAlign w:val="center"/>
          </w:tcPr>
          <w:p w:rsidR="00D92198" w:rsidRDefault="00AE1128">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预期性</w:t>
            </w:r>
          </w:p>
        </w:tc>
      </w:tr>
      <w:tr w:rsidR="00D92198">
        <w:trPr>
          <w:trHeight w:val="288"/>
        </w:trPr>
        <w:tc>
          <w:tcPr>
            <w:tcW w:w="299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lastRenderedPageBreak/>
              <w:t>指标名称</w:t>
            </w:r>
          </w:p>
        </w:tc>
        <w:tc>
          <w:tcPr>
            <w:tcW w:w="82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t>单位</w:t>
            </w:r>
          </w:p>
        </w:tc>
        <w:tc>
          <w:tcPr>
            <w:tcW w:w="1901" w:type="dxa"/>
            <w:gridSpan w:val="3"/>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jc w:val="center"/>
              <w:rPr>
                <w:rFonts w:ascii="黑体" w:eastAsia="黑体" w:hAnsi="黑体" w:cs="宋体"/>
                <w:w w:val="90"/>
                <w:kern w:val="0"/>
                <w:szCs w:val="21"/>
              </w:rPr>
            </w:pPr>
            <w:r>
              <w:rPr>
                <w:rFonts w:ascii="黑体" w:eastAsia="黑体" w:hAnsi="黑体" w:cs="宋体" w:hint="eastAsia"/>
                <w:w w:val="90"/>
                <w:kern w:val="0"/>
                <w:szCs w:val="21"/>
              </w:rPr>
              <w:t>“十三五”目标</w:t>
            </w:r>
          </w:p>
        </w:tc>
        <w:tc>
          <w:tcPr>
            <w:tcW w:w="1919" w:type="dxa"/>
            <w:gridSpan w:val="2"/>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w w:val="90"/>
                <w:kern w:val="0"/>
                <w:szCs w:val="21"/>
              </w:rPr>
              <w:t>“十三五”完成情况</w:t>
            </w:r>
          </w:p>
        </w:tc>
        <w:tc>
          <w:tcPr>
            <w:tcW w:w="82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t>指标属性</w:t>
            </w:r>
          </w:p>
        </w:tc>
      </w:tr>
      <w:tr w:rsidR="00D92198">
        <w:trPr>
          <w:trHeight w:val="312"/>
        </w:trPr>
        <w:tc>
          <w:tcPr>
            <w:tcW w:w="2990" w:type="dxa"/>
            <w:gridSpan w:val="3"/>
            <w:vMerge/>
            <w:tcBorders>
              <w:top w:val="single" w:sz="4" w:space="0" w:color="auto"/>
              <w:left w:val="single" w:sz="4" w:space="0" w:color="auto"/>
              <w:bottom w:val="single" w:sz="4" w:space="0" w:color="auto"/>
              <w:right w:val="single" w:sz="4" w:space="0" w:color="auto"/>
            </w:tcBorders>
            <w:vAlign w:val="center"/>
          </w:tcPr>
          <w:p w:rsidR="00D92198" w:rsidRDefault="00D92198">
            <w:pPr>
              <w:widowControl/>
              <w:jc w:val="left"/>
              <w:rPr>
                <w:rFonts w:ascii="黑体" w:eastAsia="黑体" w:hAnsi="黑体" w:cs="宋体"/>
                <w:kern w:val="0"/>
                <w:szCs w:val="21"/>
              </w:rPr>
            </w:pPr>
          </w:p>
        </w:tc>
        <w:tc>
          <w:tcPr>
            <w:tcW w:w="822" w:type="dxa"/>
            <w:vMerge/>
            <w:tcBorders>
              <w:top w:val="nil"/>
              <w:left w:val="single" w:sz="4" w:space="0" w:color="auto"/>
              <w:bottom w:val="single" w:sz="4" w:space="0" w:color="auto"/>
              <w:right w:val="single" w:sz="4" w:space="0" w:color="auto"/>
            </w:tcBorders>
            <w:vAlign w:val="center"/>
          </w:tcPr>
          <w:p w:rsidR="00D92198" w:rsidRDefault="00D92198">
            <w:pPr>
              <w:widowControl/>
              <w:jc w:val="left"/>
              <w:rPr>
                <w:rFonts w:ascii="黑体" w:eastAsia="黑体" w:hAnsi="黑体" w:cs="宋体"/>
                <w:kern w:val="0"/>
                <w:szCs w:val="21"/>
              </w:rPr>
            </w:pPr>
          </w:p>
        </w:tc>
        <w:tc>
          <w:tcPr>
            <w:tcW w:w="955" w:type="dxa"/>
            <w:vMerge w:val="restart"/>
            <w:tcBorders>
              <w:top w:val="nil"/>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t>2020年</w:t>
            </w:r>
          </w:p>
        </w:tc>
        <w:tc>
          <w:tcPr>
            <w:tcW w:w="946" w:type="dxa"/>
            <w:gridSpan w:val="2"/>
            <w:vMerge w:val="restart"/>
            <w:tcBorders>
              <w:top w:val="nil"/>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黑体" w:eastAsia="黑体" w:hAnsi="黑体" w:cs="宋体"/>
                <w:w w:val="80"/>
                <w:kern w:val="0"/>
                <w:szCs w:val="21"/>
              </w:rPr>
            </w:pPr>
            <w:r>
              <w:rPr>
                <w:rFonts w:ascii="黑体" w:eastAsia="黑体" w:hAnsi="黑体" w:cs="宋体" w:hint="eastAsia"/>
                <w:w w:val="80"/>
                <w:kern w:val="0"/>
                <w:szCs w:val="21"/>
              </w:rPr>
              <w:t>年均增长（%）</w:t>
            </w:r>
          </w:p>
        </w:tc>
        <w:tc>
          <w:tcPr>
            <w:tcW w:w="955" w:type="dxa"/>
            <w:vMerge w:val="restart"/>
            <w:tcBorders>
              <w:top w:val="nil"/>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t>2020年</w:t>
            </w:r>
          </w:p>
        </w:tc>
        <w:tc>
          <w:tcPr>
            <w:tcW w:w="964" w:type="dxa"/>
            <w:vMerge w:val="restart"/>
            <w:tcBorders>
              <w:top w:val="nil"/>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w w:val="80"/>
                <w:kern w:val="0"/>
                <w:szCs w:val="21"/>
              </w:rPr>
              <w:t>年均增长（%）</w:t>
            </w:r>
          </w:p>
        </w:tc>
        <w:tc>
          <w:tcPr>
            <w:tcW w:w="828" w:type="dxa"/>
            <w:vMerge/>
            <w:tcBorders>
              <w:top w:val="nil"/>
              <w:left w:val="single" w:sz="4" w:space="0" w:color="auto"/>
              <w:bottom w:val="single" w:sz="4" w:space="0" w:color="auto"/>
              <w:right w:val="single" w:sz="4" w:space="0" w:color="auto"/>
            </w:tcBorders>
            <w:vAlign w:val="center"/>
          </w:tcPr>
          <w:p w:rsidR="00D92198" w:rsidRDefault="00D92198">
            <w:pPr>
              <w:widowControl/>
              <w:jc w:val="left"/>
              <w:rPr>
                <w:rFonts w:ascii="黑体" w:eastAsia="黑体" w:hAnsi="黑体" w:cs="宋体"/>
                <w:kern w:val="0"/>
                <w:szCs w:val="21"/>
              </w:rPr>
            </w:pPr>
          </w:p>
        </w:tc>
      </w:tr>
      <w:tr w:rsidR="00D92198">
        <w:trPr>
          <w:trHeight w:val="480"/>
        </w:trPr>
        <w:tc>
          <w:tcPr>
            <w:tcW w:w="2990" w:type="dxa"/>
            <w:gridSpan w:val="3"/>
            <w:vMerge/>
            <w:tcBorders>
              <w:top w:val="single" w:sz="4" w:space="0" w:color="auto"/>
              <w:left w:val="single" w:sz="4" w:space="0" w:color="auto"/>
              <w:bottom w:val="single" w:sz="4" w:space="0" w:color="auto"/>
              <w:right w:val="single" w:sz="4" w:space="0" w:color="auto"/>
            </w:tcBorders>
            <w:vAlign w:val="center"/>
          </w:tcPr>
          <w:p w:rsidR="00D92198" w:rsidRDefault="00D92198">
            <w:pPr>
              <w:widowControl/>
              <w:jc w:val="left"/>
              <w:rPr>
                <w:rFonts w:ascii="黑体" w:eastAsia="黑体" w:hAnsi="黑体" w:cs="宋体"/>
                <w:kern w:val="0"/>
                <w:szCs w:val="21"/>
              </w:rPr>
            </w:pPr>
          </w:p>
        </w:tc>
        <w:tc>
          <w:tcPr>
            <w:tcW w:w="822" w:type="dxa"/>
            <w:vMerge/>
            <w:tcBorders>
              <w:top w:val="nil"/>
              <w:left w:val="single" w:sz="4" w:space="0" w:color="auto"/>
              <w:bottom w:val="single" w:sz="4" w:space="0" w:color="auto"/>
              <w:right w:val="single" w:sz="4" w:space="0" w:color="auto"/>
            </w:tcBorders>
            <w:vAlign w:val="center"/>
          </w:tcPr>
          <w:p w:rsidR="00D92198" w:rsidRDefault="00D92198">
            <w:pPr>
              <w:widowControl/>
              <w:jc w:val="left"/>
              <w:rPr>
                <w:rFonts w:ascii="黑体" w:eastAsia="黑体" w:hAnsi="黑体" w:cs="宋体"/>
                <w:kern w:val="0"/>
                <w:szCs w:val="21"/>
              </w:rPr>
            </w:pPr>
          </w:p>
        </w:tc>
        <w:tc>
          <w:tcPr>
            <w:tcW w:w="955" w:type="dxa"/>
            <w:vMerge/>
            <w:tcBorders>
              <w:top w:val="nil"/>
              <w:left w:val="single" w:sz="4" w:space="0" w:color="auto"/>
              <w:bottom w:val="single" w:sz="4" w:space="0" w:color="auto"/>
              <w:right w:val="single" w:sz="4" w:space="0" w:color="auto"/>
            </w:tcBorders>
            <w:vAlign w:val="center"/>
          </w:tcPr>
          <w:p w:rsidR="00D92198" w:rsidRDefault="00D92198">
            <w:pPr>
              <w:widowControl/>
              <w:jc w:val="left"/>
              <w:rPr>
                <w:rFonts w:ascii="黑体" w:eastAsia="黑体" w:hAnsi="黑体" w:cs="宋体"/>
                <w:kern w:val="0"/>
                <w:szCs w:val="21"/>
              </w:rPr>
            </w:pPr>
          </w:p>
        </w:tc>
        <w:tc>
          <w:tcPr>
            <w:tcW w:w="946" w:type="dxa"/>
            <w:gridSpan w:val="2"/>
            <w:vMerge/>
            <w:tcBorders>
              <w:top w:val="nil"/>
              <w:left w:val="single" w:sz="4" w:space="0" w:color="auto"/>
              <w:bottom w:val="single" w:sz="4" w:space="0" w:color="auto"/>
              <w:right w:val="single" w:sz="4" w:space="0" w:color="auto"/>
            </w:tcBorders>
            <w:vAlign w:val="center"/>
          </w:tcPr>
          <w:p w:rsidR="00D92198" w:rsidRDefault="00D92198">
            <w:pPr>
              <w:widowControl/>
              <w:jc w:val="left"/>
              <w:rPr>
                <w:rFonts w:ascii="黑体" w:eastAsia="黑体" w:hAnsi="黑体" w:cs="宋体"/>
                <w:kern w:val="0"/>
                <w:szCs w:val="21"/>
              </w:rPr>
            </w:pPr>
          </w:p>
        </w:tc>
        <w:tc>
          <w:tcPr>
            <w:tcW w:w="955" w:type="dxa"/>
            <w:vMerge/>
            <w:tcBorders>
              <w:top w:val="nil"/>
              <w:left w:val="single" w:sz="4" w:space="0" w:color="auto"/>
              <w:bottom w:val="single" w:sz="4" w:space="0" w:color="auto"/>
              <w:right w:val="single" w:sz="4" w:space="0" w:color="auto"/>
            </w:tcBorders>
            <w:vAlign w:val="center"/>
          </w:tcPr>
          <w:p w:rsidR="00D92198" w:rsidRDefault="00D92198">
            <w:pPr>
              <w:widowControl/>
              <w:jc w:val="left"/>
              <w:rPr>
                <w:rFonts w:ascii="黑体" w:eastAsia="黑体" w:hAnsi="黑体" w:cs="宋体"/>
                <w:kern w:val="0"/>
                <w:szCs w:val="21"/>
              </w:rPr>
            </w:pPr>
          </w:p>
        </w:tc>
        <w:tc>
          <w:tcPr>
            <w:tcW w:w="964" w:type="dxa"/>
            <w:vMerge/>
            <w:tcBorders>
              <w:top w:val="nil"/>
              <w:left w:val="single" w:sz="4" w:space="0" w:color="auto"/>
              <w:bottom w:val="single" w:sz="4" w:space="0" w:color="auto"/>
              <w:right w:val="single" w:sz="4" w:space="0" w:color="auto"/>
            </w:tcBorders>
            <w:vAlign w:val="center"/>
          </w:tcPr>
          <w:p w:rsidR="00D92198" w:rsidRDefault="00D92198">
            <w:pPr>
              <w:widowControl/>
              <w:jc w:val="left"/>
              <w:rPr>
                <w:rFonts w:ascii="黑体" w:eastAsia="黑体" w:hAnsi="黑体" w:cs="宋体"/>
                <w:kern w:val="0"/>
                <w:szCs w:val="21"/>
              </w:rPr>
            </w:pPr>
          </w:p>
        </w:tc>
        <w:tc>
          <w:tcPr>
            <w:tcW w:w="828" w:type="dxa"/>
            <w:vMerge/>
            <w:tcBorders>
              <w:top w:val="nil"/>
              <w:left w:val="single" w:sz="4" w:space="0" w:color="auto"/>
              <w:bottom w:val="single" w:sz="4" w:space="0" w:color="auto"/>
              <w:right w:val="single" w:sz="4" w:space="0" w:color="auto"/>
            </w:tcBorders>
            <w:vAlign w:val="center"/>
          </w:tcPr>
          <w:p w:rsidR="00D92198" w:rsidRDefault="00D92198">
            <w:pPr>
              <w:widowControl/>
              <w:jc w:val="left"/>
              <w:rPr>
                <w:rFonts w:ascii="黑体" w:eastAsia="黑体" w:hAnsi="黑体" w:cs="宋体"/>
                <w:kern w:val="0"/>
                <w:szCs w:val="21"/>
              </w:rPr>
            </w:pPr>
          </w:p>
        </w:tc>
      </w:tr>
      <w:tr w:rsidR="00D92198">
        <w:trPr>
          <w:trHeight w:val="384"/>
        </w:trPr>
        <w:tc>
          <w:tcPr>
            <w:tcW w:w="8460" w:type="dxa"/>
            <w:gridSpan w:val="10"/>
            <w:tcBorders>
              <w:top w:val="single" w:sz="4" w:space="0" w:color="auto"/>
              <w:left w:val="single" w:sz="4" w:space="0" w:color="auto"/>
              <w:bottom w:val="single" w:sz="4" w:space="0" w:color="auto"/>
              <w:right w:val="single" w:sz="4" w:space="0" w:color="000000"/>
            </w:tcBorders>
            <w:shd w:val="clear" w:color="auto" w:fill="auto"/>
            <w:vAlign w:val="center"/>
          </w:tcPr>
          <w:p w:rsidR="00D92198" w:rsidRDefault="00AE1128">
            <w:pPr>
              <w:widowControl/>
              <w:jc w:val="left"/>
              <w:rPr>
                <w:rFonts w:ascii="黑体" w:eastAsia="黑体" w:hAnsi="黑体" w:cs="宋体"/>
                <w:kern w:val="0"/>
                <w:szCs w:val="21"/>
              </w:rPr>
            </w:pPr>
            <w:r>
              <w:rPr>
                <w:rFonts w:ascii="黑体" w:eastAsia="黑体" w:hAnsi="黑体" w:cs="宋体" w:hint="eastAsia"/>
                <w:kern w:val="0"/>
                <w:szCs w:val="21"/>
              </w:rPr>
              <w:t xml:space="preserve">四、生态文明 </w:t>
            </w:r>
          </w:p>
        </w:tc>
      </w:tr>
      <w:tr w:rsidR="00D92198">
        <w:trPr>
          <w:trHeight w:val="384"/>
        </w:trPr>
        <w:tc>
          <w:tcPr>
            <w:tcW w:w="417" w:type="dxa"/>
            <w:tcBorders>
              <w:top w:val="nil"/>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18</w:t>
            </w:r>
          </w:p>
        </w:tc>
        <w:tc>
          <w:tcPr>
            <w:tcW w:w="2573" w:type="dxa"/>
            <w:gridSpan w:val="2"/>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耕地保有量</w:t>
            </w:r>
          </w:p>
        </w:tc>
        <w:tc>
          <w:tcPr>
            <w:tcW w:w="82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万亩</w:t>
            </w:r>
          </w:p>
        </w:tc>
        <w:tc>
          <w:tcPr>
            <w:tcW w:w="955"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1283　</w:t>
            </w:r>
          </w:p>
        </w:tc>
        <w:tc>
          <w:tcPr>
            <w:tcW w:w="946" w:type="dxa"/>
            <w:gridSpan w:val="2"/>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55"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w w:val="80"/>
                <w:kern w:val="0"/>
                <w:sz w:val="20"/>
                <w:szCs w:val="20"/>
              </w:rPr>
              <w:t>1300左右</w:t>
            </w:r>
          </w:p>
        </w:tc>
        <w:tc>
          <w:tcPr>
            <w:tcW w:w="96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828"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约束性</w:t>
            </w:r>
          </w:p>
        </w:tc>
      </w:tr>
      <w:tr w:rsidR="00D92198">
        <w:trPr>
          <w:trHeight w:val="384"/>
        </w:trPr>
        <w:tc>
          <w:tcPr>
            <w:tcW w:w="417" w:type="dxa"/>
            <w:tcBorders>
              <w:top w:val="nil"/>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1</w:t>
            </w:r>
            <w:r>
              <w:rPr>
                <w:rFonts w:ascii="仿宋_GB2312" w:eastAsia="仿宋_GB2312" w:hAnsi="宋体" w:cs="宋体"/>
                <w:kern w:val="0"/>
                <w:sz w:val="20"/>
                <w:szCs w:val="20"/>
              </w:rPr>
              <w:t>9</w:t>
            </w:r>
          </w:p>
        </w:tc>
        <w:tc>
          <w:tcPr>
            <w:tcW w:w="2573" w:type="dxa"/>
            <w:gridSpan w:val="2"/>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rPr>
                <w:rFonts w:ascii="仿宋_GB2312" w:eastAsia="仿宋_GB2312" w:hAnsi="宋体" w:cs="宋体"/>
                <w:kern w:val="0"/>
                <w:sz w:val="20"/>
                <w:szCs w:val="20"/>
              </w:rPr>
            </w:pPr>
            <w:r>
              <w:rPr>
                <w:rFonts w:ascii="仿宋_GB2312" w:eastAsia="仿宋_GB2312" w:hAnsi="宋体" w:cs="宋体" w:hint="eastAsia"/>
                <w:kern w:val="0"/>
                <w:sz w:val="20"/>
                <w:szCs w:val="20"/>
              </w:rPr>
              <w:t>万元生产总值用水量下降</w:t>
            </w:r>
          </w:p>
        </w:tc>
        <w:tc>
          <w:tcPr>
            <w:tcW w:w="82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955" w:type="dxa"/>
            <w:tcBorders>
              <w:top w:val="nil"/>
              <w:left w:val="nil"/>
              <w:bottom w:val="single" w:sz="4" w:space="0" w:color="auto"/>
              <w:right w:val="single" w:sz="4" w:space="0" w:color="auto"/>
            </w:tcBorders>
            <w:shd w:val="clear" w:color="auto" w:fill="auto"/>
            <w:vAlign w:val="center"/>
          </w:tcPr>
          <w:p w:rsidR="00D92198" w:rsidRDefault="00AE1128">
            <w:pPr>
              <w:jc w:val="center"/>
              <w:rPr>
                <w:rFonts w:ascii="Times New Roman" w:eastAsia="仿宋_GB2312" w:hAnsi="Times New Roman"/>
                <w:sz w:val="24"/>
                <w:szCs w:val="24"/>
              </w:rPr>
            </w:pPr>
            <w:r>
              <w:rPr>
                <w:rFonts w:ascii="仿宋_GB2312" w:eastAsia="仿宋_GB2312" w:hAnsi="宋体" w:cs="宋体" w:hint="eastAsia"/>
                <w:kern w:val="0"/>
                <w:sz w:val="20"/>
                <w:szCs w:val="20"/>
              </w:rPr>
              <w:t>22.4</w:t>
            </w:r>
          </w:p>
        </w:tc>
        <w:tc>
          <w:tcPr>
            <w:tcW w:w="946" w:type="dxa"/>
            <w:gridSpan w:val="2"/>
            <w:tcBorders>
              <w:top w:val="nil"/>
              <w:left w:val="nil"/>
              <w:bottom w:val="single" w:sz="4" w:space="0" w:color="auto"/>
              <w:right w:val="single" w:sz="4" w:space="0" w:color="auto"/>
            </w:tcBorders>
            <w:shd w:val="clear" w:color="auto" w:fill="auto"/>
            <w:vAlign w:val="center"/>
          </w:tcPr>
          <w:p w:rsidR="00D92198" w:rsidRDefault="00AE1128">
            <w:pPr>
              <w:jc w:val="center"/>
              <w:rPr>
                <w:rFonts w:ascii="Times New Roman" w:eastAsia="仿宋_GB2312" w:hAnsi="Times New Roman"/>
                <w:sz w:val="24"/>
                <w:szCs w:val="24"/>
              </w:rPr>
            </w:pPr>
            <w:r>
              <w:rPr>
                <w:rFonts w:ascii="Times New Roman" w:eastAsia="仿宋_GB2312" w:hAnsi="Times New Roman" w:hint="eastAsia"/>
                <w:sz w:val="24"/>
                <w:szCs w:val="24"/>
              </w:rPr>
              <w:t>—</w:t>
            </w:r>
          </w:p>
        </w:tc>
        <w:tc>
          <w:tcPr>
            <w:tcW w:w="955" w:type="dxa"/>
            <w:tcBorders>
              <w:top w:val="nil"/>
              <w:left w:val="nil"/>
              <w:bottom w:val="single" w:sz="4" w:space="0" w:color="auto"/>
              <w:right w:val="single" w:sz="4" w:space="0" w:color="auto"/>
            </w:tcBorders>
            <w:shd w:val="clear" w:color="auto" w:fill="auto"/>
            <w:vAlign w:val="center"/>
          </w:tcPr>
          <w:p w:rsidR="00D92198" w:rsidRDefault="00AE1128">
            <w:pPr>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22.4</w:t>
            </w:r>
          </w:p>
        </w:tc>
        <w:tc>
          <w:tcPr>
            <w:tcW w:w="964" w:type="dxa"/>
            <w:tcBorders>
              <w:top w:val="nil"/>
              <w:left w:val="nil"/>
              <w:bottom w:val="single" w:sz="4" w:space="0" w:color="auto"/>
              <w:right w:val="single" w:sz="4" w:space="0" w:color="auto"/>
            </w:tcBorders>
            <w:shd w:val="clear" w:color="auto" w:fill="auto"/>
            <w:vAlign w:val="center"/>
          </w:tcPr>
          <w:p w:rsidR="00D92198" w:rsidRDefault="00AE1128">
            <w:pPr>
              <w:jc w:val="center"/>
              <w:rPr>
                <w:rFonts w:ascii="Times New Roman" w:eastAsia="仿宋_GB2312" w:hAnsi="Times New Roman"/>
                <w:sz w:val="24"/>
                <w:szCs w:val="24"/>
              </w:rPr>
            </w:pPr>
            <w:r>
              <w:rPr>
                <w:rFonts w:ascii="Times New Roman" w:eastAsia="仿宋_GB2312" w:hAnsi="Times New Roman" w:hint="eastAsia"/>
                <w:sz w:val="24"/>
                <w:szCs w:val="24"/>
              </w:rPr>
              <w:t>—</w:t>
            </w:r>
          </w:p>
        </w:tc>
        <w:tc>
          <w:tcPr>
            <w:tcW w:w="828"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约束性</w:t>
            </w:r>
          </w:p>
        </w:tc>
      </w:tr>
      <w:tr w:rsidR="00D92198">
        <w:trPr>
          <w:trHeight w:val="540"/>
        </w:trPr>
        <w:tc>
          <w:tcPr>
            <w:tcW w:w="417" w:type="dxa"/>
            <w:tcBorders>
              <w:top w:val="nil"/>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2</w:t>
            </w:r>
            <w:r>
              <w:rPr>
                <w:rFonts w:ascii="仿宋_GB2312" w:eastAsia="仿宋_GB2312" w:hAnsi="宋体" w:cs="宋体"/>
                <w:kern w:val="0"/>
                <w:sz w:val="20"/>
                <w:szCs w:val="20"/>
              </w:rPr>
              <w:t>0</w:t>
            </w:r>
          </w:p>
        </w:tc>
        <w:tc>
          <w:tcPr>
            <w:tcW w:w="2573" w:type="dxa"/>
            <w:gridSpan w:val="2"/>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rPr>
                <w:rFonts w:ascii="仿宋_GB2312" w:eastAsia="仿宋_GB2312" w:hAnsi="宋体" w:cs="宋体"/>
                <w:kern w:val="0"/>
                <w:sz w:val="20"/>
                <w:szCs w:val="20"/>
              </w:rPr>
            </w:pPr>
            <w:r>
              <w:rPr>
                <w:rFonts w:ascii="仿宋_GB2312" w:eastAsia="仿宋_GB2312" w:hAnsi="宋体" w:cs="宋体" w:hint="eastAsia"/>
                <w:kern w:val="0"/>
                <w:sz w:val="20"/>
                <w:szCs w:val="20"/>
              </w:rPr>
              <w:t>非化石能源占一次能源消费比重</w:t>
            </w:r>
          </w:p>
        </w:tc>
        <w:tc>
          <w:tcPr>
            <w:tcW w:w="82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955"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&gt;7</w:t>
            </w:r>
          </w:p>
        </w:tc>
        <w:tc>
          <w:tcPr>
            <w:tcW w:w="946" w:type="dxa"/>
            <w:gridSpan w:val="2"/>
            <w:tcBorders>
              <w:top w:val="nil"/>
              <w:left w:val="nil"/>
              <w:bottom w:val="single" w:sz="4" w:space="0" w:color="auto"/>
              <w:right w:val="single" w:sz="4" w:space="0" w:color="auto"/>
            </w:tcBorders>
            <w:shd w:val="clear" w:color="auto" w:fill="auto"/>
            <w:vAlign w:val="center"/>
          </w:tcPr>
          <w:p w:rsidR="00D92198" w:rsidRDefault="00AE1128">
            <w:pPr>
              <w:jc w:val="center"/>
              <w:rPr>
                <w:rFonts w:ascii="Times New Roman" w:eastAsia="仿宋_GB2312" w:hAnsi="Times New Roman"/>
                <w:sz w:val="24"/>
                <w:szCs w:val="24"/>
              </w:rPr>
            </w:pPr>
            <w:r>
              <w:rPr>
                <w:rFonts w:ascii="Times New Roman" w:eastAsia="仿宋_GB2312" w:hAnsi="Times New Roman" w:hint="eastAsia"/>
                <w:sz w:val="24"/>
                <w:szCs w:val="24"/>
              </w:rPr>
              <w:t>—</w:t>
            </w:r>
          </w:p>
        </w:tc>
        <w:tc>
          <w:tcPr>
            <w:tcW w:w="955" w:type="dxa"/>
            <w:tcBorders>
              <w:top w:val="nil"/>
              <w:left w:val="nil"/>
              <w:bottom w:val="single" w:sz="4" w:space="0" w:color="auto"/>
              <w:right w:val="single" w:sz="4" w:space="0" w:color="auto"/>
            </w:tcBorders>
            <w:shd w:val="clear" w:color="auto" w:fill="auto"/>
            <w:vAlign w:val="center"/>
          </w:tcPr>
          <w:p w:rsidR="00D92198" w:rsidRDefault="00AE1128">
            <w:pPr>
              <w:jc w:val="center"/>
              <w:rPr>
                <w:rFonts w:ascii="Times New Roman" w:eastAsia="仿宋_GB2312" w:hAnsi="Times New Roman"/>
                <w:sz w:val="24"/>
                <w:szCs w:val="24"/>
              </w:rPr>
            </w:pPr>
            <w:r>
              <w:rPr>
                <w:rFonts w:ascii="仿宋_GB2312" w:eastAsia="仿宋_GB2312" w:hAnsi="宋体" w:cs="宋体" w:hint="eastAsia"/>
                <w:kern w:val="0"/>
                <w:sz w:val="20"/>
                <w:szCs w:val="20"/>
              </w:rPr>
              <w:t>&gt;7</w:t>
            </w:r>
          </w:p>
        </w:tc>
        <w:tc>
          <w:tcPr>
            <w:tcW w:w="964" w:type="dxa"/>
            <w:tcBorders>
              <w:top w:val="nil"/>
              <w:left w:val="nil"/>
              <w:bottom w:val="single" w:sz="4" w:space="0" w:color="auto"/>
              <w:right w:val="single" w:sz="4" w:space="0" w:color="auto"/>
            </w:tcBorders>
            <w:shd w:val="clear" w:color="auto" w:fill="auto"/>
            <w:vAlign w:val="center"/>
          </w:tcPr>
          <w:p w:rsidR="00D92198" w:rsidRDefault="00AE1128">
            <w:pPr>
              <w:jc w:val="center"/>
              <w:rPr>
                <w:rFonts w:ascii="Times New Roman" w:eastAsia="仿宋_GB2312" w:hAnsi="Times New Roman"/>
                <w:sz w:val="24"/>
                <w:szCs w:val="24"/>
              </w:rPr>
            </w:pPr>
            <w:r>
              <w:rPr>
                <w:rFonts w:ascii="Times New Roman" w:eastAsia="仿宋_GB2312" w:hAnsi="Times New Roman" w:hint="eastAsia"/>
                <w:sz w:val="24"/>
                <w:szCs w:val="24"/>
              </w:rPr>
              <w:t>—</w:t>
            </w:r>
          </w:p>
        </w:tc>
        <w:tc>
          <w:tcPr>
            <w:tcW w:w="828"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约束性</w:t>
            </w:r>
          </w:p>
        </w:tc>
      </w:tr>
      <w:tr w:rsidR="00D92198">
        <w:trPr>
          <w:trHeight w:val="531"/>
        </w:trPr>
        <w:tc>
          <w:tcPr>
            <w:tcW w:w="417" w:type="dxa"/>
            <w:tcBorders>
              <w:top w:val="nil"/>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2</w:t>
            </w:r>
            <w:r>
              <w:rPr>
                <w:rFonts w:ascii="仿宋_GB2312" w:eastAsia="仿宋_GB2312" w:hAnsi="宋体" w:cs="宋体"/>
                <w:kern w:val="0"/>
                <w:sz w:val="20"/>
                <w:szCs w:val="20"/>
              </w:rPr>
              <w:t>1</w:t>
            </w:r>
          </w:p>
        </w:tc>
        <w:tc>
          <w:tcPr>
            <w:tcW w:w="2573" w:type="dxa"/>
            <w:gridSpan w:val="2"/>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rPr>
                <w:rFonts w:ascii="仿宋_GB2312" w:eastAsia="仿宋_GB2312" w:hAnsi="宋体" w:cs="宋体"/>
                <w:w w:val="90"/>
                <w:kern w:val="0"/>
                <w:sz w:val="20"/>
                <w:szCs w:val="20"/>
              </w:rPr>
            </w:pPr>
            <w:r>
              <w:rPr>
                <w:rFonts w:ascii="仿宋_GB2312" w:eastAsia="仿宋_GB2312" w:hAnsi="宋体" w:cs="宋体" w:hint="eastAsia"/>
                <w:w w:val="90"/>
                <w:kern w:val="0"/>
                <w:sz w:val="20"/>
                <w:szCs w:val="20"/>
              </w:rPr>
              <w:t>单位生产总值能源消耗降低</w:t>
            </w:r>
          </w:p>
        </w:tc>
        <w:tc>
          <w:tcPr>
            <w:tcW w:w="82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955"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仿宋_GB2312" w:cs="宋体" w:hint="eastAsia"/>
                <w:kern w:val="0"/>
                <w:sz w:val="20"/>
                <w:szCs w:val="20"/>
              </w:rPr>
              <w:t>[</w:t>
            </w:r>
            <w:r>
              <w:rPr>
                <w:rFonts w:ascii="仿宋_GB2312" w:eastAsia="仿宋_GB2312" w:hAnsi="宋体" w:cs="宋体" w:hint="eastAsia"/>
                <w:kern w:val="0"/>
                <w:sz w:val="20"/>
                <w:szCs w:val="20"/>
              </w:rPr>
              <w:t>15</w:t>
            </w:r>
            <w:r>
              <w:rPr>
                <w:rFonts w:ascii="仿宋_GB2312" w:eastAsia="仿宋_GB2312" w:hAnsi="仿宋_GB2312" w:cs="宋体" w:hint="eastAsia"/>
                <w:kern w:val="0"/>
                <w:sz w:val="20"/>
                <w:szCs w:val="20"/>
              </w:rPr>
              <w:t>]</w:t>
            </w:r>
          </w:p>
        </w:tc>
        <w:tc>
          <w:tcPr>
            <w:tcW w:w="946" w:type="dxa"/>
            <w:gridSpan w:val="2"/>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955"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仿宋_GB2312" w:cs="宋体" w:hint="eastAsia"/>
                <w:kern w:val="0"/>
                <w:sz w:val="20"/>
                <w:szCs w:val="20"/>
              </w:rPr>
              <w:t>[</w:t>
            </w:r>
            <w:r>
              <w:rPr>
                <w:rFonts w:ascii="仿宋_GB2312" w:eastAsia="仿宋_GB2312" w:hAnsi="宋体" w:cs="宋体" w:hint="eastAsia"/>
                <w:kern w:val="0"/>
                <w:sz w:val="20"/>
                <w:szCs w:val="20"/>
              </w:rPr>
              <w:t>19</w:t>
            </w:r>
            <w:r>
              <w:rPr>
                <w:rFonts w:ascii="仿宋_GB2312" w:eastAsia="仿宋_GB2312" w:hAnsi="仿宋_GB2312" w:cs="宋体" w:hint="eastAsia"/>
                <w:kern w:val="0"/>
                <w:sz w:val="20"/>
                <w:szCs w:val="20"/>
              </w:rPr>
              <w:t>]</w:t>
            </w:r>
          </w:p>
        </w:tc>
        <w:tc>
          <w:tcPr>
            <w:tcW w:w="96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828"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约束性</w:t>
            </w:r>
          </w:p>
        </w:tc>
      </w:tr>
      <w:tr w:rsidR="00D92198">
        <w:trPr>
          <w:trHeight w:val="384"/>
        </w:trPr>
        <w:tc>
          <w:tcPr>
            <w:tcW w:w="417" w:type="dxa"/>
            <w:tcBorders>
              <w:top w:val="nil"/>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2</w:t>
            </w:r>
            <w:r>
              <w:rPr>
                <w:rFonts w:ascii="仿宋_GB2312" w:eastAsia="仿宋_GB2312" w:hAnsi="宋体" w:cs="宋体"/>
                <w:kern w:val="0"/>
                <w:sz w:val="20"/>
                <w:szCs w:val="20"/>
              </w:rPr>
              <w:t>2</w:t>
            </w:r>
          </w:p>
        </w:tc>
        <w:tc>
          <w:tcPr>
            <w:tcW w:w="2573" w:type="dxa"/>
            <w:gridSpan w:val="2"/>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rPr>
                <w:rFonts w:ascii="仿宋_GB2312" w:eastAsia="仿宋_GB2312" w:hAnsi="宋体" w:cs="宋体"/>
                <w:kern w:val="0"/>
                <w:sz w:val="20"/>
                <w:szCs w:val="20"/>
              </w:rPr>
            </w:pPr>
            <w:r>
              <w:rPr>
                <w:rFonts w:ascii="仿宋_GB2312" w:eastAsia="仿宋_GB2312" w:hAnsi="宋体" w:cs="宋体" w:hint="eastAsia"/>
                <w:kern w:val="0"/>
                <w:sz w:val="20"/>
                <w:szCs w:val="20"/>
              </w:rPr>
              <w:t>单位生产总值二氧化碳排放降低</w:t>
            </w:r>
          </w:p>
        </w:tc>
        <w:tc>
          <w:tcPr>
            <w:tcW w:w="82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955"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仿宋_GB2312" w:cs="宋体" w:hint="eastAsia"/>
                <w:kern w:val="0"/>
                <w:sz w:val="20"/>
                <w:szCs w:val="20"/>
              </w:rPr>
              <w:t>[</w:t>
            </w:r>
            <w:r>
              <w:rPr>
                <w:rFonts w:ascii="仿宋_GB2312" w:eastAsia="仿宋_GB2312" w:hAnsi="宋体" w:cs="宋体" w:hint="eastAsia"/>
                <w:kern w:val="0"/>
                <w:sz w:val="20"/>
                <w:szCs w:val="20"/>
              </w:rPr>
              <w:t>16</w:t>
            </w:r>
            <w:r>
              <w:rPr>
                <w:rFonts w:ascii="仿宋_GB2312" w:eastAsia="仿宋_GB2312" w:hAnsi="仿宋_GB2312" w:cs="宋体" w:hint="eastAsia"/>
                <w:kern w:val="0"/>
                <w:sz w:val="20"/>
                <w:szCs w:val="20"/>
              </w:rPr>
              <w:t>]</w:t>
            </w:r>
          </w:p>
        </w:tc>
        <w:tc>
          <w:tcPr>
            <w:tcW w:w="946" w:type="dxa"/>
            <w:gridSpan w:val="2"/>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955"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仿宋_GB2312" w:cs="宋体" w:hint="eastAsia"/>
                <w:kern w:val="0"/>
                <w:sz w:val="20"/>
                <w:szCs w:val="20"/>
              </w:rPr>
              <w:t>[</w:t>
            </w:r>
            <w:r>
              <w:rPr>
                <w:rFonts w:ascii="仿宋_GB2312" w:eastAsia="仿宋_GB2312" w:hAnsi="宋体" w:cs="宋体" w:hint="eastAsia"/>
                <w:kern w:val="0"/>
                <w:sz w:val="20"/>
                <w:szCs w:val="20"/>
              </w:rPr>
              <w:t>17</w:t>
            </w:r>
            <w:r>
              <w:rPr>
                <w:rFonts w:ascii="仿宋_GB2312" w:eastAsia="仿宋_GB2312" w:hAnsi="仿宋_GB2312" w:cs="宋体" w:hint="eastAsia"/>
                <w:kern w:val="0"/>
                <w:sz w:val="20"/>
                <w:szCs w:val="20"/>
              </w:rPr>
              <w:t>]</w:t>
            </w:r>
          </w:p>
        </w:tc>
        <w:tc>
          <w:tcPr>
            <w:tcW w:w="96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828"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约束性</w:t>
            </w:r>
          </w:p>
        </w:tc>
      </w:tr>
      <w:tr w:rsidR="00D92198">
        <w:trPr>
          <w:trHeight w:val="384"/>
        </w:trPr>
        <w:tc>
          <w:tcPr>
            <w:tcW w:w="417" w:type="dxa"/>
            <w:vMerge w:val="restart"/>
            <w:tcBorders>
              <w:top w:val="nil"/>
              <w:left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2</w:t>
            </w:r>
            <w:r>
              <w:rPr>
                <w:rFonts w:ascii="仿宋_GB2312" w:eastAsia="仿宋_GB2312" w:hAnsi="宋体" w:cs="宋体"/>
                <w:kern w:val="0"/>
                <w:sz w:val="20"/>
                <w:szCs w:val="20"/>
              </w:rPr>
              <w:t>3</w:t>
            </w:r>
          </w:p>
        </w:tc>
        <w:tc>
          <w:tcPr>
            <w:tcW w:w="793" w:type="dxa"/>
            <w:vMerge w:val="restart"/>
            <w:tcBorders>
              <w:top w:val="single" w:sz="4" w:space="0" w:color="auto"/>
              <w:left w:val="nil"/>
              <w:right w:val="single" w:sz="4" w:space="0" w:color="auto"/>
            </w:tcBorders>
            <w:shd w:val="clear" w:color="auto" w:fill="auto"/>
            <w:vAlign w:val="center"/>
          </w:tcPr>
          <w:p w:rsidR="00D92198" w:rsidRDefault="00AE1128">
            <w:pPr>
              <w:widowControl/>
              <w:rPr>
                <w:rFonts w:ascii="仿宋_GB2312" w:eastAsia="仿宋_GB2312" w:hAnsi="宋体" w:cs="宋体"/>
                <w:kern w:val="0"/>
                <w:sz w:val="20"/>
                <w:szCs w:val="20"/>
              </w:rPr>
            </w:pPr>
            <w:r>
              <w:rPr>
                <w:rFonts w:ascii="仿宋_GB2312" w:eastAsia="仿宋_GB2312" w:hAnsi="宋体" w:cs="宋体" w:hint="eastAsia"/>
                <w:kern w:val="0"/>
                <w:sz w:val="20"/>
                <w:szCs w:val="20"/>
              </w:rPr>
              <w:t>森林</w:t>
            </w:r>
          </w:p>
          <w:p w:rsidR="00D92198" w:rsidRDefault="00AE1128">
            <w:pPr>
              <w:widowControl/>
              <w:rPr>
                <w:rFonts w:ascii="仿宋_GB2312" w:eastAsia="仿宋_GB2312" w:hAnsi="宋体" w:cs="宋体"/>
                <w:kern w:val="0"/>
                <w:sz w:val="20"/>
                <w:szCs w:val="20"/>
              </w:rPr>
            </w:pPr>
            <w:r>
              <w:rPr>
                <w:rFonts w:ascii="仿宋_GB2312" w:eastAsia="仿宋_GB2312" w:hAnsi="宋体" w:cs="宋体" w:hint="eastAsia"/>
                <w:kern w:val="0"/>
                <w:sz w:val="20"/>
                <w:szCs w:val="20"/>
              </w:rPr>
              <w:t>增长</w:t>
            </w:r>
          </w:p>
        </w:tc>
        <w:tc>
          <w:tcPr>
            <w:tcW w:w="1780" w:type="dxa"/>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rPr>
                <w:rFonts w:ascii="仿宋_GB2312" w:eastAsia="仿宋_GB2312" w:hAnsi="宋体" w:cs="宋体"/>
                <w:kern w:val="0"/>
                <w:sz w:val="20"/>
                <w:szCs w:val="20"/>
              </w:rPr>
            </w:pPr>
            <w:r>
              <w:rPr>
                <w:rFonts w:ascii="仿宋_GB2312" w:eastAsia="仿宋_GB2312" w:hAnsi="宋体" w:cs="宋体" w:hint="eastAsia"/>
                <w:kern w:val="0"/>
                <w:sz w:val="20"/>
                <w:szCs w:val="20"/>
              </w:rPr>
              <w:t>森林覆盖率</w:t>
            </w:r>
          </w:p>
        </w:tc>
        <w:tc>
          <w:tcPr>
            <w:tcW w:w="82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955"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38.7</w:t>
            </w:r>
          </w:p>
        </w:tc>
        <w:tc>
          <w:tcPr>
            <w:tcW w:w="946" w:type="dxa"/>
            <w:gridSpan w:val="2"/>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955"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40.5</w:t>
            </w:r>
          </w:p>
        </w:tc>
        <w:tc>
          <w:tcPr>
            <w:tcW w:w="96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828" w:type="dxa"/>
            <w:vMerge w:val="restart"/>
            <w:tcBorders>
              <w:top w:val="nil"/>
              <w:left w:val="nil"/>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约束性</w:t>
            </w:r>
          </w:p>
        </w:tc>
      </w:tr>
      <w:tr w:rsidR="00D921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3"/>
        </w:trPr>
        <w:tc>
          <w:tcPr>
            <w:tcW w:w="417" w:type="dxa"/>
            <w:vMerge/>
            <w:tcBorders>
              <w:left w:val="single" w:sz="4" w:space="0" w:color="auto"/>
              <w:right w:val="single" w:sz="4" w:space="0" w:color="auto"/>
            </w:tcBorders>
          </w:tcPr>
          <w:p w:rsidR="00D92198" w:rsidRDefault="00D92198">
            <w:pPr>
              <w:widowControl/>
              <w:rPr>
                <w:rFonts w:ascii="仿宋_GB2312" w:eastAsia="仿宋_GB2312" w:hAnsi="宋体" w:cs="宋体"/>
                <w:kern w:val="0"/>
                <w:sz w:val="20"/>
                <w:szCs w:val="20"/>
              </w:rPr>
            </w:pPr>
          </w:p>
        </w:tc>
        <w:tc>
          <w:tcPr>
            <w:tcW w:w="793" w:type="dxa"/>
            <w:vMerge/>
            <w:tcBorders>
              <w:left w:val="single" w:sz="4" w:space="0" w:color="auto"/>
              <w:right w:val="single" w:sz="4" w:space="0" w:color="auto"/>
            </w:tcBorders>
          </w:tcPr>
          <w:p w:rsidR="00D92198" w:rsidRDefault="00D92198">
            <w:pPr>
              <w:widowControl/>
              <w:rPr>
                <w:rFonts w:ascii="仿宋_GB2312" w:eastAsia="仿宋_GB2312" w:hAnsi="宋体" w:cs="宋体"/>
                <w:kern w:val="0"/>
                <w:sz w:val="20"/>
                <w:szCs w:val="20"/>
              </w:rPr>
            </w:pPr>
          </w:p>
        </w:tc>
        <w:tc>
          <w:tcPr>
            <w:tcW w:w="1780" w:type="dxa"/>
            <w:tcBorders>
              <w:left w:val="single" w:sz="4" w:space="0" w:color="auto"/>
            </w:tcBorders>
            <w:vAlign w:val="center"/>
          </w:tcPr>
          <w:p w:rsidR="00D92198" w:rsidRDefault="00AE1128">
            <w:pPr>
              <w:widowControl/>
              <w:rPr>
                <w:rFonts w:ascii="仿宋_GB2312" w:eastAsia="仿宋_GB2312" w:hAnsi="宋体" w:cs="宋体"/>
                <w:kern w:val="0"/>
                <w:sz w:val="20"/>
                <w:szCs w:val="20"/>
              </w:rPr>
            </w:pPr>
            <w:r>
              <w:rPr>
                <w:rFonts w:ascii="仿宋_GB2312" w:eastAsia="仿宋_GB2312" w:hAnsi="宋体" w:cs="宋体" w:hint="eastAsia"/>
                <w:kern w:val="0"/>
                <w:sz w:val="20"/>
                <w:szCs w:val="20"/>
              </w:rPr>
              <w:t>森林蓄积量</w:t>
            </w:r>
          </w:p>
        </w:tc>
        <w:tc>
          <w:tcPr>
            <w:tcW w:w="822" w:type="dxa"/>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万立</w:t>
            </w:r>
          </w:p>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方米</w:t>
            </w:r>
          </w:p>
        </w:tc>
        <w:tc>
          <w:tcPr>
            <w:tcW w:w="955" w:type="dxa"/>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2933</w:t>
            </w:r>
          </w:p>
        </w:tc>
        <w:tc>
          <w:tcPr>
            <w:tcW w:w="937" w:type="dxa"/>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964" w:type="dxa"/>
            <w:gridSpan w:val="2"/>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4083</w:t>
            </w:r>
          </w:p>
        </w:tc>
        <w:tc>
          <w:tcPr>
            <w:tcW w:w="964" w:type="dxa"/>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828" w:type="dxa"/>
            <w:vMerge/>
            <w:tcBorders>
              <w:right w:val="single" w:sz="4" w:space="0" w:color="auto"/>
            </w:tcBorders>
          </w:tcPr>
          <w:p w:rsidR="00D92198" w:rsidRDefault="00D92198">
            <w:pPr>
              <w:widowControl/>
              <w:rPr>
                <w:rFonts w:ascii="仿宋_GB2312" w:eastAsia="仿宋_GB2312" w:hAnsi="宋体" w:cs="宋体"/>
                <w:kern w:val="0"/>
                <w:sz w:val="20"/>
                <w:szCs w:val="20"/>
              </w:rPr>
            </w:pPr>
          </w:p>
        </w:tc>
      </w:tr>
      <w:tr w:rsidR="00D921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0"/>
        </w:trPr>
        <w:tc>
          <w:tcPr>
            <w:tcW w:w="417" w:type="dxa"/>
            <w:vMerge w:val="restart"/>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2</w:t>
            </w:r>
            <w:r>
              <w:rPr>
                <w:rFonts w:ascii="仿宋_GB2312" w:eastAsia="仿宋_GB2312" w:hAnsi="宋体" w:cs="宋体"/>
                <w:kern w:val="0"/>
                <w:sz w:val="20"/>
                <w:szCs w:val="20"/>
              </w:rPr>
              <w:t>4</w:t>
            </w:r>
          </w:p>
        </w:tc>
        <w:tc>
          <w:tcPr>
            <w:tcW w:w="793" w:type="dxa"/>
            <w:vMerge w:val="restart"/>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空气质量</w:t>
            </w:r>
          </w:p>
        </w:tc>
        <w:tc>
          <w:tcPr>
            <w:tcW w:w="1780" w:type="dxa"/>
          </w:tcPr>
          <w:p w:rsidR="00D92198" w:rsidRDefault="00AE1128">
            <w:pPr>
              <w:widowControl/>
              <w:rPr>
                <w:rFonts w:ascii="仿宋_GB2312" w:eastAsia="仿宋_GB2312" w:hAnsi="宋体" w:cs="宋体"/>
                <w:kern w:val="0"/>
                <w:sz w:val="20"/>
                <w:szCs w:val="20"/>
              </w:rPr>
            </w:pPr>
            <w:r>
              <w:rPr>
                <w:rFonts w:ascii="仿宋_GB2312" w:eastAsia="仿宋_GB2312" w:hAnsi="宋体" w:cs="宋体" w:hint="eastAsia"/>
                <w:kern w:val="0"/>
                <w:sz w:val="20"/>
                <w:szCs w:val="20"/>
              </w:rPr>
              <w:t>细颗粒物（</w:t>
            </w:r>
            <w:r>
              <w:rPr>
                <w:rFonts w:ascii="仿宋_GB2312" w:eastAsia="仿宋_GB2312" w:hAnsi="仿宋_GB2312" w:cs="仿宋_GB2312" w:hint="eastAsia"/>
                <w:sz w:val="20"/>
                <w:szCs w:val="20"/>
              </w:rPr>
              <w:t>PM</w:t>
            </w:r>
            <w:r>
              <w:rPr>
                <w:rFonts w:ascii="仿宋_GB2312" w:eastAsia="仿宋_GB2312" w:hAnsi="仿宋_GB2312" w:cs="仿宋_GB2312" w:hint="eastAsia"/>
                <w:sz w:val="20"/>
                <w:szCs w:val="20"/>
                <w:vertAlign w:val="subscript"/>
              </w:rPr>
              <w:t>2.5</w:t>
            </w:r>
            <w:r>
              <w:rPr>
                <w:rFonts w:ascii="仿宋_GB2312" w:eastAsia="仿宋_GB2312" w:hAnsi="宋体" w:cs="宋体" w:hint="eastAsia"/>
                <w:kern w:val="0"/>
                <w:sz w:val="20"/>
                <w:szCs w:val="20"/>
              </w:rPr>
              <w:t>）浓度下降</w:t>
            </w:r>
          </w:p>
        </w:tc>
        <w:tc>
          <w:tcPr>
            <w:tcW w:w="822" w:type="dxa"/>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955" w:type="dxa"/>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仿宋_GB2312" w:cs="宋体" w:hint="eastAsia"/>
                <w:kern w:val="0"/>
                <w:sz w:val="20"/>
                <w:szCs w:val="20"/>
              </w:rPr>
              <w:t>[</w:t>
            </w:r>
            <w:r>
              <w:rPr>
                <w:rFonts w:ascii="仿宋_GB2312" w:eastAsia="仿宋_GB2312" w:hAnsi="宋体" w:cs="宋体" w:hint="eastAsia"/>
                <w:kern w:val="0"/>
                <w:sz w:val="20"/>
                <w:szCs w:val="20"/>
              </w:rPr>
              <w:t>7.5</w:t>
            </w:r>
            <w:r>
              <w:rPr>
                <w:rFonts w:ascii="仿宋_GB2312" w:eastAsia="仿宋_GB2312" w:hAnsi="仿宋_GB2312" w:cs="宋体" w:hint="eastAsia"/>
                <w:kern w:val="0"/>
                <w:sz w:val="20"/>
                <w:szCs w:val="20"/>
              </w:rPr>
              <w:t>]</w:t>
            </w:r>
          </w:p>
        </w:tc>
        <w:tc>
          <w:tcPr>
            <w:tcW w:w="937" w:type="dxa"/>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964" w:type="dxa"/>
            <w:gridSpan w:val="2"/>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仿宋_GB2312" w:cs="宋体" w:hint="eastAsia"/>
                <w:kern w:val="0"/>
                <w:sz w:val="20"/>
                <w:szCs w:val="20"/>
              </w:rPr>
              <w:t>[</w:t>
            </w:r>
            <w:r>
              <w:rPr>
                <w:rFonts w:ascii="仿宋_GB2312" w:eastAsia="仿宋_GB2312" w:hAnsi="宋体" w:cs="宋体" w:hint="eastAsia"/>
                <w:kern w:val="0"/>
                <w:sz w:val="20"/>
                <w:szCs w:val="20"/>
              </w:rPr>
              <w:t>15</w:t>
            </w:r>
            <w:r>
              <w:rPr>
                <w:rFonts w:ascii="仿宋_GB2312" w:eastAsia="仿宋_GB2312" w:hAnsi="仿宋_GB2312" w:cs="宋体" w:hint="eastAsia"/>
                <w:kern w:val="0"/>
                <w:sz w:val="20"/>
                <w:szCs w:val="20"/>
              </w:rPr>
              <w:t>]</w:t>
            </w:r>
          </w:p>
        </w:tc>
        <w:tc>
          <w:tcPr>
            <w:tcW w:w="964" w:type="dxa"/>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828" w:type="dxa"/>
            <w:vMerge w:val="restart"/>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18"/>
                <w:szCs w:val="18"/>
              </w:rPr>
              <w:t>约束性</w:t>
            </w:r>
          </w:p>
        </w:tc>
      </w:tr>
      <w:tr w:rsidR="00D921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7"/>
        </w:trPr>
        <w:tc>
          <w:tcPr>
            <w:tcW w:w="417" w:type="dxa"/>
            <w:vMerge/>
          </w:tcPr>
          <w:p w:rsidR="00D92198" w:rsidRDefault="00D92198">
            <w:pPr>
              <w:widowControl/>
              <w:rPr>
                <w:rFonts w:ascii="仿宋_GB2312" w:eastAsia="仿宋_GB2312" w:hAnsi="宋体" w:cs="宋体"/>
                <w:kern w:val="0"/>
                <w:sz w:val="20"/>
                <w:szCs w:val="20"/>
              </w:rPr>
            </w:pPr>
          </w:p>
        </w:tc>
        <w:tc>
          <w:tcPr>
            <w:tcW w:w="793" w:type="dxa"/>
            <w:vMerge/>
          </w:tcPr>
          <w:p w:rsidR="00D92198" w:rsidRDefault="00D92198">
            <w:pPr>
              <w:widowControl/>
              <w:rPr>
                <w:rFonts w:ascii="仿宋_GB2312" w:eastAsia="仿宋_GB2312" w:hAnsi="宋体" w:cs="宋体"/>
                <w:kern w:val="0"/>
                <w:sz w:val="20"/>
                <w:szCs w:val="20"/>
              </w:rPr>
            </w:pPr>
          </w:p>
        </w:tc>
        <w:tc>
          <w:tcPr>
            <w:tcW w:w="1780" w:type="dxa"/>
          </w:tcPr>
          <w:p w:rsidR="00D92198" w:rsidRDefault="00AE1128">
            <w:pPr>
              <w:widowControl/>
              <w:rPr>
                <w:rFonts w:ascii="仿宋_GB2312" w:eastAsia="仿宋_GB2312" w:hAnsi="宋体" w:cs="宋体"/>
                <w:w w:val="90"/>
                <w:kern w:val="0"/>
                <w:sz w:val="20"/>
                <w:szCs w:val="20"/>
              </w:rPr>
            </w:pPr>
            <w:r>
              <w:rPr>
                <w:rFonts w:ascii="仿宋_GB2312" w:eastAsia="仿宋_GB2312" w:hAnsi="宋体" w:cs="宋体" w:hint="eastAsia"/>
                <w:w w:val="90"/>
                <w:kern w:val="0"/>
                <w:sz w:val="20"/>
                <w:szCs w:val="20"/>
              </w:rPr>
              <w:t>空气质量优良天数比率</w:t>
            </w:r>
          </w:p>
        </w:tc>
        <w:tc>
          <w:tcPr>
            <w:tcW w:w="822" w:type="dxa"/>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955" w:type="dxa"/>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68.5</w:t>
            </w:r>
          </w:p>
        </w:tc>
        <w:tc>
          <w:tcPr>
            <w:tcW w:w="937" w:type="dxa"/>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964" w:type="dxa"/>
            <w:gridSpan w:val="2"/>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70.5</w:t>
            </w:r>
          </w:p>
        </w:tc>
        <w:tc>
          <w:tcPr>
            <w:tcW w:w="964" w:type="dxa"/>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828" w:type="dxa"/>
            <w:vMerge/>
          </w:tcPr>
          <w:p w:rsidR="00D92198" w:rsidRDefault="00D92198">
            <w:pPr>
              <w:widowControl/>
              <w:rPr>
                <w:rFonts w:ascii="仿宋_GB2312" w:eastAsia="仿宋_GB2312" w:hAnsi="宋体" w:cs="宋体"/>
                <w:kern w:val="0"/>
                <w:sz w:val="20"/>
                <w:szCs w:val="20"/>
              </w:rPr>
            </w:pPr>
          </w:p>
        </w:tc>
      </w:tr>
      <w:tr w:rsidR="00D921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3"/>
        </w:trPr>
        <w:tc>
          <w:tcPr>
            <w:tcW w:w="417" w:type="dxa"/>
            <w:vMerge w:val="restart"/>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2</w:t>
            </w:r>
            <w:r>
              <w:rPr>
                <w:rFonts w:ascii="仿宋_GB2312" w:eastAsia="仿宋_GB2312" w:hAnsi="宋体" w:cs="宋体"/>
                <w:kern w:val="0"/>
                <w:sz w:val="20"/>
                <w:szCs w:val="20"/>
              </w:rPr>
              <w:t>5</w:t>
            </w:r>
          </w:p>
        </w:tc>
        <w:tc>
          <w:tcPr>
            <w:tcW w:w="793" w:type="dxa"/>
            <w:vMerge w:val="restart"/>
            <w:vAlign w:val="center"/>
          </w:tcPr>
          <w:p w:rsidR="00D92198" w:rsidRDefault="00AE1128">
            <w:pPr>
              <w:widowControl/>
              <w:jc w:val="center"/>
              <w:rPr>
                <w:rFonts w:ascii="仿宋_GB2312" w:eastAsia="仿宋_GB2312" w:hAnsi="宋体" w:cs="宋体"/>
                <w:w w:val="80"/>
                <w:kern w:val="0"/>
                <w:sz w:val="20"/>
                <w:szCs w:val="20"/>
              </w:rPr>
            </w:pPr>
            <w:r>
              <w:rPr>
                <w:rFonts w:ascii="仿宋_GB2312" w:eastAsia="仿宋_GB2312" w:hAnsi="宋体" w:cs="宋体" w:hint="eastAsia"/>
                <w:w w:val="80"/>
                <w:kern w:val="0"/>
                <w:sz w:val="20"/>
                <w:szCs w:val="20"/>
              </w:rPr>
              <w:t>地表水质量</w:t>
            </w:r>
          </w:p>
        </w:tc>
        <w:tc>
          <w:tcPr>
            <w:tcW w:w="1780" w:type="dxa"/>
          </w:tcPr>
          <w:p w:rsidR="00D92198" w:rsidRDefault="00AE1128">
            <w:pPr>
              <w:widowControl/>
              <w:rPr>
                <w:rFonts w:ascii="仿宋_GB2312" w:eastAsia="仿宋_GB2312" w:hAnsi="宋体" w:cs="宋体"/>
                <w:w w:val="90"/>
                <w:kern w:val="0"/>
                <w:sz w:val="20"/>
                <w:szCs w:val="20"/>
              </w:rPr>
            </w:pPr>
            <w:r>
              <w:rPr>
                <w:rFonts w:ascii="仿宋_GB2312" w:eastAsia="仿宋_GB2312" w:hAnsi="宋体" w:cs="宋体" w:hint="eastAsia"/>
                <w:w w:val="90"/>
                <w:kern w:val="0"/>
                <w:sz w:val="20"/>
                <w:szCs w:val="20"/>
              </w:rPr>
              <w:t>好于Ⅲ类水体比例</w:t>
            </w:r>
          </w:p>
        </w:tc>
        <w:tc>
          <w:tcPr>
            <w:tcW w:w="822" w:type="dxa"/>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955" w:type="dxa"/>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7</w:t>
            </w:r>
            <w:r>
              <w:rPr>
                <w:rFonts w:ascii="仿宋_GB2312" w:eastAsia="仿宋_GB2312" w:hAnsi="宋体" w:cs="宋体"/>
                <w:kern w:val="0"/>
                <w:sz w:val="20"/>
                <w:szCs w:val="20"/>
              </w:rPr>
              <w:t>5</w:t>
            </w:r>
          </w:p>
        </w:tc>
        <w:tc>
          <w:tcPr>
            <w:tcW w:w="937" w:type="dxa"/>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964" w:type="dxa"/>
            <w:gridSpan w:val="2"/>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7</w:t>
            </w:r>
            <w:r>
              <w:rPr>
                <w:rFonts w:ascii="仿宋_GB2312" w:eastAsia="仿宋_GB2312" w:hAnsi="宋体" w:cs="宋体"/>
                <w:kern w:val="0"/>
                <w:sz w:val="20"/>
                <w:szCs w:val="20"/>
              </w:rPr>
              <w:t>9.8</w:t>
            </w:r>
          </w:p>
        </w:tc>
        <w:tc>
          <w:tcPr>
            <w:tcW w:w="964" w:type="dxa"/>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828" w:type="dxa"/>
            <w:vMerge w:val="restart"/>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18"/>
                <w:szCs w:val="18"/>
              </w:rPr>
              <w:t>约束性</w:t>
            </w:r>
          </w:p>
        </w:tc>
      </w:tr>
      <w:tr w:rsidR="00D921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4"/>
        </w:trPr>
        <w:tc>
          <w:tcPr>
            <w:tcW w:w="417" w:type="dxa"/>
            <w:vMerge/>
          </w:tcPr>
          <w:p w:rsidR="00D92198" w:rsidRDefault="00D92198">
            <w:pPr>
              <w:widowControl/>
              <w:rPr>
                <w:rFonts w:ascii="仿宋_GB2312" w:eastAsia="仿宋_GB2312" w:hAnsi="宋体" w:cs="宋体"/>
                <w:kern w:val="0"/>
                <w:sz w:val="20"/>
                <w:szCs w:val="20"/>
              </w:rPr>
            </w:pPr>
          </w:p>
        </w:tc>
        <w:tc>
          <w:tcPr>
            <w:tcW w:w="793" w:type="dxa"/>
            <w:vMerge/>
          </w:tcPr>
          <w:p w:rsidR="00D92198" w:rsidRDefault="00D92198">
            <w:pPr>
              <w:widowControl/>
              <w:rPr>
                <w:rFonts w:ascii="仿宋_GB2312" w:eastAsia="仿宋_GB2312" w:hAnsi="宋体" w:cs="宋体"/>
                <w:kern w:val="0"/>
                <w:sz w:val="20"/>
                <w:szCs w:val="20"/>
              </w:rPr>
            </w:pPr>
          </w:p>
        </w:tc>
        <w:tc>
          <w:tcPr>
            <w:tcW w:w="1780" w:type="dxa"/>
          </w:tcPr>
          <w:p w:rsidR="00D92198" w:rsidRDefault="00AE1128">
            <w:pPr>
              <w:widowControl/>
              <w:rPr>
                <w:rFonts w:ascii="仿宋_GB2312" w:eastAsia="仿宋_GB2312" w:hAnsi="宋体" w:cs="宋体"/>
                <w:kern w:val="0"/>
                <w:sz w:val="20"/>
                <w:szCs w:val="20"/>
              </w:rPr>
            </w:pPr>
            <w:r>
              <w:rPr>
                <w:rFonts w:ascii="仿宋_GB2312" w:eastAsia="仿宋_GB2312" w:hAnsi="宋体" w:cs="宋体" w:hint="eastAsia"/>
                <w:kern w:val="0"/>
                <w:sz w:val="20"/>
                <w:szCs w:val="20"/>
              </w:rPr>
              <w:t>劣Ⅴ类水体比例</w:t>
            </w:r>
          </w:p>
        </w:tc>
        <w:tc>
          <w:tcPr>
            <w:tcW w:w="822" w:type="dxa"/>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955" w:type="dxa"/>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&lt;</w:t>
            </w:r>
            <w:r>
              <w:rPr>
                <w:rFonts w:ascii="仿宋_GB2312" w:eastAsia="仿宋_GB2312" w:hAnsi="宋体" w:cs="宋体"/>
                <w:kern w:val="0"/>
                <w:sz w:val="20"/>
                <w:szCs w:val="20"/>
              </w:rPr>
              <w:t>5</w:t>
            </w:r>
          </w:p>
        </w:tc>
        <w:tc>
          <w:tcPr>
            <w:tcW w:w="937" w:type="dxa"/>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964" w:type="dxa"/>
            <w:gridSpan w:val="2"/>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0</w:t>
            </w:r>
          </w:p>
        </w:tc>
        <w:tc>
          <w:tcPr>
            <w:tcW w:w="964" w:type="dxa"/>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828" w:type="dxa"/>
            <w:vMerge/>
          </w:tcPr>
          <w:p w:rsidR="00D92198" w:rsidRDefault="00D92198">
            <w:pPr>
              <w:widowControl/>
              <w:rPr>
                <w:rFonts w:ascii="仿宋_GB2312" w:eastAsia="仿宋_GB2312" w:hAnsi="宋体" w:cs="宋体"/>
                <w:kern w:val="0"/>
                <w:sz w:val="20"/>
                <w:szCs w:val="20"/>
              </w:rPr>
            </w:pPr>
          </w:p>
        </w:tc>
      </w:tr>
      <w:tr w:rsidR="00D921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8"/>
        </w:trPr>
        <w:tc>
          <w:tcPr>
            <w:tcW w:w="417" w:type="dxa"/>
            <w:vMerge w:val="restart"/>
            <w:vAlign w:val="center"/>
          </w:tcPr>
          <w:p w:rsidR="00D92198" w:rsidRDefault="00AE1128">
            <w:pPr>
              <w:widowControl/>
              <w:jc w:val="center"/>
              <w:rPr>
                <w:rFonts w:ascii="仿宋_GB2312" w:eastAsia="仿宋_GB2312"/>
                <w:b/>
                <w:sz w:val="32"/>
                <w:szCs w:val="32"/>
              </w:rPr>
            </w:pPr>
            <w:r>
              <w:rPr>
                <w:rFonts w:ascii="仿宋_GB2312" w:eastAsia="仿宋_GB2312" w:hAnsi="宋体" w:cs="宋体" w:hint="eastAsia"/>
                <w:kern w:val="0"/>
                <w:sz w:val="20"/>
                <w:szCs w:val="20"/>
              </w:rPr>
              <w:t>2</w:t>
            </w:r>
            <w:r>
              <w:rPr>
                <w:rFonts w:ascii="仿宋_GB2312" w:eastAsia="仿宋_GB2312" w:hAnsi="宋体" w:cs="宋体"/>
                <w:kern w:val="0"/>
                <w:sz w:val="20"/>
                <w:szCs w:val="20"/>
              </w:rPr>
              <w:t>6</w:t>
            </w:r>
          </w:p>
        </w:tc>
        <w:tc>
          <w:tcPr>
            <w:tcW w:w="793" w:type="dxa"/>
            <w:vMerge w:val="restart"/>
            <w:vAlign w:val="center"/>
          </w:tcPr>
          <w:p w:rsidR="00D92198" w:rsidRDefault="00AE1128">
            <w:pPr>
              <w:widowControl/>
              <w:jc w:val="center"/>
              <w:rPr>
                <w:rFonts w:ascii="仿宋_GB2312" w:eastAsia="仿宋_GB2312" w:hAnsi="宋体" w:cs="宋体"/>
                <w:w w:val="80"/>
                <w:kern w:val="0"/>
                <w:sz w:val="20"/>
                <w:szCs w:val="20"/>
              </w:rPr>
            </w:pPr>
            <w:r>
              <w:rPr>
                <w:rFonts w:ascii="仿宋_GB2312" w:eastAsia="仿宋_GB2312" w:hAnsi="宋体" w:cs="宋体" w:hint="eastAsia"/>
                <w:w w:val="80"/>
                <w:kern w:val="0"/>
                <w:sz w:val="20"/>
                <w:szCs w:val="20"/>
              </w:rPr>
              <w:t>主要污染物排放减少</w:t>
            </w:r>
          </w:p>
        </w:tc>
        <w:tc>
          <w:tcPr>
            <w:tcW w:w="1780" w:type="dxa"/>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化学需氧量</w:t>
            </w:r>
          </w:p>
        </w:tc>
        <w:tc>
          <w:tcPr>
            <w:tcW w:w="822" w:type="dxa"/>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955" w:type="dxa"/>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仿宋_GB2312" w:cs="宋体" w:hint="eastAsia"/>
                <w:kern w:val="0"/>
                <w:sz w:val="20"/>
                <w:szCs w:val="20"/>
              </w:rPr>
              <w:t>[</w:t>
            </w:r>
            <w:r>
              <w:rPr>
                <w:rFonts w:ascii="仿宋_GB2312" w:eastAsia="仿宋_GB2312" w:hAnsi="宋体" w:cs="宋体"/>
                <w:kern w:val="0"/>
                <w:sz w:val="20"/>
                <w:szCs w:val="20"/>
              </w:rPr>
              <w:t>18.08</w:t>
            </w:r>
            <w:r>
              <w:rPr>
                <w:rFonts w:ascii="仿宋_GB2312" w:eastAsia="仿宋_GB2312" w:hAnsi="仿宋_GB2312" w:cs="宋体" w:hint="eastAsia"/>
                <w:kern w:val="0"/>
                <w:sz w:val="20"/>
                <w:szCs w:val="20"/>
              </w:rPr>
              <w:t xml:space="preserve">] </w:t>
            </w:r>
          </w:p>
        </w:tc>
        <w:tc>
          <w:tcPr>
            <w:tcW w:w="937" w:type="dxa"/>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964" w:type="dxa"/>
            <w:gridSpan w:val="2"/>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964" w:type="dxa"/>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仿宋_GB2312" w:cs="宋体" w:hint="eastAsia"/>
                <w:kern w:val="0"/>
                <w:sz w:val="20"/>
                <w:szCs w:val="20"/>
              </w:rPr>
              <w:t>[</w:t>
            </w:r>
            <w:r>
              <w:rPr>
                <w:rFonts w:ascii="仿宋_GB2312" w:eastAsia="仿宋_GB2312" w:hAnsi="宋体" w:cs="宋体" w:hint="eastAsia"/>
                <w:kern w:val="0"/>
                <w:sz w:val="20"/>
                <w:szCs w:val="20"/>
              </w:rPr>
              <w:t>1</w:t>
            </w:r>
            <w:r>
              <w:rPr>
                <w:rFonts w:ascii="仿宋_GB2312" w:eastAsia="仿宋_GB2312" w:hAnsi="宋体" w:cs="宋体"/>
                <w:kern w:val="0"/>
                <w:sz w:val="20"/>
                <w:szCs w:val="20"/>
              </w:rPr>
              <w:t>9.4</w:t>
            </w:r>
            <w:r>
              <w:rPr>
                <w:rFonts w:ascii="仿宋_GB2312" w:eastAsia="仿宋_GB2312" w:hAnsi="仿宋_GB2312" w:cs="宋体" w:hint="eastAsia"/>
                <w:kern w:val="0"/>
                <w:sz w:val="20"/>
                <w:szCs w:val="20"/>
              </w:rPr>
              <w:t>]</w:t>
            </w:r>
          </w:p>
        </w:tc>
        <w:tc>
          <w:tcPr>
            <w:tcW w:w="828" w:type="dxa"/>
            <w:vMerge w:val="restart"/>
            <w:vAlign w:val="center"/>
          </w:tcPr>
          <w:p w:rsidR="00D92198" w:rsidRDefault="00AE1128" w:rsidP="00A61652">
            <w:pPr>
              <w:spacing w:afterLines="100" w:after="312" w:line="400" w:lineRule="exact"/>
              <w:jc w:val="center"/>
              <w:rPr>
                <w:rFonts w:ascii="仿宋_GB2312" w:eastAsia="仿宋_GB2312"/>
                <w:b/>
                <w:sz w:val="32"/>
                <w:szCs w:val="32"/>
              </w:rPr>
            </w:pPr>
            <w:r>
              <w:rPr>
                <w:rFonts w:ascii="仿宋_GB2312" w:eastAsia="仿宋_GB2312" w:hAnsi="宋体" w:cs="宋体" w:hint="eastAsia"/>
                <w:kern w:val="0"/>
                <w:sz w:val="18"/>
                <w:szCs w:val="18"/>
              </w:rPr>
              <w:t>约束性</w:t>
            </w:r>
          </w:p>
        </w:tc>
      </w:tr>
      <w:tr w:rsidR="00D921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5"/>
        </w:trPr>
        <w:tc>
          <w:tcPr>
            <w:tcW w:w="417" w:type="dxa"/>
            <w:vMerge/>
          </w:tcPr>
          <w:p w:rsidR="00D92198" w:rsidRDefault="00D92198" w:rsidP="00A61652">
            <w:pPr>
              <w:spacing w:afterLines="100" w:after="312" w:line="400" w:lineRule="exact"/>
              <w:jc w:val="center"/>
              <w:rPr>
                <w:rFonts w:ascii="仿宋_GB2312" w:eastAsia="仿宋_GB2312"/>
                <w:b/>
                <w:sz w:val="32"/>
                <w:szCs w:val="32"/>
              </w:rPr>
            </w:pPr>
          </w:p>
        </w:tc>
        <w:tc>
          <w:tcPr>
            <w:tcW w:w="793" w:type="dxa"/>
            <w:vMerge/>
          </w:tcPr>
          <w:p w:rsidR="00D92198" w:rsidRDefault="00D92198" w:rsidP="00A61652">
            <w:pPr>
              <w:spacing w:afterLines="100" w:after="312" w:line="400" w:lineRule="exact"/>
              <w:jc w:val="center"/>
              <w:rPr>
                <w:rFonts w:ascii="仿宋_GB2312" w:eastAsia="仿宋_GB2312"/>
                <w:b/>
                <w:sz w:val="32"/>
                <w:szCs w:val="32"/>
              </w:rPr>
            </w:pPr>
          </w:p>
        </w:tc>
        <w:tc>
          <w:tcPr>
            <w:tcW w:w="1780" w:type="dxa"/>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二氧化硫</w:t>
            </w:r>
          </w:p>
        </w:tc>
        <w:tc>
          <w:tcPr>
            <w:tcW w:w="822" w:type="dxa"/>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955" w:type="dxa"/>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仿宋_GB2312" w:cs="宋体" w:hint="eastAsia"/>
                <w:kern w:val="0"/>
                <w:sz w:val="20"/>
                <w:szCs w:val="20"/>
              </w:rPr>
              <w:t>[</w:t>
            </w:r>
            <w:r>
              <w:rPr>
                <w:rFonts w:ascii="仿宋_GB2312" w:eastAsia="仿宋_GB2312" w:hAnsi="宋体" w:cs="宋体"/>
                <w:kern w:val="0"/>
                <w:sz w:val="20"/>
                <w:szCs w:val="20"/>
              </w:rPr>
              <w:t>18.94</w:t>
            </w:r>
            <w:r>
              <w:rPr>
                <w:rFonts w:ascii="仿宋_GB2312" w:eastAsia="仿宋_GB2312" w:hAnsi="仿宋_GB2312" w:cs="宋体" w:hint="eastAsia"/>
                <w:kern w:val="0"/>
                <w:sz w:val="20"/>
                <w:szCs w:val="20"/>
              </w:rPr>
              <w:t>]</w:t>
            </w:r>
          </w:p>
        </w:tc>
        <w:tc>
          <w:tcPr>
            <w:tcW w:w="937" w:type="dxa"/>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964" w:type="dxa"/>
            <w:gridSpan w:val="2"/>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964" w:type="dxa"/>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仿宋_GB2312" w:cs="宋体" w:hint="eastAsia"/>
                <w:kern w:val="0"/>
                <w:sz w:val="20"/>
                <w:szCs w:val="20"/>
              </w:rPr>
              <w:t>[</w:t>
            </w:r>
            <w:r>
              <w:rPr>
                <w:rFonts w:ascii="仿宋_GB2312" w:eastAsia="仿宋_GB2312" w:hAnsi="宋体" w:cs="宋体" w:hint="eastAsia"/>
                <w:kern w:val="0"/>
                <w:sz w:val="20"/>
                <w:szCs w:val="20"/>
              </w:rPr>
              <w:t>2</w:t>
            </w:r>
            <w:r>
              <w:rPr>
                <w:rFonts w:ascii="仿宋_GB2312" w:eastAsia="仿宋_GB2312" w:hAnsi="宋体" w:cs="宋体"/>
                <w:kern w:val="0"/>
                <w:sz w:val="20"/>
                <w:szCs w:val="20"/>
              </w:rPr>
              <w:t>3.61</w:t>
            </w:r>
            <w:r>
              <w:rPr>
                <w:rFonts w:ascii="仿宋_GB2312" w:eastAsia="仿宋_GB2312" w:hAnsi="仿宋_GB2312" w:cs="宋体" w:hint="eastAsia"/>
                <w:kern w:val="0"/>
                <w:sz w:val="20"/>
                <w:szCs w:val="20"/>
              </w:rPr>
              <w:t>]</w:t>
            </w:r>
          </w:p>
        </w:tc>
        <w:tc>
          <w:tcPr>
            <w:tcW w:w="828" w:type="dxa"/>
            <w:vMerge/>
          </w:tcPr>
          <w:p w:rsidR="00D92198" w:rsidRDefault="00D92198" w:rsidP="00A61652">
            <w:pPr>
              <w:spacing w:afterLines="100" w:after="312" w:line="400" w:lineRule="exact"/>
              <w:jc w:val="center"/>
              <w:rPr>
                <w:rFonts w:ascii="仿宋_GB2312" w:eastAsia="仿宋_GB2312"/>
                <w:b/>
                <w:sz w:val="32"/>
                <w:szCs w:val="32"/>
              </w:rPr>
            </w:pPr>
          </w:p>
        </w:tc>
      </w:tr>
      <w:tr w:rsidR="00D921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6"/>
        </w:trPr>
        <w:tc>
          <w:tcPr>
            <w:tcW w:w="417" w:type="dxa"/>
            <w:vMerge/>
          </w:tcPr>
          <w:p w:rsidR="00D92198" w:rsidRDefault="00D92198" w:rsidP="00A61652">
            <w:pPr>
              <w:spacing w:afterLines="100" w:after="312" w:line="400" w:lineRule="exact"/>
              <w:jc w:val="center"/>
              <w:rPr>
                <w:rFonts w:ascii="仿宋_GB2312" w:eastAsia="仿宋_GB2312"/>
                <w:b/>
                <w:sz w:val="32"/>
                <w:szCs w:val="32"/>
              </w:rPr>
            </w:pPr>
          </w:p>
        </w:tc>
        <w:tc>
          <w:tcPr>
            <w:tcW w:w="793" w:type="dxa"/>
            <w:vMerge/>
          </w:tcPr>
          <w:p w:rsidR="00D92198" w:rsidRDefault="00D92198" w:rsidP="00A61652">
            <w:pPr>
              <w:spacing w:afterLines="100" w:after="312" w:line="400" w:lineRule="exact"/>
              <w:jc w:val="center"/>
              <w:rPr>
                <w:rFonts w:ascii="仿宋_GB2312" w:eastAsia="仿宋_GB2312"/>
                <w:b/>
                <w:sz w:val="32"/>
                <w:szCs w:val="32"/>
              </w:rPr>
            </w:pPr>
          </w:p>
        </w:tc>
        <w:tc>
          <w:tcPr>
            <w:tcW w:w="1780" w:type="dxa"/>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氨氮</w:t>
            </w:r>
          </w:p>
        </w:tc>
        <w:tc>
          <w:tcPr>
            <w:tcW w:w="822" w:type="dxa"/>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955" w:type="dxa"/>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仿宋_GB2312" w:cs="宋体" w:hint="eastAsia"/>
                <w:kern w:val="0"/>
                <w:sz w:val="20"/>
                <w:szCs w:val="20"/>
              </w:rPr>
              <w:t>[</w:t>
            </w:r>
            <w:r>
              <w:rPr>
                <w:rFonts w:ascii="仿宋_GB2312" w:eastAsia="仿宋_GB2312" w:hAnsi="宋体" w:cs="宋体" w:hint="eastAsia"/>
                <w:kern w:val="0"/>
                <w:sz w:val="20"/>
                <w:szCs w:val="20"/>
              </w:rPr>
              <w:t>15</w:t>
            </w:r>
            <w:r>
              <w:rPr>
                <w:rFonts w:ascii="仿宋_GB2312" w:eastAsia="仿宋_GB2312" w:hAnsi="宋体" w:cs="宋体"/>
                <w:kern w:val="0"/>
                <w:sz w:val="20"/>
                <w:szCs w:val="20"/>
              </w:rPr>
              <w:t>.13</w:t>
            </w:r>
            <w:r>
              <w:rPr>
                <w:rFonts w:ascii="仿宋_GB2312" w:eastAsia="仿宋_GB2312" w:hAnsi="仿宋_GB2312" w:cs="宋体" w:hint="eastAsia"/>
                <w:kern w:val="0"/>
                <w:sz w:val="20"/>
                <w:szCs w:val="20"/>
              </w:rPr>
              <w:t>]</w:t>
            </w:r>
          </w:p>
        </w:tc>
        <w:tc>
          <w:tcPr>
            <w:tcW w:w="937" w:type="dxa"/>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964" w:type="dxa"/>
            <w:gridSpan w:val="2"/>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964" w:type="dxa"/>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仿宋_GB2312" w:cs="宋体" w:hint="eastAsia"/>
                <w:kern w:val="0"/>
                <w:sz w:val="20"/>
                <w:szCs w:val="20"/>
              </w:rPr>
              <w:t>[</w:t>
            </w:r>
            <w:r>
              <w:rPr>
                <w:rFonts w:ascii="仿宋_GB2312" w:eastAsia="仿宋_GB2312" w:hAnsi="宋体" w:cs="宋体" w:hint="eastAsia"/>
                <w:kern w:val="0"/>
                <w:sz w:val="20"/>
                <w:szCs w:val="20"/>
              </w:rPr>
              <w:t>1</w:t>
            </w:r>
            <w:r>
              <w:rPr>
                <w:rFonts w:ascii="仿宋_GB2312" w:eastAsia="仿宋_GB2312" w:hAnsi="宋体" w:cs="宋体"/>
                <w:kern w:val="0"/>
                <w:sz w:val="20"/>
                <w:szCs w:val="20"/>
              </w:rPr>
              <w:t>6.7</w:t>
            </w:r>
            <w:r>
              <w:rPr>
                <w:rFonts w:ascii="仿宋_GB2312" w:eastAsia="仿宋_GB2312" w:hAnsi="仿宋_GB2312" w:cs="宋体" w:hint="eastAsia"/>
                <w:kern w:val="0"/>
                <w:sz w:val="20"/>
                <w:szCs w:val="20"/>
              </w:rPr>
              <w:t>]</w:t>
            </w:r>
          </w:p>
        </w:tc>
        <w:tc>
          <w:tcPr>
            <w:tcW w:w="828" w:type="dxa"/>
            <w:vMerge/>
          </w:tcPr>
          <w:p w:rsidR="00D92198" w:rsidRDefault="00D92198" w:rsidP="00A61652">
            <w:pPr>
              <w:spacing w:afterLines="100" w:after="312" w:line="400" w:lineRule="exact"/>
              <w:jc w:val="center"/>
              <w:rPr>
                <w:rFonts w:ascii="仿宋_GB2312" w:eastAsia="仿宋_GB2312"/>
                <w:b/>
                <w:sz w:val="32"/>
                <w:szCs w:val="32"/>
              </w:rPr>
            </w:pPr>
          </w:p>
        </w:tc>
      </w:tr>
      <w:tr w:rsidR="00D921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6"/>
        </w:trPr>
        <w:tc>
          <w:tcPr>
            <w:tcW w:w="417" w:type="dxa"/>
            <w:vMerge/>
          </w:tcPr>
          <w:p w:rsidR="00D92198" w:rsidRDefault="00D92198" w:rsidP="00A61652">
            <w:pPr>
              <w:spacing w:afterLines="100" w:after="312" w:line="400" w:lineRule="exact"/>
              <w:jc w:val="center"/>
              <w:rPr>
                <w:rFonts w:ascii="仿宋_GB2312" w:eastAsia="仿宋_GB2312"/>
                <w:b/>
                <w:sz w:val="32"/>
                <w:szCs w:val="32"/>
              </w:rPr>
            </w:pPr>
          </w:p>
        </w:tc>
        <w:tc>
          <w:tcPr>
            <w:tcW w:w="793" w:type="dxa"/>
            <w:vMerge/>
          </w:tcPr>
          <w:p w:rsidR="00D92198" w:rsidRDefault="00D92198" w:rsidP="00A61652">
            <w:pPr>
              <w:spacing w:afterLines="100" w:after="312" w:line="400" w:lineRule="exact"/>
              <w:jc w:val="center"/>
              <w:rPr>
                <w:rFonts w:ascii="仿宋_GB2312" w:eastAsia="仿宋_GB2312"/>
                <w:b/>
                <w:sz w:val="32"/>
                <w:szCs w:val="32"/>
              </w:rPr>
            </w:pPr>
          </w:p>
        </w:tc>
        <w:tc>
          <w:tcPr>
            <w:tcW w:w="1780" w:type="dxa"/>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氮氧化物</w:t>
            </w:r>
          </w:p>
        </w:tc>
        <w:tc>
          <w:tcPr>
            <w:tcW w:w="822" w:type="dxa"/>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955" w:type="dxa"/>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仿宋_GB2312" w:cs="宋体" w:hint="eastAsia"/>
                <w:kern w:val="0"/>
                <w:sz w:val="20"/>
                <w:szCs w:val="20"/>
              </w:rPr>
              <w:t>[</w:t>
            </w:r>
            <w:r>
              <w:rPr>
                <w:rFonts w:ascii="仿宋_GB2312" w:eastAsia="仿宋_GB2312" w:hAnsi="宋体" w:cs="宋体" w:hint="eastAsia"/>
                <w:kern w:val="0"/>
                <w:sz w:val="20"/>
                <w:szCs w:val="20"/>
              </w:rPr>
              <w:t>19.</w:t>
            </w:r>
            <w:r>
              <w:rPr>
                <w:rFonts w:ascii="仿宋_GB2312" w:eastAsia="仿宋_GB2312" w:hAnsi="宋体" w:cs="宋体"/>
                <w:kern w:val="0"/>
                <w:sz w:val="20"/>
                <w:szCs w:val="20"/>
              </w:rPr>
              <w:t>1</w:t>
            </w:r>
            <w:r>
              <w:rPr>
                <w:rFonts w:ascii="仿宋_GB2312" w:eastAsia="仿宋_GB2312" w:hAnsi="仿宋_GB2312" w:cs="宋体" w:hint="eastAsia"/>
                <w:kern w:val="0"/>
                <w:sz w:val="20"/>
                <w:szCs w:val="20"/>
              </w:rPr>
              <w:t>]</w:t>
            </w:r>
          </w:p>
        </w:tc>
        <w:tc>
          <w:tcPr>
            <w:tcW w:w="937" w:type="dxa"/>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964" w:type="dxa"/>
            <w:gridSpan w:val="2"/>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964" w:type="dxa"/>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仿宋_GB2312" w:cs="宋体" w:hint="eastAsia"/>
                <w:kern w:val="0"/>
                <w:sz w:val="20"/>
                <w:szCs w:val="20"/>
              </w:rPr>
              <w:t>[</w:t>
            </w:r>
            <w:r>
              <w:rPr>
                <w:rFonts w:ascii="仿宋_GB2312" w:eastAsia="仿宋_GB2312" w:hAnsi="宋体" w:cs="宋体" w:hint="eastAsia"/>
                <w:kern w:val="0"/>
                <w:sz w:val="20"/>
                <w:szCs w:val="20"/>
              </w:rPr>
              <w:t>2</w:t>
            </w:r>
            <w:r>
              <w:rPr>
                <w:rFonts w:ascii="仿宋_GB2312" w:eastAsia="仿宋_GB2312" w:hAnsi="宋体" w:cs="宋体"/>
                <w:kern w:val="0"/>
                <w:sz w:val="20"/>
                <w:szCs w:val="20"/>
              </w:rPr>
              <w:t>0.06</w:t>
            </w:r>
            <w:r>
              <w:rPr>
                <w:rFonts w:ascii="仿宋_GB2312" w:eastAsia="仿宋_GB2312" w:hAnsi="仿宋_GB2312" w:cs="宋体" w:hint="eastAsia"/>
                <w:kern w:val="0"/>
                <w:sz w:val="20"/>
                <w:szCs w:val="20"/>
              </w:rPr>
              <w:t>]</w:t>
            </w:r>
          </w:p>
        </w:tc>
        <w:tc>
          <w:tcPr>
            <w:tcW w:w="828" w:type="dxa"/>
            <w:vMerge/>
          </w:tcPr>
          <w:p w:rsidR="00D92198" w:rsidRDefault="00D92198" w:rsidP="00A61652">
            <w:pPr>
              <w:spacing w:afterLines="100" w:after="312" w:line="400" w:lineRule="exact"/>
              <w:jc w:val="center"/>
              <w:rPr>
                <w:rFonts w:ascii="仿宋_GB2312" w:eastAsia="仿宋_GB2312"/>
                <w:b/>
                <w:sz w:val="32"/>
                <w:szCs w:val="32"/>
              </w:rPr>
            </w:pPr>
          </w:p>
        </w:tc>
      </w:tr>
      <w:tr w:rsidR="00D921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0"/>
        </w:trPr>
        <w:tc>
          <w:tcPr>
            <w:tcW w:w="8460" w:type="dxa"/>
            <w:gridSpan w:val="10"/>
            <w:vAlign w:val="center"/>
          </w:tcPr>
          <w:p w:rsidR="00D92198" w:rsidRDefault="00AE1128">
            <w:pPr>
              <w:widowControl/>
              <w:jc w:val="left"/>
              <w:rPr>
                <w:rFonts w:ascii="仿宋_GB2312" w:eastAsia="仿宋_GB2312"/>
                <w:sz w:val="32"/>
                <w:szCs w:val="32"/>
              </w:rPr>
            </w:pPr>
            <w:r>
              <w:rPr>
                <w:rFonts w:ascii="仿宋_GB2312" w:eastAsia="仿宋_GB2312" w:hAnsi="宋体" w:cs="宋体" w:hint="eastAsia"/>
                <w:kern w:val="0"/>
                <w:sz w:val="20"/>
                <w:szCs w:val="20"/>
              </w:rPr>
              <w:t>注：1.[ ]内数据为五年规划累计；2.少数预期性目标按程序进行了调整。</w:t>
            </w:r>
          </w:p>
        </w:tc>
      </w:tr>
    </w:tbl>
    <w:p w:rsidR="00D92198" w:rsidRDefault="00D92198" w:rsidP="00A61652">
      <w:pPr>
        <w:spacing w:afterLines="100" w:after="312" w:line="400" w:lineRule="exact"/>
        <w:jc w:val="center"/>
        <w:rPr>
          <w:rFonts w:ascii="楷体_GB2312" w:eastAsia="楷体_GB2312"/>
          <w:b/>
          <w:sz w:val="32"/>
          <w:szCs w:val="32"/>
        </w:rPr>
      </w:pPr>
    </w:p>
    <w:p w:rsidR="00D92198" w:rsidRDefault="00AE1128" w:rsidP="00A61652">
      <w:pPr>
        <w:spacing w:afterLines="100" w:after="312" w:line="400" w:lineRule="exact"/>
        <w:jc w:val="center"/>
        <w:rPr>
          <w:rFonts w:ascii="楷体_GB2312" w:eastAsia="楷体_GB2312"/>
          <w:b/>
          <w:sz w:val="32"/>
          <w:szCs w:val="32"/>
        </w:rPr>
      </w:pPr>
      <w:r>
        <w:rPr>
          <w:rFonts w:ascii="楷体_GB2312" w:eastAsia="楷体_GB2312" w:hint="eastAsia"/>
          <w:b/>
          <w:sz w:val="32"/>
          <w:szCs w:val="32"/>
        </w:rPr>
        <w:t>第二节  新发展阶段面临的新机遇新挑战</w:t>
      </w:r>
    </w:p>
    <w:p w:rsidR="00D92198" w:rsidRDefault="00AE1128">
      <w:pPr>
        <w:spacing w:line="600" w:lineRule="exact"/>
        <w:ind w:firstLineChars="200" w:firstLine="640"/>
        <w:rPr>
          <w:rFonts w:ascii="仿宋_GB2312" w:eastAsia="仿宋_GB2312"/>
          <w:sz w:val="32"/>
          <w:szCs w:val="32"/>
        </w:rPr>
      </w:pPr>
      <w:r>
        <w:rPr>
          <w:rFonts w:ascii="仿宋_GB2312" w:eastAsia="仿宋_GB2312" w:hAnsi="仿宋_GB2312" w:cs="仿宋_GB2312" w:hint="eastAsia"/>
          <w:sz w:val="32"/>
          <w:szCs w:val="32"/>
        </w:rPr>
        <w:t>当今世界正经历百年未有之大变局，新冠肺炎疫情影响广泛深远，国际环境日趋复杂，不稳定性不确定性明显增加。我国已转向高质量发展阶段，仍然处于重要战略机遇期，继续发</w:t>
      </w:r>
      <w:r>
        <w:rPr>
          <w:rFonts w:ascii="仿宋_GB2312" w:eastAsia="仿宋_GB2312" w:hAnsi="仿宋_GB2312" w:cs="仿宋_GB2312" w:hint="eastAsia"/>
          <w:sz w:val="32"/>
          <w:szCs w:val="32"/>
        </w:rPr>
        <w:lastRenderedPageBreak/>
        <w:t>展具有多方面优势和条件。我省面临国家构建新发展格局、促进中部地区崛起、黄河流域生态保护和高质量发展三大战略机遇，枢纽通道地位凸显、腹地支撑作用增强，正处于由大到强的重要关口。南阳地处豫鄂陕三省交界，跨长江、淮河、黄河三大流域，既有全省共临共享的重大机遇，又有汉江生态经济带、淮河生态经济带、大别山革命老区振兴发展等国家战略叠加，向北能够通过京宛对口协作积极承接北京产业转移和科技成果转化，向南能够以汉江生态经济带为“桥梁”深度融入长江经济带，向东能够以淮河生态经济带为“纽带”，依托合西高铁通道，积极融入长三角地区产业链供应链，为提升城市能级拓展出更加广阔的战略空间。南阳作为千万人口大市、经济大市、生态大市、农业大市，市场空间广阔、人力资源丰富、产业门类齐全、农产品供给能力突出、城镇化潜力巨大，“两山两源”生态优势不断厚植，全国性综合交通枢纽、商贸服务型国家物流枢纽功能凸显，能够塑造人力资源、内需资本、流通经济、有效供给等新优势。抓住机遇、发挥优势，可以直接融入豫鄂陕省际区域经济循环，进而成为服务国内大循环、国内国际双循环的重要链接，打造新兴区域经济中心，形成引领区域经济高质量发展</w:t>
      </w:r>
      <w:r>
        <w:rPr>
          <w:rFonts w:ascii="仿宋_GB2312" w:eastAsia="仿宋_GB2312" w:hint="eastAsia"/>
          <w:sz w:val="32"/>
          <w:szCs w:val="32"/>
        </w:rPr>
        <w:t>的重要增长极。</w:t>
      </w:r>
    </w:p>
    <w:p w:rsidR="00D92198" w:rsidRDefault="00AE1128">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同时，我市正处在转型攻坚、爬坡过坎的紧要时期，发展不平衡不充分的问题仍然突出。经济总量不够大，人均主要经</w:t>
      </w:r>
      <w:r>
        <w:rPr>
          <w:rFonts w:ascii="仿宋_GB2312" w:eastAsia="仿宋_GB2312" w:hAnsi="仿宋_GB2312" w:cs="仿宋_GB2312" w:hint="eastAsia"/>
          <w:sz w:val="32"/>
          <w:szCs w:val="32"/>
        </w:rPr>
        <w:lastRenderedPageBreak/>
        <w:t>济指标相对落后。科技创新策源、转化能力不足，产业结构升级、新旧动能转换任务艰巨。城镇化水平偏低，中心城市辐射带动能力不强，农业农村发展存在短板。营商环境亟待优化，生态环保、民生保障、社会治理等领域还有不少弱项。</w:t>
      </w:r>
    </w:p>
    <w:p w:rsidR="00D92198" w:rsidRDefault="00AE1128" w:rsidP="00A61652">
      <w:pPr>
        <w:spacing w:afterLines="100" w:after="312" w:line="600" w:lineRule="exact"/>
        <w:ind w:firstLineChars="200" w:firstLine="640"/>
        <w:rPr>
          <w:rFonts w:ascii="仿宋_GB2312" w:eastAsia="仿宋_GB2312"/>
          <w:sz w:val="36"/>
          <w:szCs w:val="36"/>
        </w:rPr>
      </w:pPr>
      <w:r>
        <w:rPr>
          <w:rFonts w:ascii="仿宋_GB2312" w:eastAsia="仿宋_GB2312" w:hAnsi="仿宋_GB2312" w:cs="仿宋_GB2312" w:hint="eastAsia"/>
          <w:sz w:val="32"/>
          <w:szCs w:val="32"/>
        </w:rPr>
        <w:t xml:space="preserve">综合研判，我市仍处于大有可为的重要战略机遇期，全市上下要始终着眼“两个大局”，深刻认识错综复杂的国际环境带来的新矛盾新挑战，深刻认识我国社会主要矛盾变化带来的新特征新要求，深刻认识我市所处的坐标方位和担负的发展重任，增强创新意识、机遇意识和危机意识，主动在国家大格局、大目标、大战略中找准定位、谋划发展，保持战略定力，发扬斗争精神，准确识变、科学应变、主动求变，在危机中育先机、于变局中开新局，在社会主义现代化建设新征程中不断开创发展新局面。                                                            </w:t>
      </w:r>
    </w:p>
    <w:p w:rsidR="00D92198" w:rsidRDefault="00AE1128" w:rsidP="00A61652">
      <w:pPr>
        <w:spacing w:afterLines="100" w:after="312" w:line="600" w:lineRule="exact"/>
        <w:jc w:val="center"/>
        <w:rPr>
          <w:rFonts w:ascii="黑体" w:eastAsia="黑体" w:hAnsi="黑体"/>
          <w:bCs/>
          <w:sz w:val="32"/>
          <w:szCs w:val="32"/>
        </w:rPr>
      </w:pPr>
      <w:r>
        <w:rPr>
          <w:rFonts w:ascii="黑体" w:eastAsia="黑体" w:hAnsi="黑体" w:hint="eastAsia"/>
          <w:bCs/>
          <w:sz w:val="32"/>
          <w:szCs w:val="32"/>
        </w:rPr>
        <w:t>第二章  指导方针</w:t>
      </w:r>
    </w:p>
    <w:p w:rsidR="00D92198" w:rsidRDefault="00AE1128" w:rsidP="00A61652">
      <w:pPr>
        <w:spacing w:afterLines="100" w:after="312"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党的十八大以来，习近平总书记四次亲临河南视察、多次对河南工作作出重要指示批示，特别是亲临南阳视察调研并发表重要讲话，在南水北调后续工程高质量发展、生态环境保护、中医药传承创新发展、特色产业发展、乡村振兴等方面提出的一系列重要指示要求，充分体现了习近平总书记对南阳工作的高度重视，对南阳人民的深情厚爱，对南阳发展的殷切期盼。</w:t>
      </w:r>
      <w:r>
        <w:rPr>
          <w:rFonts w:ascii="仿宋_GB2312" w:eastAsia="仿宋_GB2312" w:hAnsi="仿宋" w:hint="eastAsia"/>
          <w:sz w:val="32"/>
          <w:szCs w:val="32"/>
        </w:rPr>
        <w:lastRenderedPageBreak/>
        <w:t>这是引领新时代南阳发展的总纲领，是推进现代化南阳建设的总遵循。必须坚定沿着习近平总书记指引的方向奋勇前进，推动党中央决策部署在豫宛大地结出更加丰硕的成果。</w:t>
      </w:r>
    </w:p>
    <w:p w:rsidR="00D92198" w:rsidRDefault="00AE1128" w:rsidP="00A61652">
      <w:pPr>
        <w:spacing w:afterLines="100" w:after="312" w:line="600" w:lineRule="exact"/>
        <w:ind w:firstLineChars="200" w:firstLine="640"/>
        <w:rPr>
          <w:rFonts w:ascii="黑体" w:eastAsia="黑体" w:hAnsi="黑体"/>
          <w:sz w:val="32"/>
          <w:szCs w:val="32"/>
        </w:rPr>
      </w:pPr>
      <w:r>
        <w:rPr>
          <w:rFonts w:ascii="仿宋_GB2312" w:eastAsia="仿宋_GB2312" w:hAnsi="仿宋" w:hint="eastAsia"/>
          <w:sz w:val="32"/>
          <w:szCs w:val="32"/>
        </w:rPr>
        <w:t>“十四五”</w:t>
      </w:r>
      <w:r>
        <w:rPr>
          <w:rFonts w:ascii="仿宋_GB2312" w:eastAsia="仿宋_GB2312"/>
          <w:sz w:val="32"/>
          <w:szCs w:val="32"/>
        </w:rPr>
        <w:t>时期，</w:t>
      </w:r>
      <w:r>
        <w:rPr>
          <w:rFonts w:ascii="仿宋_GB2312" w:eastAsia="仿宋_GB2312" w:hint="eastAsia"/>
          <w:sz w:val="32"/>
          <w:szCs w:val="32"/>
        </w:rPr>
        <w:t>我市</w:t>
      </w:r>
      <w:r>
        <w:rPr>
          <w:rFonts w:ascii="仿宋_GB2312" w:eastAsia="仿宋_GB2312"/>
          <w:sz w:val="32"/>
          <w:szCs w:val="32"/>
        </w:rPr>
        <w:t>经济社会发展</w:t>
      </w:r>
      <w:r>
        <w:rPr>
          <w:rFonts w:ascii="仿宋_GB2312" w:eastAsia="仿宋_GB2312" w:hint="eastAsia"/>
          <w:sz w:val="32"/>
          <w:szCs w:val="32"/>
        </w:rPr>
        <w:t>的</w:t>
      </w:r>
      <w:r>
        <w:rPr>
          <w:rFonts w:ascii="仿宋_GB2312" w:eastAsia="仿宋_GB2312"/>
          <w:sz w:val="32"/>
          <w:szCs w:val="32"/>
        </w:rPr>
        <w:t>指导思想</w:t>
      </w:r>
      <w:r>
        <w:rPr>
          <w:rFonts w:ascii="仿宋_GB2312" w:eastAsia="仿宋_GB2312" w:hint="eastAsia"/>
          <w:sz w:val="32"/>
          <w:szCs w:val="32"/>
        </w:rPr>
        <w:t>是：</w:t>
      </w:r>
      <w:r>
        <w:rPr>
          <w:rFonts w:ascii="黑体" w:eastAsia="黑体" w:hAnsi="黑体" w:hint="eastAsia"/>
          <w:sz w:val="32"/>
          <w:szCs w:val="32"/>
        </w:rPr>
        <w:t>高举中国特色社会主义伟大旗帜，深入贯彻党的十九大和十九届二中、三中、四中、五中全会精神，坚持以马克思列宁主义、毛泽东思想、邓小平理论、“三个代表”重要思想、科学发展观、习近平新时代中国特色社会主义思想为指导，全面贯彻党的基本理论、基本路线、基本方略，深入学习贯彻习近平总书记关于河南工作特别是考察调研南阳时的重要讲话和指示批示精神，统筹推进“五位一体”总体布局，协调推进“四个全面”战略布局，坚定不移贯彻新发展理念，坚持稳中求进工作总基调，深入落实“四个着力”、持续打好“四张牌”，以推动高质量发展为主题，以深化供给侧结构性改革为主线，以改革开放创新为根本动力，以满足人民日益增长的美好生活需要为根本目的，统筹发展和安全，紧紧围绕建设新兴区域经济中心，主动融入新发展格局，强力推进党的建设和经济发展“两个高质量”工作体系，深入实施“两轮两翼”战略，重抓重推“九大专项”，加快建设现代化经济体系，着力推进治理体系和治理能力现代化，高质量建设具有较强吸纳集聚能力和重要影响力的大城市，</w:t>
      </w:r>
      <w:r>
        <w:rPr>
          <w:rFonts w:ascii="黑体" w:eastAsia="黑体" w:hAnsi="黑体" w:hint="eastAsia"/>
          <w:sz w:val="32"/>
          <w:szCs w:val="32"/>
        </w:rPr>
        <w:lastRenderedPageBreak/>
        <w:t>确保全面建设社会主义现代化南阳开好局、起好步，为谱写新时代中原更加出彩的绚丽篇章作出更大贡献。</w:t>
      </w:r>
    </w:p>
    <w:p w:rsidR="00D92198" w:rsidRDefault="00AE1128">
      <w:pPr>
        <w:pStyle w:val="ab"/>
        <w:spacing w:before="0" w:beforeAutospacing="0" w:after="0" w:afterAutospacing="0"/>
        <w:ind w:firstLine="640"/>
        <w:jc w:val="both"/>
        <w:rPr>
          <w:rFonts w:ascii="仿宋_GB2312" w:hAnsi="仿宋_GB2312" w:cs="仿宋_GB2312"/>
          <w:kern w:val="2"/>
          <w:sz w:val="32"/>
          <w:szCs w:val="32"/>
        </w:rPr>
      </w:pPr>
      <w:r>
        <w:rPr>
          <w:rFonts w:ascii="仿宋_GB2312" w:hAnsi="仿宋_GB2312" w:cs="仿宋_GB2312" w:hint="eastAsia"/>
          <w:kern w:val="2"/>
          <w:sz w:val="32"/>
          <w:szCs w:val="32"/>
        </w:rPr>
        <w:t xml:space="preserve"> 实现“十四五”时期经济行稳致远、社会安定和谐，必须遵循以下原则：</w:t>
      </w:r>
    </w:p>
    <w:p w:rsidR="00D92198" w:rsidRDefault="00AE1128">
      <w:pPr>
        <w:pStyle w:val="ab"/>
        <w:spacing w:beforeAutospacing="0" w:afterAutospacing="0"/>
        <w:ind w:firstLine="643"/>
        <w:jc w:val="both"/>
        <w:rPr>
          <w:rFonts w:ascii="仿宋_GB2312" w:hAnsi="仿宋_GB2312" w:cs="仿宋_GB2312"/>
          <w:kern w:val="2"/>
          <w:sz w:val="32"/>
          <w:szCs w:val="32"/>
        </w:rPr>
      </w:pPr>
      <w:r>
        <w:rPr>
          <w:rFonts w:ascii="仿宋_GB2312" w:hAnsi="仿宋_GB2312" w:cs="仿宋_GB2312" w:hint="eastAsia"/>
          <w:b/>
          <w:sz w:val="32"/>
          <w:szCs w:val="32"/>
        </w:rPr>
        <w:t>——坚持党的全面领导，把牢政治方向、强化根本保证。</w:t>
      </w:r>
      <w:r>
        <w:rPr>
          <w:rFonts w:ascii="仿宋_GB2312" w:hAnsi="仿宋_GB2312" w:cs="仿宋_GB2312" w:hint="eastAsia"/>
          <w:kern w:val="2"/>
          <w:sz w:val="32"/>
          <w:szCs w:val="32"/>
        </w:rPr>
        <w:t>发挥党总揽全局、协调各方的领导核心作用，坚持和完善党领导经济社会发展的体制机制，坚决执行落实“两个维护”的各项制度，提高贯彻新发展理念、融入新发展格局、推动高质量发展能力和水平，把党的政治优势、制度优势转化为发展优势、治理优势。</w:t>
      </w:r>
    </w:p>
    <w:p w:rsidR="00D92198" w:rsidRDefault="00AE1128">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kern w:val="0"/>
          <w:sz w:val="32"/>
          <w:szCs w:val="32"/>
        </w:rPr>
        <w:t>——坚持以人民为中心，增进民生福祉、推动共同富裕。</w:t>
      </w:r>
      <w:r>
        <w:rPr>
          <w:rFonts w:ascii="仿宋_GB2312" w:eastAsia="仿宋_GB2312" w:hAnsi="仿宋_GB2312" w:cs="仿宋_GB2312" w:hint="eastAsia"/>
          <w:sz w:val="32"/>
          <w:szCs w:val="32"/>
        </w:rPr>
        <w:t>坚持人民主体地位，坚持共同富裕方向，始终做到依靠人民、造福人民、植根人民，办好民生实事，促进社会公平，让改革创新、治理优化、发展转型成果更多更公平地惠及广大人民群众，不断实现人民对美好生活的向往。</w:t>
      </w:r>
    </w:p>
    <w:p w:rsidR="00D92198" w:rsidRDefault="00AE1128">
      <w:pPr>
        <w:pStyle w:val="ab"/>
        <w:spacing w:beforeAutospacing="0" w:afterAutospacing="0"/>
        <w:ind w:firstLine="643"/>
        <w:jc w:val="both"/>
        <w:rPr>
          <w:rFonts w:ascii="仿宋_GB2312" w:hAnsi="仿宋_GB2312" w:cs="仿宋_GB2312"/>
          <w:kern w:val="2"/>
          <w:sz w:val="32"/>
          <w:szCs w:val="32"/>
        </w:rPr>
      </w:pPr>
      <w:r>
        <w:rPr>
          <w:rFonts w:ascii="仿宋_GB2312" w:hAnsi="仿宋_GB2312" w:cs="仿宋_GB2312" w:hint="eastAsia"/>
          <w:b/>
          <w:sz w:val="32"/>
          <w:szCs w:val="32"/>
        </w:rPr>
        <w:t>——坚持新发展理念，加快转型升级、提升质量效益。</w:t>
      </w:r>
      <w:r>
        <w:rPr>
          <w:rFonts w:ascii="仿宋_GB2312" w:hAnsi="仿宋_GB2312" w:cs="仿宋_GB2312" w:hint="eastAsia"/>
          <w:kern w:val="2"/>
          <w:sz w:val="32"/>
          <w:szCs w:val="32"/>
        </w:rPr>
        <w:t>把新发展理念贯穿发展全过程和各领域，扭住供给侧结构性改革，注重需求侧管理，持续推动新旧动能转换，加快融入以国内大循环为主体、国内国际双循环相互促进的新发展格局，实现更高质量、更有效率、更加公平、更可持续、更为安全的发展。</w:t>
      </w:r>
    </w:p>
    <w:p w:rsidR="00D92198" w:rsidRDefault="00AE1128">
      <w:pPr>
        <w:pStyle w:val="ab"/>
        <w:spacing w:beforeAutospacing="0" w:afterAutospacing="0"/>
        <w:ind w:firstLine="643"/>
        <w:jc w:val="both"/>
        <w:rPr>
          <w:rFonts w:ascii="仿宋_GB2312" w:hAnsi="仿宋_GB2312" w:cs="仿宋_GB2312"/>
          <w:kern w:val="2"/>
          <w:sz w:val="32"/>
          <w:szCs w:val="32"/>
        </w:rPr>
      </w:pPr>
      <w:r>
        <w:rPr>
          <w:rFonts w:ascii="仿宋_GB2312" w:hAnsi="仿宋_GB2312" w:cs="仿宋_GB2312" w:hint="eastAsia"/>
          <w:b/>
          <w:sz w:val="32"/>
          <w:szCs w:val="32"/>
        </w:rPr>
        <w:lastRenderedPageBreak/>
        <w:t>——坚持改革开放创新，增强根本动力、激发发展活力。</w:t>
      </w:r>
      <w:r>
        <w:rPr>
          <w:rFonts w:ascii="仿宋_GB2312" w:hAnsi="仿宋_GB2312" w:cs="仿宋_GB2312" w:hint="eastAsia"/>
          <w:kern w:val="2"/>
          <w:sz w:val="32"/>
          <w:szCs w:val="32"/>
        </w:rPr>
        <w:t>强化创新在现代化建设中的核心地位，加快推进以市场化改革为核心的全面改革、以制度型开放为引领的全面开放，更大力度解放思想、更新观念，破除制约高质量发展、高品质生活、高效能治理的体制机制障碍，持续增强发展动力和活力。</w:t>
      </w:r>
    </w:p>
    <w:p w:rsidR="00D92198" w:rsidRDefault="00AE1128">
      <w:pPr>
        <w:pStyle w:val="ab"/>
        <w:spacing w:beforeAutospacing="0" w:afterAutospacing="0"/>
        <w:ind w:firstLine="643"/>
        <w:rPr>
          <w:rFonts w:ascii="仿宋_GB2312" w:hAnsi="仿宋_GB2312" w:cs="仿宋_GB2312"/>
          <w:kern w:val="2"/>
          <w:sz w:val="32"/>
          <w:szCs w:val="32"/>
        </w:rPr>
      </w:pPr>
      <w:r>
        <w:rPr>
          <w:rFonts w:ascii="仿宋_GB2312" w:hAnsi="仿宋_GB2312" w:cs="仿宋_GB2312" w:hint="eastAsia"/>
          <w:b/>
          <w:sz w:val="32"/>
          <w:szCs w:val="32"/>
        </w:rPr>
        <w:t>——坚持系统观念，着眼全局谋划、点面结合推进。</w:t>
      </w:r>
      <w:r>
        <w:rPr>
          <w:rFonts w:ascii="仿宋_GB2312" w:hAnsi="仿宋_GB2312" w:cs="仿宋_GB2312" w:hint="eastAsia"/>
          <w:kern w:val="2"/>
          <w:sz w:val="32"/>
          <w:szCs w:val="32"/>
        </w:rPr>
        <w:t>把系统观念作为基础性思想和工作方法，加强前瞻性思考、全局性谋划、战略性布局、整体性推进，抓好发展安全两件大事，抓住主要矛盾和矛盾的主要方面，在重点突破中带动全局跃升，在扬长补短中提升整体效能，在清醒忧患中守牢发展底线。</w:t>
      </w:r>
    </w:p>
    <w:p w:rsidR="00D92198" w:rsidRDefault="00AE1128">
      <w:pPr>
        <w:spacing w:line="600" w:lineRule="exact"/>
        <w:ind w:firstLineChars="200" w:firstLine="643"/>
        <w:rPr>
          <w:rFonts w:ascii="仿宋_GB2312" w:eastAsia="仿宋_GB2312" w:hAnsi="仿宋_GB2312" w:cs="仿宋_GB2312"/>
          <w:sz w:val="36"/>
          <w:szCs w:val="36"/>
        </w:rPr>
      </w:pPr>
      <w:r>
        <w:rPr>
          <w:rFonts w:ascii="仿宋_GB2312" w:eastAsia="仿宋_GB2312" w:hAnsi="仿宋_GB2312" w:cs="仿宋_GB2312" w:hint="eastAsia"/>
          <w:b/>
          <w:kern w:val="0"/>
          <w:sz w:val="32"/>
          <w:szCs w:val="32"/>
        </w:rPr>
        <w:t>——坚持用心务实，提升履职本领、强化使命担当。</w:t>
      </w:r>
      <w:r>
        <w:rPr>
          <w:rFonts w:ascii="仿宋_GB2312" w:eastAsia="仿宋_GB2312" w:hAnsi="仿宋_GB2312" w:cs="仿宋_GB2312" w:hint="eastAsia"/>
          <w:sz w:val="32"/>
          <w:szCs w:val="32"/>
        </w:rPr>
        <w:t>倡树“用心工作、务实重干”工作导向，持续营造学的氛围、干的氛围、严的氛围；树牢有解思维，发扬斗争精神，勇于担当作为，持续提升执行力创新力，锻造适应社会主义现代化建设新要求的过硬本领；保持定力，久久为功，善作善成，一步步把美好蓝图变为现实。</w:t>
      </w:r>
    </w:p>
    <w:p w:rsidR="00D92198" w:rsidRDefault="00AE1128" w:rsidP="00A61652">
      <w:pPr>
        <w:spacing w:beforeLines="50" w:before="156" w:afterLines="100" w:after="312" w:line="600" w:lineRule="exact"/>
        <w:jc w:val="center"/>
        <w:rPr>
          <w:rFonts w:ascii="黑体" w:eastAsia="黑体" w:hAnsi="黑体"/>
          <w:bCs/>
          <w:sz w:val="32"/>
          <w:szCs w:val="32"/>
        </w:rPr>
      </w:pPr>
      <w:r>
        <w:rPr>
          <w:rFonts w:ascii="黑体" w:eastAsia="黑体" w:hAnsi="黑体" w:hint="eastAsia"/>
          <w:bCs/>
          <w:sz w:val="32"/>
          <w:szCs w:val="32"/>
        </w:rPr>
        <w:t>第三章  发展目标</w:t>
      </w:r>
    </w:p>
    <w:p w:rsidR="00D92198" w:rsidRDefault="00AE1128" w:rsidP="00A61652">
      <w:pPr>
        <w:spacing w:afterLines="100" w:after="312"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综合考虑外部形势和发展条件，确定二〇三五年远景目标和“十四五”时期经济社会发展主要目标。</w:t>
      </w:r>
    </w:p>
    <w:p w:rsidR="00D92198" w:rsidRDefault="00AE1128" w:rsidP="00A61652">
      <w:pPr>
        <w:spacing w:afterLines="100" w:after="312" w:line="600" w:lineRule="exact"/>
        <w:jc w:val="center"/>
        <w:rPr>
          <w:rFonts w:ascii="楷体_GB2312" w:eastAsia="楷体_GB2312" w:hAnsi="楷体"/>
          <w:b/>
          <w:sz w:val="32"/>
          <w:szCs w:val="32"/>
        </w:rPr>
      </w:pPr>
      <w:r>
        <w:rPr>
          <w:rFonts w:ascii="楷体_GB2312" w:eastAsia="楷体_GB2312" w:hAnsi="楷体" w:hint="eastAsia"/>
          <w:b/>
          <w:sz w:val="32"/>
          <w:szCs w:val="32"/>
        </w:rPr>
        <w:lastRenderedPageBreak/>
        <w:t>第一节  二</w:t>
      </w:r>
      <w:r>
        <w:rPr>
          <w:rFonts w:ascii="微软雅黑" w:eastAsia="微软雅黑" w:hAnsi="微软雅黑" w:cs="微软雅黑" w:hint="eastAsia"/>
          <w:b/>
          <w:sz w:val="32"/>
          <w:szCs w:val="32"/>
        </w:rPr>
        <w:t>〇</w:t>
      </w:r>
      <w:r>
        <w:rPr>
          <w:rFonts w:ascii="楷体_GB2312" w:eastAsia="楷体_GB2312" w:hAnsi="楷体_GB2312" w:cs="楷体_GB2312" w:hint="eastAsia"/>
          <w:b/>
          <w:sz w:val="32"/>
          <w:szCs w:val="32"/>
        </w:rPr>
        <w:t>三五年远景目标</w:t>
      </w:r>
    </w:p>
    <w:p w:rsidR="00D92198" w:rsidRDefault="00AE1128">
      <w:pPr>
        <w:pStyle w:val="ab"/>
        <w:spacing w:before="0" w:beforeAutospacing="0" w:after="0" w:afterAutospacing="0"/>
        <w:ind w:firstLine="640"/>
        <w:jc w:val="both"/>
        <w:rPr>
          <w:rFonts w:ascii="仿宋_GB2312" w:hAnsi="仿宋_GB2312" w:cs="仿宋_GB2312"/>
          <w:bCs/>
          <w:sz w:val="32"/>
          <w:szCs w:val="32"/>
        </w:rPr>
      </w:pPr>
      <w:r>
        <w:rPr>
          <w:rFonts w:ascii="仿宋_GB2312" w:cs="Calibri" w:hint="eastAsia"/>
          <w:bCs/>
          <w:sz w:val="32"/>
          <w:szCs w:val="32"/>
        </w:rPr>
        <w:t>全市上下以党的建设高质量推动经济发展高质量，经过15年的接续奋斗、争先出彩，到二</w:t>
      </w:r>
      <w:r>
        <w:rPr>
          <w:rFonts w:ascii="宋体" w:eastAsia="宋体" w:hAnsi="宋体" w:cs="宋体" w:hint="eastAsia"/>
          <w:bCs/>
          <w:sz w:val="32"/>
          <w:szCs w:val="32"/>
        </w:rPr>
        <w:t>〇</w:t>
      </w:r>
      <w:r>
        <w:rPr>
          <w:rFonts w:ascii="仿宋_GB2312" w:hAnsi="仿宋_GB2312" w:cs="仿宋_GB2312" w:hint="eastAsia"/>
          <w:bCs/>
          <w:sz w:val="32"/>
          <w:szCs w:val="32"/>
        </w:rPr>
        <w:t>三五年，基本建成“五个高地、一个家园”的现代化南阳</w:t>
      </w:r>
      <w:r>
        <w:rPr>
          <w:rFonts w:ascii="仿宋_GB2312" w:cs="Calibri" w:hint="eastAsia"/>
          <w:bCs/>
          <w:sz w:val="32"/>
          <w:szCs w:val="32"/>
        </w:rPr>
        <w:t>，</w:t>
      </w:r>
      <w:r>
        <w:rPr>
          <w:rFonts w:ascii="仿宋_GB2312" w:hAnsi="仿宋_GB2312" w:cs="仿宋_GB2312" w:hint="eastAsia"/>
          <w:bCs/>
          <w:sz w:val="32"/>
          <w:szCs w:val="32"/>
        </w:rPr>
        <w:t>大城市规模能级大幅跃升，</w:t>
      </w:r>
      <w:r>
        <w:rPr>
          <w:rFonts w:ascii="仿宋_GB2312" w:cs="Calibri" w:hint="eastAsia"/>
          <w:bCs/>
          <w:sz w:val="32"/>
          <w:szCs w:val="32"/>
        </w:rPr>
        <w:t>成为省域副中心城市</w:t>
      </w:r>
      <w:r>
        <w:rPr>
          <w:rFonts w:ascii="仿宋_GB2312" w:hAnsi="仿宋_GB2312" w:cs="仿宋_GB2312" w:hint="eastAsia"/>
          <w:bCs/>
          <w:sz w:val="32"/>
          <w:szCs w:val="32"/>
        </w:rPr>
        <w:t>。</w:t>
      </w:r>
    </w:p>
    <w:p w:rsidR="00D92198" w:rsidRDefault="00AE1128">
      <w:pPr>
        <w:pStyle w:val="ab"/>
        <w:spacing w:before="0" w:beforeAutospacing="0" w:after="0" w:afterAutospacing="0"/>
        <w:ind w:firstLine="643"/>
        <w:jc w:val="both"/>
        <w:rPr>
          <w:rFonts w:ascii="仿宋_GB2312" w:hAnsi="仿宋" w:cs="仿宋"/>
          <w:sz w:val="32"/>
          <w:szCs w:val="32"/>
        </w:rPr>
      </w:pPr>
      <w:r>
        <w:rPr>
          <w:rFonts w:ascii="仿宋_GB2312" w:cs="Calibri" w:hint="eastAsia"/>
          <w:b/>
          <w:bCs/>
          <w:sz w:val="32"/>
          <w:szCs w:val="32"/>
        </w:rPr>
        <w:t>区域创新高地。</w:t>
      </w:r>
      <w:r>
        <w:rPr>
          <w:rFonts w:ascii="仿宋_GB2312" w:cs="Calibri" w:hint="eastAsia"/>
          <w:bCs/>
          <w:sz w:val="32"/>
          <w:szCs w:val="32"/>
        </w:rPr>
        <w:t>创新能力大幅提升，创新活力全面激发，创新机制更加完善，创新要素加速集聚，</w:t>
      </w:r>
      <w:r>
        <w:rPr>
          <w:rFonts w:ascii="仿宋_GB2312" w:hint="eastAsia"/>
          <w:sz w:val="32"/>
          <w:szCs w:val="32"/>
        </w:rPr>
        <w:t>高能级科创平台持续增加，</w:t>
      </w:r>
      <w:r>
        <w:rPr>
          <w:rFonts w:ascii="仿宋_GB2312" w:cs="Calibri" w:hint="eastAsia"/>
          <w:bCs/>
          <w:sz w:val="32"/>
          <w:szCs w:val="32"/>
        </w:rPr>
        <w:t>科技创新对经济发展的支撑作用大幅增强，</w:t>
      </w:r>
      <w:r>
        <w:rPr>
          <w:rFonts w:ascii="仿宋_GB2312" w:cs="Calibri" w:hint="eastAsia"/>
          <w:bCs/>
          <w:spacing w:val="-6"/>
          <w:sz w:val="32"/>
          <w:szCs w:val="32"/>
        </w:rPr>
        <w:t>综合</w:t>
      </w:r>
      <w:r>
        <w:rPr>
          <w:rFonts w:ascii="仿宋_GB2312" w:hAnsi="仿宋" w:cs="仿宋" w:hint="eastAsia"/>
          <w:spacing w:val="-6"/>
          <w:sz w:val="32"/>
          <w:szCs w:val="32"/>
        </w:rPr>
        <w:t>创新能力走在全省前列，成为更具影响力的国家创新型城市。</w:t>
      </w:r>
    </w:p>
    <w:p w:rsidR="00D92198" w:rsidRDefault="00AE1128">
      <w:pPr>
        <w:pStyle w:val="ab"/>
        <w:spacing w:before="0" w:beforeAutospacing="0" w:after="0" w:afterAutospacing="0"/>
        <w:ind w:firstLine="643"/>
        <w:jc w:val="both"/>
        <w:rPr>
          <w:rFonts w:ascii="仿宋_GB2312" w:cs="Calibri"/>
          <w:bCs/>
          <w:sz w:val="32"/>
          <w:szCs w:val="32"/>
        </w:rPr>
      </w:pPr>
      <w:r>
        <w:rPr>
          <w:rFonts w:ascii="仿宋_GB2312" w:cs="Calibri" w:hint="eastAsia"/>
          <w:b/>
          <w:bCs/>
          <w:sz w:val="32"/>
          <w:szCs w:val="32"/>
        </w:rPr>
        <w:t>区域</w:t>
      </w:r>
      <w:r>
        <w:rPr>
          <w:rFonts w:ascii="仿宋_GB2312" w:hAnsi="仿宋" w:cs="Calibri" w:hint="eastAsia"/>
          <w:b/>
          <w:bCs/>
          <w:sz w:val="32"/>
          <w:szCs w:val="32"/>
        </w:rPr>
        <w:t>经济高地。</w:t>
      </w:r>
      <w:r>
        <w:rPr>
          <w:rFonts w:ascii="仿宋_GB2312" w:cs="Calibri" w:hint="eastAsia"/>
          <w:bCs/>
          <w:sz w:val="32"/>
          <w:szCs w:val="32"/>
        </w:rPr>
        <w:t>综合实力大幅跃升，经济总量、发展质量迈上新的大台阶，人均地区生产总值力争达到中等发达国家水平，基本实现新型工业化、信息化、城镇化、农业现代化，建成现代化经济体系。</w:t>
      </w:r>
    </w:p>
    <w:p w:rsidR="00D92198" w:rsidRDefault="00AE1128">
      <w:pPr>
        <w:pStyle w:val="ab"/>
        <w:spacing w:before="0" w:beforeAutospacing="0" w:after="0" w:afterAutospacing="0"/>
        <w:ind w:firstLine="643"/>
        <w:jc w:val="both"/>
        <w:rPr>
          <w:rFonts w:ascii="仿宋_GB2312" w:cs="Calibri"/>
          <w:bCs/>
          <w:sz w:val="32"/>
          <w:szCs w:val="32"/>
        </w:rPr>
      </w:pPr>
      <w:r>
        <w:rPr>
          <w:rFonts w:ascii="仿宋_GB2312" w:cs="Calibri" w:hint="eastAsia"/>
          <w:b/>
          <w:bCs/>
          <w:sz w:val="32"/>
          <w:szCs w:val="32"/>
        </w:rPr>
        <w:t>区域开放高地。</w:t>
      </w:r>
      <w:r>
        <w:rPr>
          <w:rFonts w:ascii="仿宋_GB2312" w:cs="Calibri" w:hint="eastAsia"/>
          <w:bCs/>
          <w:sz w:val="32"/>
          <w:szCs w:val="32"/>
        </w:rPr>
        <w:t>全国性综合交通枢纽全面建成、作用充分发挥，统一开放的市场体系全面建立，营商环境进入全国先进行列，区域合作全面深化，卧龙综保区、国家级跨境电商综试区和零售进口试点城市引领带动能力全面增强，内外贸易繁荣兴盛，建成内外联动、安全高效的开放体系。</w:t>
      </w:r>
    </w:p>
    <w:p w:rsidR="00D92198" w:rsidRDefault="00AE1128">
      <w:pPr>
        <w:pStyle w:val="ab"/>
        <w:spacing w:before="0" w:beforeAutospacing="0" w:after="0" w:afterAutospacing="0" w:line="570" w:lineRule="exact"/>
        <w:ind w:firstLine="643"/>
        <w:jc w:val="both"/>
        <w:rPr>
          <w:rFonts w:ascii="仿宋_GB2312" w:cs="Calibri"/>
          <w:bCs/>
          <w:sz w:val="32"/>
          <w:szCs w:val="32"/>
        </w:rPr>
      </w:pPr>
      <w:r>
        <w:rPr>
          <w:rFonts w:ascii="仿宋_GB2312" w:cs="Calibri" w:hint="eastAsia"/>
          <w:b/>
          <w:bCs/>
          <w:sz w:val="32"/>
          <w:szCs w:val="32"/>
        </w:rPr>
        <w:t>区域文化高地。</w:t>
      </w:r>
      <w:r>
        <w:rPr>
          <w:rFonts w:ascii="仿宋_GB2312" w:hAnsi="仿宋_GB2312" w:cs="Calibri" w:hint="eastAsia"/>
          <w:bCs/>
          <w:sz w:val="32"/>
          <w:szCs w:val="32"/>
        </w:rPr>
        <w:t>社会主义核心价值观深入人心，公民素质和社会文明程度达到新高度，</w:t>
      </w:r>
      <w:r>
        <w:rPr>
          <w:rFonts w:ascii="仿宋_GB2312" w:cs="Calibri" w:hint="eastAsia"/>
          <w:bCs/>
          <w:sz w:val="32"/>
          <w:szCs w:val="32"/>
        </w:rPr>
        <w:t>文化事业欣欣向荣，文化产业蓬</w:t>
      </w:r>
      <w:r>
        <w:rPr>
          <w:rFonts w:ascii="仿宋_GB2312" w:cs="Calibri" w:hint="eastAsia"/>
          <w:bCs/>
          <w:sz w:val="32"/>
          <w:szCs w:val="32"/>
        </w:rPr>
        <w:lastRenderedPageBreak/>
        <w:t>勃发展，南水北调精神和“四圣”文化影响力更加广泛深远，公共文化建设走在全省前列，</w:t>
      </w:r>
      <w:r>
        <w:rPr>
          <w:rFonts w:ascii="仿宋_GB2312" w:hAnsi="仿宋_GB2312" w:cs="Calibri" w:hint="eastAsia"/>
          <w:bCs/>
          <w:sz w:val="32"/>
          <w:szCs w:val="32"/>
        </w:rPr>
        <w:t>文化软实力显著增强，建成文化强市</w:t>
      </w:r>
      <w:r>
        <w:rPr>
          <w:rFonts w:ascii="仿宋_GB2312" w:cs="Calibri" w:hint="eastAsia"/>
          <w:bCs/>
          <w:sz w:val="32"/>
          <w:szCs w:val="32"/>
        </w:rPr>
        <w:t>。</w:t>
      </w:r>
    </w:p>
    <w:p w:rsidR="00D92198" w:rsidRDefault="00AE1128">
      <w:pPr>
        <w:pStyle w:val="ab"/>
        <w:spacing w:before="0" w:beforeAutospacing="0" w:after="0" w:afterAutospacing="0" w:line="570" w:lineRule="exact"/>
        <w:ind w:firstLine="643"/>
        <w:jc w:val="both"/>
        <w:rPr>
          <w:rFonts w:ascii="仿宋_GB2312" w:hAnsi="仿宋_GB2312" w:cs="Calibri"/>
          <w:bCs/>
          <w:sz w:val="32"/>
          <w:szCs w:val="32"/>
        </w:rPr>
      </w:pPr>
      <w:r>
        <w:rPr>
          <w:rFonts w:ascii="仿宋_GB2312" w:cs="Calibri" w:hint="eastAsia"/>
          <w:b/>
          <w:bCs/>
          <w:sz w:val="32"/>
          <w:szCs w:val="32"/>
        </w:rPr>
        <w:t>区域生态高地。</w:t>
      </w:r>
      <w:r>
        <w:rPr>
          <w:rFonts w:ascii="仿宋_GB2312" w:cs="Calibri" w:hint="eastAsia"/>
          <w:bCs/>
          <w:sz w:val="32"/>
          <w:szCs w:val="32"/>
        </w:rPr>
        <w:t>生态环境根本好转，丹江口库区水质稳定达标，绿色发展活力持续增强，资源能源利用集约高效，生态安全屏障更加牢固，绿色生产生活方式广泛形成，生态文明建设走在全国前列，</w:t>
      </w:r>
      <w:r>
        <w:rPr>
          <w:rFonts w:ascii="仿宋_GB2312" w:hAnsi="仿宋_GB2312" w:cs="Calibri" w:hint="eastAsia"/>
          <w:bCs/>
          <w:sz w:val="32"/>
          <w:szCs w:val="32"/>
        </w:rPr>
        <w:t>建成天蓝地绿水秀的美丽南阳。</w:t>
      </w:r>
    </w:p>
    <w:p w:rsidR="00D92198" w:rsidRDefault="00AE1128" w:rsidP="00A61652">
      <w:pPr>
        <w:pStyle w:val="ab"/>
        <w:spacing w:before="0" w:beforeAutospacing="0" w:afterLines="100" w:after="312" w:afterAutospacing="0" w:line="570" w:lineRule="exact"/>
        <w:ind w:firstLine="643"/>
        <w:jc w:val="both"/>
        <w:rPr>
          <w:rFonts w:ascii="黑体" w:hAnsi="黑体" w:cs="黑体"/>
          <w:sz w:val="32"/>
          <w:szCs w:val="32"/>
        </w:rPr>
      </w:pPr>
      <w:r>
        <w:rPr>
          <w:rFonts w:ascii="仿宋_GB2312" w:cs="Calibri" w:hint="eastAsia"/>
          <w:b/>
          <w:bCs/>
          <w:sz w:val="32"/>
          <w:szCs w:val="32"/>
        </w:rPr>
        <w:t>幸福美好家园。</w:t>
      </w:r>
      <w:r>
        <w:rPr>
          <w:rFonts w:ascii="仿宋_GB2312" w:cs="Calibri" w:hint="eastAsia"/>
          <w:bCs/>
          <w:sz w:val="32"/>
          <w:szCs w:val="32"/>
        </w:rPr>
        <w:t>市域社会治理现代化基本实现，人民平等参与、平等发展权利得到充分保障，建成更高水平的平安南阳、法治南阳；基本公共服务实现均等化，建成教育强市，城乡区域发展差距和居民生活水平差距显著缩小，城乡居民人均收入迈进全省第一方阵，居民主要健康指标优于全省平均水平，共同富裕取得实质性重大进展。</w:t>
      </w:r>
    </w:p>
    <w:p w:rsidR="00D92198" w:rsidRDefault="00AE1128" w:rsidP="00A61652">
      <w:pPr>
        <w:spacing w:afterLines="100" w:after="312" w:line="570" w:lineRule="exact"/>
        <w:jc w:val="center"/>
        <w:rPr>
          <w:rFonts w:ascii="楷体_GB2312" w:eastAsia="楷体_GB2312"/>
          <w:b/>
          <w:bCs/>
          <w:sz w:val="32"/>
          <w:szCs w:val="32"/>
        </w:rPr>
      </w:pPr>
      <w:r>
        <w:rPr>
          <w:rFonts w:ascii="楷体_GB2312" w:eastAsia="楷体_GB2312" w:hint="eastAsia"/>
          <w:b/>
          <w:bCs/>
          <w:sz w:val="32"/>
          <w:szCs w:val="32"/>
        </w:rPr>
        <w:t>第二节 “十四五”时期主要目标</w:t>
      </w:r>
    </w:p>
    <w:p w:rsidR="00D92198" w:rsidRDefault="00AE1128">
      <w:pPr>
        <w:tabs>
          <w:tab w:val="left" w:pos="312"/>
        </w:tabs>
        <w:spacing w:line="600" w:lineRule="exact"/>
        <w:ind w:firstLineChars="200" w:firstLine="640"/>
        <w:rPr>
          <w:rFonts w:ascii="仿宋_GB2312" w:eastAsia="仿宋_GB2312" w:hAnsi="Times New Roman" w:cs="Calibri"/>
          <w:bCs/>
          <w:kern w:val="0"/>
          <w:sz w:val="32"/>
          <w:szCs w:val="32"/>
        </w:rPr>
      </w:pPr>
      <w:r>
        <w:rPr>
          <w:rFonts w:ascii="仿宋_GB2312" w:eastAsia="仿宋_GB2312" w:hAnsi="Times New Roman" w:cs="Calibri" w:hint="eastAsia"/>
          <w:bCs/>
          <w:kern w:val="0"/>
          <w:sz w:val="32"/>
          <w:szCs w:val="32"/>
        </w:rPr>
        <w:t>锚定二〇三五年远景目标，综合考虑外部形势和我市发展条件，今后五年要全力打造新兴区域经济中心，主动融入新发展格局，着力提升城市规模能级，增强吸纳集聚能力和影响力竞争力，大城市建设取得重大进展，在豫南高效生态经济示范区建设中走在前列，成为联动鄂西北、陕东南、支撑中原城市群高质量发展的重要增长极。</w:t>
      </w:r>
    </w:p>
    <w:p w:rsidR="00D92198" w:rsidRDefault="00AE1128">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——经济综合实力迈上新的大台阶。</w:t>
      </w:r>
      <w:r>
        <w:rPr>
          <w:rFonts w:ascii="仿宋_GB2312" w:eastAsia="仿宋_GB2312" w:hAnsi="仿宋_GB2312" w:cs="仿宋_GB2312" w:hint="eastAsia"/>
          <w:sz w:val="32"/>
          <w:szCs w:val="32"/>
        </w:rPr>
        <w:t>在质量效益明显提升的基础上，主要经济指标年均增速高于全省平均水平，经济总量跨越</w:t>
      </w:r>
      <w:r>
        <w:rPr>
          <w:rFonts w:ascii="仿宋_GB2312" w:eastAsia="仿宋_GB2312" w:hAnsi="仿宋_GB2312" w:cs="仿宋_GB2312"/>
          <w:sz w:val="32"/>
          <w:szCs w:val="32"/>
        </w:rPr>
        <w:t>5</w:t>
      </w:r>
      <w:r>
        <w:rPr>
          <w:rFonts w:ascii="仿宋_GB2312" w:eastAsia="仿宋_GB2312" w:hAnsi="仿宋_GB2312" w:cs="仿宋_GB2312" w:hint="eastAsia"/>
          <w:sz w:val="32"/>
          <w:szCs w:val="32"/>
        </w:rPr>
        <w:t>千亿元台阶、力争接近6千亿元，稳居全省前三，财政一般公共预算收入达到300亿元，经济实力在全国地级城市排名不断前移。经济结构更加优化，“主新特”产业发展模式深入推行，产业基础高级化、产业链现代化水平明显提高，装备制造、绿色食品、</w:t>
      </w:r>
      <w:r>
        <w:rPr>
          <w:rFonts w:ascii="仿宋_GB2312" w:eastAsia="仿宋_GB2312" w:hAnsi="仿宋_GB2312" w:cs="仿宋_GB2312" w:hint="eastAsia"/>
          <w:kern w:val="0"/>
          <w:sz w:val="32"/>
          <w:szCs w:val="32"/>
        </w:rPr>
        <w:t>冶金建材</w:t>
      </w:r>
      <w:r>
        <w:rPr>
          <w:rFonts w:ascii="仿宋_GB2312" w:eastAsia="仿宋_GB2312" w:hAnsi="仿宋_GB2312" w:cs="仿宋_GB2312" w:hint="eastAsia"/>
          <w:sz w:val="32"/>
          <w:szCs w:val="32"/>
        </w:rPr>
        <w:t>等千亿级产业集群和一批百亿级园区、企业加速壮大。新型基础设施建设走在全省前列，全国性综合交通枢纽建设实现重大突破。全面深化改革和更高水平开放取得重大进展。</w:t>
      </w:r>
    </w:p>
    <w:p w:rsidR="00D92198" w:rsidRDefault="00AE1128">
      <w:pPr>
        <w:spacing w:line="600" w:lineRule="exact"/>
        <w:ind w:firstLineChars="200" w:firstLine="643"/>
        <w:rPr>
          <w:rFonts w:ascii="仿宋_GB2312" w:eastAsia="仿宋_GB2312"/>
          <w:sz w:val="36"/>
          <w:szCs w:val="36"/>
        </w:rPr>
      </w:pPr>
      <w:r>
        <w:rPr>
          <w:rFonts w:ascii="仿宋_GB2312" w:eastAsia="仿宋_GB2312" w:hint="eastAsia"/>
          <w:b/>
          <w:sz w:val="32"/>
          <w:szCs w:val="32"/>
        </w:rPr>
        <w:t>——创新驱动能力迈上新</w:t>
      </w:r>
      <w:r>
        <w:rPr>
          <w:rFonts w:ascii="仿宋_GB2312" w:eastAsia="仿宋_GB2312" w:hAnsi="仿宋_GB2312" w:cs="仿宋_GB2312" w:hint="eastAsia"/>
          <w:b/>
          <w:sz w:val="32"/>
          <w:szCs w:val="32"/>
        </w:rPr>
        <w:t>的大</w:t>
      </w:r>
      <w:r>
        <w:rPr>
          <w:rFonts w:ascii="仿宋_GB2312" w:eastAsia="仿宋_GB2312" w:hint="eastAsia"/>
          <w:b/>
          <w:sz w:val="32"/>
          <w:szCs w:val="32"/>
        </w:rPr>
        <w:t>台阶。</w:t>
      </w:r>
      <w:r>
        <w:rPr>
          <w:rFonts w:ascii="仿宋_GB2312" w:eastAsia="仿宋_GB2312" w:hAnsi="仿宋_GB2312" w:cs="仿宋_GB2312" w:hint="eastAsia"/>
          <w:sz w:val="32"/>
          <w:szCs w:val="32"/>
        </w:rPr>
        <w:t>科技进步贡献率明显提升，区域创新中心和人才强市建设取得重大进展，研发经费投入强度明显提高，高能级创新载体平台建设大幅提升，创新主体和人才活力持续激发，科研成果转化质量和效率明显提高，高新技术企业数量实现翻番，成为中部地区重要的科技成果孵化转化基地。</w:t>
      </w:r>
    </w:p>
    <w:p w:rsidR="00D92198" w:rsidRDefault="00AE1128">
      <w:pPr>
        <w:spacing w:line="600" w:lineRule="exact"/>
        <w:ind w:firstLineChars="200" w:firstLine="643"/>
        <w:rPr>
          <w:rFonts w:ascii="仿宋_GB2312" w:eastAsia="仿宋_GB2312"/>
          <w:sz w:val="32"/>
          <w:szCs w:val="32"/>
        </w:rPr>
      </w:pPr>
      <w:r>
        <w:rPr>
          <w:rFonts w:ascii="仿宋_GB2312" w:eastAsia="仿宋_GB2312" w:hint="eastAsia"/>
          <w:b/>
          <w:sz w:val="32"/>
          <w:szCs w:val="32"/>
        </w:rPr>
        <w:t>——城乡协调发展迈上新</w:t>
      </w:r>
      <w:r>
        <w:rPr>
          <w:rFonts w:ascii="仿宋_GB2312" w:eastAsia="仿宋_GB2312" w:hAnsi="仿宋_GB2312" w:cs="仿宋_GB2312" w:hint="eastAsia"/>
          <w:b/>
          <w:sz w:val="32"/>
          <w:szCs w:val="32"/>
        </w:rPr>
        <w:t>的大</w:t>
      </w:r>
      <w:r>
        <w:rPr>
          <w:rFonts w:ascii="仿宋_GB2312" w:eastAsia="仿宋_GB2312" w:hint="eastAsia"/>
          <w:b/>
          <w:sz w:val="32"/>
          <w:szCs w:val="32"/>
        </w:rPr>
        <w:t>台阶。</w:t>
      </w:r>
      <w:r>
        <w:rPr>
          <w:rFonts w:ascii="仿宋_GB2312" w:eastAsia="仿宋_GB2312" w:hAnsi="仿宋_GB2312" w:cs="仿宋_GB2312" w:hint="eastAsia"/>
          <w:sz w:val="32"/>
          <w:szCs w:val="32"/>
        </w:rPr>
        <w:t>城镇化水平显著提升，</w:t>
      </w:r>
      <w:r>
        <w:rPr>
          <w:rFonts w:ascii="仿宋_GB2312" w:eastAsia="仿宋_GB2312" w:hint="eastAsia"/>
          <w:sz w:val="32"/>
          <w:szCs w:val="32"/>
        </w:rPr>
        <w:t>现代化新城区加速崛起。中心城市布局优化、提质扩容，建设管理品质、经济首位度明显提高，</w:t>
      </w:r>
      <w:r>
        <w:rPr>
          <w:rFonts w:ascii="仿宋_GB2312" w:eastAsia="仿宋_GB2312" w:hAnsi="仿宋_GB2312" w:cs="仿宋_GB2312" w:hint="eastAsia"/>
          <w:sz w:val="32"/>
          <w:szCs w:val="32"/>
        </w:rPr>
        <w:t>中心城区建成区面积、人口向300平方公里、300万人迈进</w:t>
      </w:r>
      <w:r>
        <w:rPr>
          <w:rFonts w:ascii="仿宋_GB2312" w:eastAsia="仿宋_GB2312" w:hint="eastAsia"/>
          <w:sz w:val="32"/>
          <w:szCs w:val="32"/>
        </w:rPr>
        <w:t>。县域竞相发展，县城承载能力不断增强。城乡融合发展体制机制更加健全，乡村振兴实现</w:t>
      </w:r>
      <w:r>
        <w:rPr>
          <w:rFonts w:ascii="仿宋_GB2312" w:eastAsia="仿宋_GB2312" w:hint="eastAsia"/>
          <w:sz w:val="32"/>
          <w:szCs w:val="32"/>
        </w:rPr>
        <w:lastRenderedPageBreak/>
        <w:t>更大突破，农业农村现代化走在全国前列。</w:t>
      </w:r>
    </w:p>
    <w:p w:rsidR="00D92198" w:rsidRDefault="00AE1128">
      <w:pPr>
        <w:spacing w:line="600" w:lineRule="exact"/>
        <w:ind w:firstLineChars="200" w:firstLine="643"/>
        <w:rPr>
          <w:rFonts w:ascii="仿宋_GB2312" w:eastAsia="仿宋_GB2312"/>
          <w:sz w:val="32"/>
          <w:szCs w:val="32"/>
        </w:rPr>
      </w:pPr>
      <w:r>
        <w:rPr>
          <w:rFonts w:ascii="仿宋_GB2312" w:eastAsia="仿宋_GB2312" w:hint="eastAsia"/>
          <w:b/>
          <w:sz w:val="32"/>
          <w:szCs w:val="32"/>
        </w:rPr>
        <w:t>——生态环境质量迈上新</w:t>
      </w:r>
      <w:r>
        <w:rPr>
          <w:rFonts w:ascii="仿宋_GB2312" w:eastAsia="仿宋_GB2312" w:hAnsi="仿宋_GB2312" w:cs="仿宋_GB2312" w:hint="eastAsia"/>
          <w:b/>
          <w:sz w:val="32"/>
          <w:szCs w:val="32"/>
        </w:rPr>
        <w:t>的大</w:t>
      </w:r>
      <w:r>
        <w:rPr>
          <w:rFonts w:ascii="仿宋_GB2312" w:eastAsia="仿宋_GB2312" w:hint="eastAsia"/>
          <w:b/>
          <w:sz w:val="32"/>
          <w:szCs w:val="32"/>
        </w:rPr>
        <w:t>台阶。</w:t>
      </w:r>
      <w:r>
        <w:rPr>
          <w:rFonts w:ascii="仿宋_GB2312" w:eastAsia="仿宋_GB2312" w:hint="eastAsia"/>
          <w:sz w:val="32"/>
          <w:szCs w:val="32"/>
        </w:rPr>
        <w:t>国土空间开发保护格局更加优化，生产生活方式绿色转型成效显著，能源资源利用效率大幅提高，单位地区生产总值能耗、用水量持续下降，主要污染物排放总量持续减少，森林覆盖率持续提升，“两山两源”生态安全屏障更加牢固，天蓝地绿水秀成为常态，生态宜居南阳享誉全国。</w:t>
      </w:r>
    </w:p>
    <w:p w:rsidR="00D92198" w:rsidRDefault="00AE1128">
      <w:pPr>
        <w:spacing w:line="600" w:lineRule="exact"/>
        <w:ind w:firstLineChars="200" w:firstLine="643"/>
        <w:rPr>
          <w:rFonts w:ascii="仿宋_GB2312" w:eastAsia="仿宋_GB2312"/>
          <w:sz w:val="32"/>
          <w:szCs w:val="32"/>
        </w:rPr>
      </w:pPr>
      <w:r>
        <w:rPr>
          <w:rFonts w:ascii="仿宋_GB2312" w:eastAsia="仿宋_GB2312" w:hint="eastAsia"/>
          <w:b/>
          <w:sz w:val="32"/>
          <w:szCs w:val="32"/>
        </w:rPr>
        <w:t>——社会文明程度迈上新</w:t>
      </w:r>
      <w:r>
        <w:rPr>
          <w:rFonts w:ascii="仿宋_GB2312" w:eastAsia="仿宋_GB2312" w:hAnsi="仿宋_GB2312" w:cs="仿宋_GB2312" w:hint="eastAsia"/>
          <w:b/>
          <w:sz w:val="32"/>
          <w:szCs w:val="32"/>
        </w:rPr>
        <w:t>的大</w:t>
      </w:r>
      <w:r>
        <w:rPr>
          <w:rFonts w:ascii="仿宋_GB2312" w:eastAsia="仿宋_GB2312" w:hint="eastAsia"/>
          <w:b/>
          <w:sz w:val="32"/>
          <w:szCs w:val="32"/>
        </w:rPr>
        <w:t>台阶。</w:t>
      </w:r>
      <w:r>
        <w:rPr>
          <w:rFonts w:ascii="仿宋_GB2312" w:eastAsia="仿宋_GB2312" w:hint="eastAsia"/>
          <w:sz w:val="32"/>
          <w:szCs w:val="32"/>
        </w:rPr>
        <w:t>习近平新时代中国特色社会主义思想在南阳根深叶茂，社会主义核心价值观深入人心，文化事业和文化产业繁荣发展，文明创建成果不断巩固深化，人民精神文化生活日益丰富，优秀文化传承创新成效明显，全民科学素质整体水平显著提升，向善思进的正能量更加充盈。</w:t>
      </w:r>
    </w:p>
    <w:p w:rsidR="00D92198" w:rsidRDefault="00AE1128">
      <w:pPr>
        <w:spacing w:line="600" w:lineRule="exact"/>
        <w:ind w:firstLineChars="200" w:firstLine="643"/>
        <w:rPr>
          <w:rFonts w:ascii="仿宋_GB2312" w:eastAsia="仿宋_GB2312"/>
          <w:sz w:val="32"/>
          <w:szCs w:val="32"/>
        </w:rPr>
      </w:pPr>
      <w:r>
        <w:rPr>
          <w:rFonts w:ascii="仿宋_GB2312" w:eastAsia="仿宋_GB2312" w:hint="eastAsia"/>
          <w:b/>
          <w:sz w:val="32"/>
          <w:szCs w:val="32"/>
        </w:rPr>
        <w:t>——人民生活品质迈上新</w:t>
      </w:r>
      <w:r>
        <w:rPr>
          <w:rFonts w:ascii="仿宋_GB2312" w:eastAsia="仿宋_GB2312" w:hAnsi="仿宋_GB2312" w:cs="仿宋_GB2312" w:hint="eastAsia"/>
          <w:b/>
          <w:sz w:val="32"/>
          <w:szCs w:val="32"/>
        </w:rPr>
        <w:t>的大</w:t>
      </w:r>
      <w:r>
        <w:rPr>
          <w:rFonts w:ascii="仿宋_GB2312" w:eastAsia="仿宋_GB2312" w:hint="eastAsia"/>
          <w:b/>
          <w:sz w:val="32"/>
          <w:szCs w:val="32"/>
        </w:rPr>
        <w:t>台阶。</w:t>
      </w:r>
      <w:r>
        <w:rPr>
          <w:rFonts w:ascii="仿宋_GB2312" w:eastAsia="仿宋_GB2312" w:hint="eastAsia"/>
          <w:sz w:val="32"/>
          <w:szCs w:val="32"/>
        </w:rPr>
        <w:t>实现更加充分更高质量就业，分配结构明显改善，城乡居民生活水平差距逐步缩小，脱贫攻坚成果巩固拓展，基本公共服务均等化水平明显提高，教育质量大幅提升，卫生健康体系更加完善，城乡养老服务网络基本形成，多层次社会保障体系更加健全，民生福祉实现更大改善。</w:t>
      </w:r>
    </w:p>
    <w:p w:rsidR="00D92198" w:rsidRDefault="00AE1128">
      <w:pPr>
        <w:pStyle w:val="ab"/>
        <w:spacing w:beforeAutospacing="0" w:afterAutospacing="0"/>
        <w:ind w:firstLine="643"/>
        <w:jc w:val="both"/>
        <w:rPr>
          <w:rFonts w:ascii="仿宋_GB2312" w:hAnsi="Calibri"/>
          <w:kern w:val="2"/>
          <w:sz w:val="32"/>
          <w:szCs w:val="32"/>
        </w:rPr>
      </w:pPr>
      <w:r>
        <w:rPr>
          <w:rFonts w:ascii="仿宋_GB2312" w:hint="eastAsia"/>
          <w:b/>
          <w:kern w:val="2"/>
          <w:sz w:val="32"/>
          <w:szCs w:val="32"/>
        </w:rPr>
        <w:t>——市域社会治理迈上新</w:t>
      </w:r>
      <w:r>
        <w:rPr>
          <w:rFonts w:ascii="仿宋_GB2312" w:hAnsi="仿宋_GB2312" w:cs="仿宋_GB2312" w:hint="eastAsia"/>
          <w:b/>
          <w:sz w:val="32"/>
          <w:szCs w:val="32"/>
        </w:rPr>
        <w:t>的大</w:t>
      </w:r>
      <w:r>
        <w:rPr>
          <w:rFonts w:ascii="仿宋_GB2312" w:hint="eastAsia"/>
          <w:b/>
          <w:kern w:val="2"/>
          <w:sz w:val="32"/>
          <w:szCs w:val="32"/>
        </w:rPr>
        <w:t>台阶。</w:t>
      </w:r>
      <w:r>
        <w:rPr>
          <w:rFonts w:ascii="仿宋_GB2312" w:hAnsi="Calibri" w:hint="eastAsia"/>
          <w:kern w:val="2"/>
          <w:sz w:val="32"/>
          <w:szCs w:val="32"/>
        </w:rPr>
        <w:t>法治南阳、平安南阳建设深入推进，服务型、法治型政府加快建设，行政效率和公信力显著提升，营商环境全面优化。社会治理更加精细，基层</w:t>
      </w:r>
      <w:r>
        <w:rPr>
          <w:rFonts w:ascii="仿宋_GB2312" w:hAnsi="Calibri" w:hint="eastAsia"/>
          <w:kern w:val="2"/>
          <w:sz w:val="32"/>
          <w:szCs w:val="32"/>
        </w:rPr>
        <w:lastRenderedPageBreak/>
        <w:t>治理走在全省前列。防范化解重大风险体制机制不断健全，自然灾害防御和突发公共事件应急能力显著增强，全方位立体化公共安全网络基本形成，发展安全保障更加有力。</w:t>
      </w:r>
    </w:p>
    <w:tbl>
      <w:tblPr>
        <w:tblW w:w="8440" w:type="dxa"/>
        <w:tblInd w:w="97" w:type="dxa"/>
        <w:tblLook w:val="04A0" w:firstRow="1" w:lastRow="0" w:firstColumn="1" w:lastColumn="0" w:noHBand="0" w:noVBand="1"/>
      </w:tblPr>
      <w:tblGrid>
        <w:gridCol w:w="460"/>
        <w:gridCol w:w="7"/>
        <w:gridCol w:w="953"/>
        <w:gridCol w:w="2731"/>
        <w:gridCol w:w="992"/>
        <w:gridCol w:w="1134"/>
        <w:gridCol w:w="1276"/>
        <w:gridCol w:w="887"/>
      </w:tblGrid>
      <w:tr w:rsidR="00D92198">
        <w:trPr>
          <w:trHeight w:val="573"/>
        </w:trPr>
        <w:tc>
          <w:tcPr>
            <w:tcW w:w="8440" w:type="dxa"/>
            <w:gridSpan w:val="8"/>
            <w:tcBorders>
              <w:top w:val="single" w:sz="4" w:space="0" w:color="auto"/>
              <w:left w:val="single" w:sz="4" w:space="0" w:color="auto"/>
              <w:bottom w:val="single" w:sz="4" w:space="0" w:color="auto"/>
              <w:right w:val="single" w:sz="4" w:space="0" w:color="auto"/>
            </w:tcBorders>
            <w:shd w:val="clear" w:color="auto" w:fill="auto"/>
          </w:tcPr>
          <w:p w:rsidR="00D92198" w:rsidRDefault="00AE1128">
            <w:pPr>
              <w:widowControl/>
              <w:jc w:val="center"/>
              <w:rPr>
                <w:rFonts w:ascii="黑体" w:eastAsia="黑体" w:hAnsi="黑体" w:cs="宋体"/>
                <w:kern w:val="0"/>
                <w:sz w:val="30"/>
                <w:szCs w:val="30"/>
              </w:rPr>
            </w:pPr>
            <w:r>
              <w:rPr>
                <w:rFonts w:ascii="黑体" w:eastAsia="黑体" w:hAnsi="黑体" w:cs="宋体" w:hint="eastAsia"/>
                <w:kern w:val="0"/>
                <w:sz w:val="30"/>
                <w:szCs w:val="30"/>
              </w:rPr>
              <w:t>表2：“十四五”时期经济社会发展主要目标</w:t>
            </w:r>
          </w:p>
        </w:tc>
      </w:tr>
      <w:tr w:rsidR="00D92198">
        <w:trPr>
          <w:trHeight w:val="369"/>
        </w:trPr>
        <w:tc>
          <w:tcPr>
            <w:tcW w:w="41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t>指标</w:t>
            </w:r>
          </w:p>
        </w:tc>
        <w:tc>
          <w:tcPr>
            <w:tcW w:w="99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t>2020年</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t>2025年</w:t>
            </w:r>
          </w:p>
        </w:tc>
        <w:tc>
          <w:tcPr>
            <w:tcW w:w="1276"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黑体" w:eastAsia="黑体" w:hAnsi="黑体" w:cs="宋体"/>
                <w:w w:val="80"/>
                <w:kern w:val="0"/>
                <w:szCs w:val="21"/>
              </w:rPr>
            </w:pPr>
            <w:r>
              <w:rPr>
                <w:rFonts w:ascii="黑体" w:eastAsia="黑体" w:hAnsi="黑体" w:cs="宋体" w:hint="eastAsia"/>
                <w:w w:val="80"/>
                <w:kern w:val="0"/>
                <w:szCs w:val="21"/>
              </w:rPr>
              <w:t>年均/累计</w:t>
            </w:r>
          </w:p>
        </w:tc>
        <w:tc>
          <w:tcPr>
            <w:tcW w:w="887"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t>属性</w:t>
            </w:r>
          </w:p>
        </w:tc>
      </w:tr>
      <w:tr w:rsidR="00D92198">
        <w:trPr>
          <w:trHeight w:val="412"/>
        </w:trPr>
        <w:tc>
          <w:tcPr>
            <w:tcW w:w="844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D92198" w:rsidRDefault="00AE1128">
            <w:pPr>
              <w:widowControl/>
              <w:jc w:val="left"/>
              <w:rPr>
                <w:rFonts w:ascii="黑体" w:eastAsia="黑体" w:hAnsi="黑体" w:cs="宋体"/>
                <w:kern w:val="0"/>
                <w:sz w:val="20"/>
                <w:szCs w:val="20"/>
              </w:rPr>
            </w:pPr>
            <w:r>
              <w:rPr>
                <w:rFonts w:ascii="黑体" w:eastAsia="黑体" w:hAnsi="黑体" w:cs="宋体" w:hint="eastAsia"/>
                <w:kern w:val="0"/>
                <w:sz w:val="20"/>
                <w:szCs w:val="20"/>
              </w:rPr>
              <w:t>一、经济发展</w:t>
            </w:r>
          </w:p>
        </w:tc>
      </w:tr>
      <w:tr w:rsidR="00D92198">
        <w:trPr>
          <w:trHeight w:val="568"/>
        </w:trPr>
        <w:tc>
          <w:tcPr>
            <w:tcW w:w="460" w:type="dxa"/>
            <w:tcBorders>
              <w:top w:val="nil"/>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1</w:t>
            </w:r>
          </w:p>
        </w:tc>
        <w:tc>
          <w:tcPr>
            <w:tcW w:w="3691" w:type="dxa"/>
            <w:gridSpan w:val="3"/>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地区生产总值增长（%）</w:t>
            </w:r>
          </w:p>
        </w:tc>
        <w:tc>
          <w:tcPr>
            <w:tcW w:w="99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w w:val="90"/>
                <w:kern w:val="0"/>
                <w:sz w:val="20"/>
                <w:szCs w:val="20"/>
              </w:rPr>
            </w:pPr>
            <w:r>
              <w:rPr>
                <w:rFonts w:ascii="仿宋_GB2312" w:eastAsia="仿宋_GB2312" w:hAnsi="宋体" w:cs="宋体" w:hint="eastAsia"/>
                <w:w w:val="90"/>
                <w:kern w:val="0"/>
                <w:sz w:val="18"/>
                <w:szCs w:val="20"/>
              </w:rPr>
              <w:t>3926亿元</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1276"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7.5左右</w:t>
            </w:r>
          </w:p>
        </w:tc>
        <w:tc>
          <w:tcPr>
            <w:tcW w:w="887"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预期性</w:t>
            </w:r>
          </w:p>
        </w:tc>
      </w:tr>
      <w:tr w:rsidR="00D92198">
        <w:trPr>
          <w:trHeight w:val="580"/>
        </w:trPr>
        <w:tc>
          <w:tcPr>
            <w:tcW w:w="460" w:type="dxa"/>
            <w:tcBorders>
              <w:top w:val="nil"/>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2</w:t>
            </w:r>
          </w:p>
        </w:tc>
        <w:tc>
          <w:tcPr>
            <w:tcW w:w="3691" w:type="dxa"/>
            <w:gridSpan w:val="3"/>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全员劳动生产率增长（%）</w:t>
            </w:r>
          </w:p>
        </w:tc>
        <w:tc>
          <w:tcPr>
            <w:tcW w:w="99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1276"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&gt;5.5　</w:t>
            </w:r>
          </w:p>
        </w:tc>
        <w:tc>
          <w:tcPr>
            <w:tcW w:w="887"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预期性</w:t>
            </w:r>
          </w:p>
        </w:tc>
      </w:tr>
      <w:tr w:rsidR="00D92198">
        <w:trPr>
          <w:trHeight w:val="393"/>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3</w:t>
            </w:r>
          </w:p>
        </w:tc>
        <w:tc>
          <w:tcPr>
            <w:tcW w:w="3691" w:type="dxa"/>
            <w:gridSpan w:val="3"/>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常住人口城镇化率（%）</w:t>
            </w:r>
          </w:p>
        </w:tc>
        <w:tc>
          <w:tcPr>
            <w:tcW w:w="992" w:type="dxa"/>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50.59　</w:t>
            </w:r>
          </w:p>
        </w:tc>
        <w:tc>
          <w:tcPr>
            <w:tcW w:w="1134" w:type="dxa"/>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57　</w:t>
            </w:r>
          </w:p>
        </w:tc>
        <w:tc>
          <w:tcPr>
            <w:tcW w:w="1276" w:type="dxa"/>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887" w:type="dxa"/>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预期性　</w:t>
            </w:r>
          </w:p>
        </w:tc>
      </w:tr>
      <w:tr w:rsidR="00D92198">
        <w:trPr>
          <w:trHeight w:val="626"/>
        </w:trPr>
        <w:tc>
          <w:tcPr>
            <w:tcW w:w="460" w:type="dxa"/>
            <w:tcBorders>
              <w:top w:val="nil"/>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4</w:t>
            </w:r>
          </w:p>
        </w:tc>
        <w:tc>
          <w:tcPr>
            <w:tcW w:w="3691" w:type="dxa"/>
            <w:gridSpan w:val="3"/>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社会消费品零售总额增长（%）</w:t>
            </w:r>
          </w:p>
        </w:tc>
        <w:tc>
          <w:tcPr>
            <w:tcW w:w="99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1276"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8　</w:t>
            </w:r>
          </w:p>
        </w:tc>
        <w:tc>
          <w:tcPr>
            <w:tcW w:w="887"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预期性</w:t>
            </w:r>
          </w:p>
        </w:tc>
      </w:tr>
      <w:tr w:rsidR="00D92198">
        <w:trPr>
          <w:trHeight w:val="543"/>
        </w:trPr>
        <w:tc>
          <w:tcPr>
            <w:tcW w:w="844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D92198" w:rsidRDefault="00AE1128">
            <w:pPr>
              <w:widowControl/>
              <w:jc w:val="left"/>
              <w:rPr>
                <w:rFonts w:ascii="黑体" w:eastAsia="黑体" w:hAnsi="黑体" w:cs="宋体"/>
                <w:kern w:val="0"/>
                <w:sz w:val="20"/>
                <w:szCs w:val="20"/>
              </w:rPr>
            </w:pPr>
            <w:r>
              <w:rPr>
                <w:rFonts w:ascii="黑体" w:eastAsia="黑体" w:hAnsi="黑体" w:cs="宋体" w:hint="eastAsia"/>
                <w:kern w:val="0"/>
                <w:sz w:val="20"/>
                <w:szCs w:val="20"/>
              </w:rPr>
              <w:t>二、创新驱动</w:t>
            </w:r>
          </w:p>
        </w:tc>
      </w:tr>
      <w:tr w:rsidR="00D92198">
        <w:trPr>
          <w:trHeight w:val="421"/>
        </w:trPr>
        <w:tc>
          <w:tcPr>
            <w:tcW w:w="460" w:type="dxa"/>
            <w:tcBorders>
              <w:top w:val="nil"/>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5</w:t>
            </w:r>
          </w:p>
        </w:tc>
        <w:tc>
          <w:tcPr>
            <w:tcW w:w="3691" w:type="dxa"/>
            <w:gridSpan w:val="3"/>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研发经费投入增长（%）</w:t>
            </w:r>
          </w:p>
        </w:tc>
        <w:tc>
          <w:tcPr>
            <w:tcW w:w="99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1276"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12左右　</w:t>
            </w:r>
          </w:p>
        </w:tc>
        <w:tc>
          <w:tcPr>
            <w:tcW w:w="887" w:type="dxa"/>
            <w:tcBorders>
              <w:top w:val="nil"/>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预期性</w:t>
            </w:r>
          </w:p>
        </w:tc>
      </w:tr>
      <w:tr w:rsidR="00D92198">
        <w:trPr>
          <w:trHeight w:val="554"/>
        </w:trPr>
        <w:tc>
          <w:tcPr>
            <w:tcW w:w="460" w:type="dxa"/>
            <w:tcBorders>
              <w:top w:val="nil"/>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6</w:t>
            </w:r>
          </w:p>
        </w:tc>
        <w:tc>
          <w:tcPr>
            <w:tcW w:w="3691" w:type="dxa"/>
            <w:gridSpan w:val="3"/>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每万人口高价值发明专利拥有量（件）</w:t>
            </w:r>
          </w:p>
        </w:tc>
        <w:tc>
          <w:tcPr>
            <w:tcW w:w="99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1.6　</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2.0　</w:t>
            </w:r>
          </w:p>
        </w:tc>
        <w:tc>
          <w:tcPr>
            <w:tcW w:w="1276"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887" w:type="dxa"/>
            <w:tcBorders>
              <w:top w:val="nil"/>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预期性</w:t>
            </w:r>
          </w:p>
        </w:tc>
      </w:tr>
      <w:tr w:rsidR="00D92198">
        <w:trPr>
          <w:trHeight w:val="562"/>
        </w:trPr>
        <w:tc>
          <w:tcPr>
            <w:tcW w:w="460" w:type="dxa"/>
            <w:tcBorders>
              <w:top w:val="nil"/>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7</w:t>
            </w:r>
          </w:p>
        </w:tc>
        <w:tc>
          <w:tcPr>
            <w:tcW w:w="3691" w:type="dxa"/>
            <w:gridSpan w:val="3"/>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w w:val="90"/>
                <w:kern w:val="0"/>
                <w:sz w:val="20"/>
                <w:szCs w:val="20"/>
              </w:rPr>
            </w:pPr>
            <w:r>
              <w:rPr>
                <w:rFonts w:ascii="仿宋_GB2312" w:eastAsia="仿宋_GB2312" w:hAnsi="宋体" w:cs="宋体" w:hint="eastAsia"/>
                <w:w w:val="90"/>
                <w:kern w:val="0"/>
                <w:sz w:val="20"/>
                <w:szCs w:val="20"/>
              </w:rPr>
              <w:t>数字经济核心产业增加值占地区生产总值比重（%）</w:t>
            </w:r>
          </w:p>
        </w:tc>
        <w:tc>
          <w:tcPr>
            <w:tcW w:w="99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1276"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[ 2.0 ]　</w:t>
            </w:r>
          </w:p>
        </w:tc>
        <w:tc>
          <w:tcPr>
            <w:tcW w:w="887"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预期性</w:t>
            </w:r>
          </w:p>
        </w:tc>
      </w:tr>
      <w:tr w:rsidR="00D92198">
        <w:trPr>
          <w:trHeight w:val="540"/>
        </w:trPr>
        <w:tc>
          <w:tcPr>
            <w:tcW w:w="844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D92198" w:rsidRDefault="00AE1128">
            <w:pPr>
              <w:widowControl/>
              <w:jc w:val="left"/>
              <w:rPr>
                <w:rFonts w:ascii="黑体" w:eastAsia="黑体" w:hAnsi="黑体" w:cs="宋体"/>
                <w:kern w:val="0"/>
                <w:sz w:val="20"/>
                <w:szCs w:val="20"/>
              </w:rPr>
            </w:pPr>
            <w:r>
              <w:rPr>
                <w:rFonts w:ascii="黑体" w:eastAsia="黑体" w:hAnsi="黑体" w:cs="宋体" w:hint="eastAsia"/>
                <w:kern w:val="0"/>
                <w:sz w:val="20"/>
                <w:szCs w:val="20"/>
              </w:rPr>
              <w:t>三、民生福祉</w:t>
            </w:r>
          </w:p>
        </w:tc>
      </w:tr>
      <w:tr w:rsidR="00D92198">
        <w:trPr>
          <w:trHeight w:val="440"/>
        </w:trPr>
        <w:tc>
          <w:tcPr>
            <w:tcW w:w="460" w:type="dxa"/>
            <w:tcBorders>
              <w:top w:val="nil"/>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8</w:t>
            </w:r>
          </w:p>
        </w:tc>
        <w:tc>
          <w:tcPr>
            <w:tcW w:w="3691" w:type="dxa"/>
            <w:gridSpan w:val="3"/>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居民人均可支配收入增长</w:t>
            </w:r>
          </w:p>
        </w:tc>
        <w:tc>
          <w:tcPr>
            <w:tcW w:w="99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1276"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与经济增速基本同步　</w:t>
            </w:r>
          </w:p>
        </w:tc>
        <w:tc>
          <w:tcPr>
            <w:tcW w:w="887"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预期性　</w:t>
            </w:r>
          </w:p>
        </w:tc>
      </w:tr>
      <w:tr w:rsidR="00D92198">
        <w:trPr>
          <w:trHeight w:val="552"/>
        </w:trPr>
        <w:tc>
          <w:tcPr>
            <w:tcW w:w="460" w:type="dxa"/>
            <w:vMerge w:val="restart"/>
            <w:tcBorders>
              <w:top w:val="nil"/>
              <w:left w:val="single" w:sz="4" w:space="0" w:color="auto"/>
              <w:bottom w:val="single" w:sz="4" w:space="0" w:color="000000"/>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9</w:t>
            </w:r>
          </w:p>
        </w:tc>
        <w:tc>
          <w:tcPr>
            <w:tcW w:w="960" w:type="dxa"/>
            <w:gridSpan w:val="2"/>
            <w:vMerge w:val="restart"/>
            <w:tcBorders>
              <w:top w:val="nil"/>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城镇</w:t>
            </w:r>
          </w:p>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就业</w:t>
            </w:r>
          </w:p>
        </w:tc>
        <w:tc>
          <w:tcPr>
            <w:tcW w:w="2731" w:type="dxa"/>
            <w:tcBorders>
              <w:top w:val="nil"/>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城镇新增就业人数（万人）</w:t>
            </w:r>
          </w:p>
        </w:tc>
        <w:tc>
          <w:tcPr>
            <w:tcW w:w="99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37　</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[40]　</w:t>
            </w:r>
          </w:p>
        </w:tc>
        <w:tc>
          <w:tcPr>
            <w:tcW w:w="1276"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887"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预期性　</w:t>
            </w:r>
          </w:p>
        </w:tc>
      </w:tr>
      <w:tr w:rsidR="00D92198">
        <w:trPr>
          <w:trHeight w:val="372"/>
        </w:trPr>
        <w:tc>
          <w:tcPr>
            <w:tcW w:w="460" w:type="dxa"/>
            <w:vMerge/>
            <w:tcBorders>
              <w:top w:val="nil"/>
              <w:left w:val="single" w:sz="4" w:space="0" w:color="auto"/>
              <w:bottom w:val="single" w:sz="4" w:space="0" w:color="000000"/>
              <w:right w:val="single" w:sz="4" w:space="0" w:color="auto"/>
            </w:tcBorders>
            <w:vAlign w:val="center"/>
          </w:tcPr>
          <w:p w:rsidR="00D92198" w:rsidRDefault="00D92198">
            <w:pPr>
              <w:widowControl/>
              <w:jc w:val="left"/>
              <w:rPr>
                <w:rFonts w:ascii="仿宋_GB2312" w:eastAsia="仿宋_GB2312" w:hAnsi="宋体" w:cs="宋体"/>
                <w:kern w:val="0"/>
                <w:sz w:val="20"/>
                <w:szCs w:val="20"/>
              </w:rPr>
            </w:pPr>
          </w:p>
        </w:tc>
        <w:tc>
          <w:tcPr>
            <w:tcW w:w="960" w:type="dxa"/>
            <w:gridSpan w:val="2"/>
            <w:vMerge/>
            <w:tcBorders>
              <w:top w:val="nil"/>
              <w:left w:val="single" w:sz="4" w:space="0" w:color="auto"/>
              <w:bottom w:val="single" w:sz="4" w:space="0" w:color="auto"/>
              <w:right w:val="single" w:sz="4" w:space="0" w:color="auto"/>
            </w:tcBorders>
            <w:vAlign w:val="center"/>
          </w:tcPr>
          <w:p w:rsidR="00D92198" w:rsidRDefault="00D92198">
            <w:pPr>
              <w:widowControl/>
              <w:jc w:val="left"/>
              <w:rPr>
                <w:rFonts w:ascii="仿宋_GB2312" w:eastAsia="仿宋_GB2312" w:hAnsi="宋体" w:cs="宋体"/>
                <w:kern w:val="0"/>
                <w:sz w:val="20"/>
                <w:szCs w:val="20"/>
              </w:rPr>
            </w:pPr>
          </w:p>
        </w:tc>
        <w:tc>
          <w:tcPr>
            <w:tcW w:w="2731" w:type="dxa"/>
            <w:tcBorders>
              <w:top w:val="nil"/>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城镇调查失业率（%）</w:t>
            </w:r>
          </w:p>
        </w:tc>
        <w:tc>
          <w:tcPr>
            <w:tcW w:w="99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6.0</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1276"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&lt;5.5</w:t>
            </w:r>
          </w:p>
        </w:tc>
        <w:tc>
          <w:tcPr>
            <w:tcW w:w="887"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预期性</w:t>
            </w:r>
          </w:p>
        </w:tc>
      </w:tr>
      <w:tr w:rsidR="00D92198">
        <w:trPr>
          <w:trHeight w:val="419"/>
        </w:trPr>
        <w:tc>
          <w:tcPr>
            <w:tcW w:w="460" w:type="dxa"/>
            <w:tcBorders>
              <w:top w:val="nil"/>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10</w:t>
            </w:r>
          </w:p>
        </w:tc>
        <w:tc>
          <w:tcPr>
            <w:tcW w:w="3691" w:type="dxa"/>
            <w:gridSpan w:val="3"/>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劳动年龄人口平均受教育年限（年）</w:t>
            </w:r>
          </w:p>
        </w:tc>
        <w:tc>
          <w:tcPr>
            <w:tcW w:w="99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cs="Calibri"/>
                <w:kern w:val="0"/>
                <w:sz w:val="20"/>
                <w:szCs w:val="20"/>
              </w:rPr>
            </w:pPr>
            <w:r>
              <w:rPr>
                <w:rFonts w:ascii="仿宋_GB2312" w:eastAsia="仿宋_GB2312" w:hAnsi="宋体" w:cs="宋体" w:hint="eastAsia"/>
                <w:kern w:val="0"/>
                <w:sz w:val="20"/>
                <w:szCs w:val="20"/>
              </w:rPr>
              <w:t>11.0左右</w:t>
            </w:r>
          </w:p>
        </w:tc>
        <w:tc>
          <w:tcPr>
            <w:tcW w:w="1276"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887"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约束性　</w:t>
            </w:r>
          </w:p>
        </w:tc>
      </w:tr>
      <w:tr w:rsidR="00D92198">
        <w:trPr>
          <w:trHeight w:val="696"/>
        </w:trPr>
        <w:tc>
          <w:tcPr>
            <w:tcW w:w="460" w:type="dxa"/>
            <w:vMerge w:val="restart"/>
            <w:tcBorders>
              <w:top w:val="nil"/>
              <w:left w:val="single" w:sz="4" w:space="0" w:color="auto"/>
              <w:bottom w:val="single" w:sz="4" w:space="0" w:color="000000"/>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11</w:t>
            </w:r>
          </w:p>
        </w:tc>
        <w:tc>
          <w:tcPr>
            <w:tcW w:w="960"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每千人口卫生技术人员数</w:t>
            </w:r>
          </w:p>
        </w:tc>
        <w:tc>
          <w:tcPr>
            <w:tcW w:w="2731" w:type="dxa"/>
            <w:tcBorders>
              <w:top w:val="nil"/>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每千人口拥有执业（助理）医师数（人）</w:t>
            </w:r>
          </w:p>
        </w:tc>
        <w:tc>
          <w:tcPr>
            <w:tcW w:w="99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3.11　</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cs="Calibri"/>
                <w:kern w:val="0"/>
                <w:sz w:val="20"/>
                <w:szCs w:val="20"/>
              </w:rPr>
            </w:pPr>
            <w:r>
              <w:rPr>
                <w:rFonts w:ascii="仿宋_GB2312" w:eastAsia="仿宋_GB2312" w:hAnsi="宋体" w:cs="宋体" w:hint="eastAsia"/>
                <w:kern w:val="0"/>
                <w:sz w:val="20"/>
                <w:szCs w:val="20"/>
              </w:rPr>
              <w:t>3.6</w:t>
            </w:r>
          </w:p>
        </w:tc>
        <w:tc>
          <w:tcPr>
            <w:tcW w:w="1276"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887"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预期性</w:t>
            </w:r>
          </w:p>
        </w:tc>
      </w:tr>
      <w:tr w:rsidR="00D92198">
        <w:trPr>
          <w:trHeight w:val="552"/>
        </w:trPr>
        <w:tc>
          <w:tcPr>
            <w:tcW w:w="460" w:type="dxa"/>
            <w:vMerge/>
            <w:tcBorders>
              <w:top w:val="nil"/>
              <w:left w:val="single" w:sz="4" w:space="0" w:color="auto"/>
              <w:bottom w:val="single" w:sz="4" w:space="0" w:color="000000"/>
              <w:right w:val="single" w:sz="4" w:space="0" w:color="auto"/>
            </w:tcBorders>
            <w:vAlign w:val="center"/>
          </w:tcPr>
          <w:p w:rsidR="00D92198" w:rsidRDefault="00D92198">
            <w:pPr>
              <w:widowControl/>
              <w:jc w:val="left"/>
              <w:rPr>
                <w:rFonts w:ascii="仿宋_GB2312" w:eastAsia="仿宋_GB2312" w:hAnsi="宋体" w:cs="宋体"/>
                <w:kern w:val="0"/>
                <w:sz w:val="20"/>
                <w:szCs w:val="20"/>
              </w:rPr>
            </w:pPr>
          </w:p>
        </w:tc>
        <w:tc>
          <w:tcPr>
            <w:tcW w:w="960" w:type="dxa"/>
            <w:gridSpan w:val="2"/>
            <w:vMerge/>
            <w:tcBorders>
              <w:top w:val="nil"/>
              <w:left w:val="single" w:sz="4" w:space="0" w:color="auto"/>
              <w:bottom w:val="single" w:sz="4" w:space="0" w:color="000000"/>
              <w:right w:val="single" w:sz="4" w:space="0" w:color="auto"/>
            </w:tcBorders>
            <w:vAlign w:val="center"/>
          </w:tcPr>
          <w:p w:rsidR="00D92198" w:rsidRDefault="00D92198">
            <w:pPr>
              <w:widowControl/>
              <w:jc w:val="left"/>
              <w:rPr>
                <w:rFonts w:ascii="仿宋_GB2312" w:eastAsia="仿宋_GB2312" w:hAnsi="宋体" w:cs="宋体"/>
                <w:kern w:val="0"/>
                <w:sz w:val="20"/>
                <w:szCs w:val="20"/>
              </w:rPr>
            </w:pPr>
          </w:p>
        </w:tc>
        <w:tc>
          <w:tcPr>
            <w:tcW w:w="2731" w:type="dxa"/>
            <w:tcBorders>
              <w:top w:val="nil"/>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每千人口注册护士数（人）</w:t>
            </w:r>
          </w:p>
        </w:tc>
        <w:tc>
          <w:tcPr>
            <w:tcW w:w="99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3.42　</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3.8　</w:t>
            </w:r>
          </w:p>
        </w:tc>
        <w:tc>
          <w:tcPr>
            <w:tcW w:w="1276"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887"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预期性</w:t>
            </w:r>
          </w:p>
        </w:tc>
      </w:tr>
      <w:tr w:rsidR="00D92198">
        <w:trPr>
          <w:trHeight w:val="635"/>
        </w:trPr>
        <w:tc>
          <w:tcPr>
            <w:tcW w:w="460" w:type="dxa"/>
            <w:tcBorders>
              <w:top w:val="nil"/>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12</w:t>
            </w:r>
          </w:p>
        </w:tc>
        <w:tc>
          <w:tcPr>
            <w:tcW w:w="3691" w:type="dxa"/>
            <w:gridSpan w:val="3"/>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基本养老保险参保率（%）</w:t>
            </w:r>
          </w:p>
        </w:tc>
        <w:tc>
          <w:tcPr>
            <w:tcW w:w="99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95.7　</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98　</w:t>
            </w:r>
          </w:p>
        </w:tc>
        <w:tc>
          <w:tcPr>
            <w:tcW w:w="1276"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887"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预期性</w:t>
            </w:r>
          </w:p>
        </w:tc>
      </w:tr>
      <w:tr w:rsidR="00D92198">
        <w:trPr>
          <w:trHeight w:val="789"/>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lastRenderedPageBreak/>
              <w:t>13</w:t>
            </w:r>
          </w:p>
        </w:tc>
        <w:tc>
          <w:tcPr>
            <w:tcW w:w="3691" w:type="dxa"/>
            <w:gridSpan w:val="3"/>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每千人口拥有3岁以下婴幼儿托位数（个）</w:t>
            </w:r>
          </w:p>
        </w:tc>
        <w:tc>
          <w:tcPr>
            <w:tcW w:w="992" w:type="dxa"/>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1.13</w:t>
            </w:r>
          </w:p>
        </w:tc>
        <w:tc>
          <w:tcPr>
            <w:tcW w:w="1134" w:type="dxa"/>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4.0　</w:t>
            </w:r>
          </w:p>
        </w:tc>
        <w:tc>
          <w:tcPr>
            <w:tcW w:w="1276" w:type="dxa"/>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887" w:type="dxa"/>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预期性</w:t>
            </w:r>
          </w:p>
        </w:tc>
      </w:tr>
      <w:tr w:rsidR="00D92198">
        <w:trPr>
          <w:trHeight w:val="571"/>
        </w:trPr>
        <w:tc>
          <w:tcPr>
            <w:tcW w:w="460" w:type="dxa"/>
            <w:tcBorders>
              <w:top w:val="nil"/>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14</w:t>
            </w:r>
          </w:p>
        </w:tc>
        <w:tc>
          <w:tcPr>
            <w:tcW w:w="3691" w:type="dxa"/>
            <w:gridSpan w:val="3"/>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人均预期寿命（岁）</w:t>
            </w:r>
          </w:p>
        </w:tc>
        <w:tc>
          <w:tcPr>
            <w:tcW w:w="99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1276"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[1.0]　</w:t>
            </w:r>
          </w:p>
        </w:tc>
        <w:tc>
          <w:tcPr>
            <w:tcW w:w="887"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预期性</w:t>
            </w:r>
          </w:p>
        </w:tc>
      </w:tr>
      <w:tr w:rsidR="00D92198">
        <w:trPr>
          <w:trHeight w:val="549"/>
        </w:trPr>
        <w:tc>
          <w:tcPr>
            <w:tcW w:w="844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D92198" w:rsidRDefault="00AE1128">
            <w:pPr>
              <w:widowControl/>
              <w:jc w:val="left"/>
              <w:rPr>
                <w:rFonts w:ascii="黑体" w:eastAsia="黑体" w:hAnsi="黑体" w:cs="宋体"/>
                <w:kern w:val="0"/>
                <w:sz w:val="20"/>
                <w:szCs w:val="20"/>
              </w:rPr>
            </w:pPr>
            <w:r>
              <w:rPr>
                <w:rFonts w:ascii="黑体" w:eastAsia="黑体" w:hAnsi="黑体" w:cs="宋体" w:hint="eastAsia"/>
                <w:kern w:val="0"/>
                <w:sz w:val="20"/>
                <w:szCs w:val="20"/>
              </w:rPr>
              <w:t>四、绿色生态</w:t>
            </w:r>
          </w:p>
        </w:tc>
      </w:tr>
      <w:tr w:rsidR="00D92198">
        <w:trPr>
          <w:trHeight w:val="825"/>
        </w:trPr>
        <w:tc>
          <w:tcPr>
            <w:tcW w:w="460" w:type="dxa"/>
            <w:tcBorders>
              <w:top w:val="nil"/>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15</w:t>
            </w:r>
          </w:p>
        </w:tc>
        <w:tc>
          <w:tcPr>
            <w:tcW w:w="3691" w:type="dxa"/>
            <w:gridSpan w:val="3"/>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单位地区生产总值能源消耗降低（%）</w:t>
            </w:r>
          </w:p>
        </w:tc>
        <w:tc>
          <w:tcPr>
            <w:tcW w:w="99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1276"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18"/>
                <w:szCs w:val="20"/>
              </w:rPr>
            </w:pPr>
            <w:r>
              <w:rPr>
                <w:rFonts w:ascii="仿宋_GB2312" w:eastAsia="仿宋_GB2312" w:hAnsi="宋体" w:cs="宋体" w:hint="eastAsia"/>
                <w:kern w:val="0"/>
                <w:sz w:val="18"/>
                <w:szCs w:val="20"/>
              </w:rPr>
              <w:t>按省</w:t>
            </w:r>
            <w:r>
              <w:rPr>
                <w:rFonts w:ascii="仿宋_GB2312" w:eastAsia="仿宋_GB2312" w:hAnsi="宋体" w:cs="宋体" w:hint="eastAsia"/>
                <w:kern w:val="0"/>
                <w:sz w:val="18"/>
                <w:szCs w:val="20"/>
              </w:rPr>
              <w:br/>
              <w:t xml:space="preserve">下达目标　</w:t>
            </w:r>
          </w:p>
        </w:tc>
        <w:tc>
          <w:tcPr>
            <w:tcW w:w="887"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约束性</w:t>
            </w:r>
          </w:p>
        </w:tc>
      </w:tr>
      <w:tr w:rsidR="00D92198">
        <w:trPr>
          <w:trHeight w:val="552"/>
        </w:trPr>
        <w:tc>
          <w:tcPr>
            <w:tcW w:w="460" w:type="dxa"/>
            <w:tcBorders>
              <w:top w:val="nil"/>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16</w:t>
            </w:r>
          </w:p>
        </w:tc>
        <w:tc>
          <w:tcPr>
            <w:tcW w:w="3691" w:type="dxa"/>
            <w:gridSpan w:val="3"/>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单位地区生产总值二氧化碳排放降低（%）</w:t>
            </w:r>
          </w:p>
        </w:tc>
        <w:tc>
          <w:tcPr>
            <w:tcW w:w="99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w:t>
            </w:r>
          </w:p>
        </w:tc>
        <w:tc>
          <w:tcPr>
            <w:tcW w:w="1276"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18"/>
                <w:szCs w:val="20"/>
              </w:rPr>
            </w:pPr>
            <w:r>
              <w:rPr>
                <w:rFonts w:ascii="仿宋_GB2312" w:eastAsia="仿宋_GB2312" w:hAnsi="宋体" w:cs="宋体" w:hint="eastAsia"/>
                <w:kern w:val="0"/>
                <w:sz w:val="18"/>
                <w:szCs w:val="20"/>
              </w:rPr>
              <w:t>按省</w:t>
            </w:r>
            <w:r>
              <w:rPr>
                <w:rFonts w:ascii="仿宋_GB2312" w:eastAsia="仿宋_GB2312" w:hAnsi="宋体" w:cs="宋体" w:hint="eastAsia"/>
                <w:kern w:val="0"/>
                <w:sz w:val="18"/>
                <w:szCs w:val="20"/>
              </w:rPr>
              <w:br/>
              <w:t xml:space="preserve">下达目标　</w:t>
            </w:r>
          </w:p>
        </w:tc>
        <w:tc>
          <w:tcPr>
            <w:tcW w:w="887"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约束性</w:t>
            </w:r>
          </w:p>
        </w:tc>
      </w:tr>
      <w:tr w:rsidR="00D92198">
        <w:trPr>
          <w:trHeight w:val="552"/>
        </w:trPr>
        <w:tc>
          <w:tcPr>
            <w:tcW w:w="460" w:type="dxa"/>
            <w:tcBorders>
              <w:top w:val="nil"/>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17</w:t>
            </w:r>
          </w:p>
        </w:tc>
        <w:tc>
          <w:tcPr>
            <w:tcW w:w="3691" w:type="dxa"/>
            <w:gridSpan w:val="3"/>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城市空气质量优良天数比率（%）</w:t>
            </w:r>
          </w:p>
        </w:tc>
        <w:tc>
          <w:tcPr>
            <w:tcW w:w="99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70</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18"/>
                <w:szCs w:val="20"/>
              </w:rPr>
              <w:t>按省</w:t>
            </w:r>
            <w:r>
              <w:rPr>
                <w:rFonts w:ascii="仿宋_GB2312" w:eastAsia="仿宋_GB2312" w:hAnsi="宋体" w:cs="宋体" w:hint="eastAsia"/>
                <w:kern w:val="0"/>
                <w:sz w:val="18"/>
                <w:szCs w:val="20"/>
              </w:rPr>
              <w:br/>
              <w:t>下达目标</w:t>
            </w:r>
          </w:p>
        </w:tc>
        <w:tc>
          <w:tcPr>
            <w:tcW w:w="1276"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18"/>
                <w:szCs w:val="20"/>
              </w:rPr>
            </w:pPr>
            <w:r>
              <w:rPr>
                <w:rFonts w:ascii="仿宋_GB2312" w:eastAsia="仿宋_GB2312" w:hAnsi="宋体" w:cs="宋体" w:hint="eastAsia"/>
                <w:kern w:val="0"/>
                <w:sz w:val="20"/>
                <w:szCs w:val="20"/>
              </w:rPr>
              <w:t>—</w:t>
            </w:r>
            <w:r>
              <w:rPr>
                <w:rFonts w:ascii="仿宋_GB2312" w:eastAsia="仿宋_GB2312" w:hAnsi="宋体" w:cs="宋体" w:hint="eastAsia"/>
                <w:kern w:val="0"/>
                <w:sz w:val="18"/>
                <w:szCs w:val="20"/>
              </w:rPr>
              <w:t xml:space="preserve">　</w:t>
            </w:r>
          </w:p>
        </w:tc>
        <w:tc>
          <w:tcPr>
            <w:tcW w:w="887"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约束性</w:t>
            </w:r>
          </w:p>
        </w:tc>
      </w:tr>
      <w:tr w:rsidR="00D92198">
        <w:trPr>
          <w:trHeight w:val="753"/>
        </w:trPr>
        <w:tc>
          <w:tcPr>
            <w:tcW w:w="460" w:type="dxa"/>
            <w:tcBorders>
              <w:top w:val="nil"/>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18</w:t>
            </w:r>
          </w:p>
        </w:tc>
        <w:tc>
          <w:tcPr>
            <w:tcW w:w="3691" w:type="dxa"/>
            <w:gridSpan w:val="3"/>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地表水达到或好于Ⅲ类水体比例（%）</w:t>
            </w:r>
          </w:p>
        </w:tc>
        <w:tc>
          <w:tcPr>
            <w:tcW w:w="99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18"/>
                <w:szCs w:val="20"/>
              </w:rPr>
              <w:t>按省</w:t>
            </w:r>
            <w:r>
              <w:rPr>
                <w:rFonts w:ascii="仿宋_GB2312" w:eastAsia="仿宋_GB2312" w:hAnsi="宋体" w:cs="宋体" w:hint="eastAsia"/>
                <w:kern w:val="0"/>
                <w:sz w:val="18"/>
                <w:szCs w:val="20"/>
              </w:rPr>
              <w:br/>
              <w:t>下达目标</w:t>
            </w:r>
          </w:p>
        </w:tc>
        <w:tc>
          <w:tcPr>
            <w:tcW w:w="1276"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b/>
                <w:kern w:val="0"/>
                <w:sz w:val="18"/>
                <w:szCs w:val="20"/>
              </w:rPr>
            </w:pPr>
            <w:r>
              <w:rPr>
                <w:rFonts w:ascii="仿宋_GB2312" w:eastAsia="仿宋_GB2312" w:hAnsi="宋体" w:cs="宋体" w:hint="eastAsia"/>
                <w:kern w:val="0"/>
                <w:sz w:val="20"/>
                <w:szCs w:val="20"/>
              </w:rPr>
              <w:t>—</w:t>
            </w:r>
            <w:r>
              <w:rPr>
                <w:rFonts w:ascii="仿宋_GB2312" w:eastAsia="仿宋_GB2312" w:hAnsi="宋体" w:cs="宋体" w:hint="eastAsia"/>
                <w:b/>
                <w:kern w:val="0"/>
                <w:sz w:val="18"/>
                <w:szCs w:val="20"/>
              </w:rPr>
              <w:t xml:space="preserve">　</w:t>
            </w:r>
          </w:p>
        </w:tc>
        <w:tc>
          <w:tcPr>
            <w:tcW w:w="887"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约束性</w:t>
            </w:r>
          </w:p>
        </w:tc>
      </w:tr>
      <w:tr w:rsidR="00D92198">
        <w:trPr>
          <w:trHeight w:val="835"/>
        </w:trPr>
        <w:tc>
          <w:tcPr>
            <w:tcW w:w="460" w:type="dxa"/>
            <w:tcBorders>
              <w:top w:val="nil"/>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19</w:t>
            </w:r>
          </w:p>
        </w:tc>
        <w:tc>
          <w:tcPr>
            <w:tcW w:w="3691" w:type="dxa"/>
            <w:gridSpan w:val="3"/>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森林覆盖率（%）</w:t>
            </w:r>
          </w:p>
        </w:tc>
        <w:tc>
          <w:tcPr>
            <w:tcW w:w="99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40.5</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按省</w:t>
            </w:r>
          </w:p>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下达目标　</w:t>
            </w:r>
          </w:p>
        </w:tc>
        <w:tc>
          <w:tcPr>
            <w:tcW w:w="1276"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887"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约束性</w:t>
            </w:r>
          </w:p>
        </w:tc>
      </w:tr>
      <w:tr w:rsidR="00D92198">
        <w:trPr>
          <w:trHeight w:val="552"/>
        </w:trPr>
        <w:tc>
          <w:tcPr>
            <w:tcW w:w="844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D92198" w:rsidRDefault="00AE1128">
            <w:pPr>
              <w:widowControl/>
              <w:jc w:val="left"/>
              <w:rPr>
                <w:rFonts w:ascii="黑体" w:eastAsia="黑体" w:hAnsi="黑体" w:cs="宋体"/>
                <w:kern w:val="0"/>
                <w:sz w:val="20"/>
                <w:szCs w:val="20"/>
              </w:rPr>
            </w:pPr>
            <w:r>
              <w:rPr>
                <w:rFonts w:ascii="黑体" w:eastAsia="黑体" w:hAnsi="黑体" w:cs="宋体" w:hint="eastAsia"/>
                <w:kern w:val="0"/>
                <w:sz w:val="20"/>
                <w:szCs w:val="20"/>
              </w:rPr>
              <w:t>五、安全保障</w:t>
            </w:r>
          </w:p>
        </w:tc>
      </w:tr>
      <w:tr w:rsidR="00D92198">
        <w:trPr>
          <w:trHeight w:val="490"/>
        </w:trPr>
        <w:tc>
          <w:tcPr>
            <w:tcW w:w="460" w:type="dxa"/>
            <w:tcBorders>
              <w:top w:val="nil"/>
              <w:left w:val="single" w:sz="4" w:space="0" w:color="auto"/>
              <w:bottom w:val="single" w:sz="4" w:space="0" w:color="auto"/>
              <w:right w:val="single" w:sz="4" w:space="0" w:color="auto"/>
            </w:tcBorders>
            <w:shd w:val="clear" w:color="auto" w:fill="auto"/>
            <w:vAlign w:val="center"/>
          </w:tcPr>
          <w:p w:rsidR="00D92198" w:rsidRDefault="00AE1128">
            <w:pPr>
              <w:widowControl/>
              <w:jc w:val="right"/>
              <w:rPr>
                <w:rFonts w:ascii="仿宋_GB2312" w:eastAsia="仿宋_GB2312" w:hAnsi="宋体" w:cs="宋体"/>
                <w:kern w:val="0"/>
                <w:sz w:val="20"/>
                <w:szCs w:val="20"/>
              </w:rPr>
            </w:pPr>
            <w:r>
              <w:rPr>
                <w:rFonts w:ascii="仿宋_GB2312" w:eastAsia="仿宋_GB2312" w:hAnsi="宋体" w:cs="宋体" w:hint="eastAsia"/>
                <w:kern w:val="0"/>
                <w:sz w:val="20"/>
                <w:szCs w:val="20"/>
              </w:rPr>
              <w:t>20</w:t>
            </w:r>
          </w:p>
        </w:tc>
        <w:tc>
          <w:tcPr>
            <w:tcW w:w="3691" w:type="dxa"/>
            <w:gridSpan w:val="3"/>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粮食综合生产能力（万吨）</w:t>
            </w:r>
          </w:p>
        </w:tc>
        <w:tc>
          <w:tcPr>
            <w:tcW w:w="992" w:type="dxa"/>
            <w:tcBorders>
              <w:top w:val="nil"/>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kern w:val="0"/>
                <w:sz w:val="20"/>
                <w:szCs w:val="20"/>
              </w:rPr>
              <w:t>715</w:t>
            </w:r>
            <w:r>
              <w:rPr>
                <w:rFonts w:ascii="仿宋_GB2312" w:eastAsia="仿宋_GB2312" w:hAnsi="宋体" w:cs="宋体" w:hint="eastAsia"/>
                <w:kern w:val="0"/>
                <w:sz w:val="20"/>
                <w:szCs w:val="20"/>
              </w:rPr>
              <w:t xml:space="preserve">　</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cs="Calibri"/>
                <w:kern w:val="0"/>
                <w:sz w:val="20"/>
                <w:szCs w:val="20"/>
              </w:rPr>
            </w:pPr>
            <w:r>
              <w:rPr>
                <w:rFonts w:ascii="仿宋_GB2312" w:eastAsia="仿宋_GB2312" w:hAnsi="宋体" w:cs="宋体" w:hint="eastAsia"/>
                <w:kern w:val="0"/>
                <w:sz w:val="20"/>
                <w:szCs w:val="20"/>
              </w:rPr>
              <w:t>&gt;</w:t>
            </w:r>
            <w:r>
              <w:rPr>
                <w:rFonts w:ascii="仿宋_GB2312" w:eastAsia="仿宋_GB2312" w:hAnsi="宋体" w:cs="宋体"/>
                <w:kern w:val="0"/>
                <w:sz w:val="20"/>
                <w:szCs w:val="20"/>
              </w:rPr>
              <w:t>650</w:t>
            </w:r>
            <w:r>
              <w:rPr>
                <w:rFonts w:cs="Calibri"/>
                <w:kern w:val="0"/>
                <w:sz w:val="20"/>
                <w:szCs w:val="20"/>
              </w:rPr>
              <w:t xml:space="preserve"> </w:t>
            </w:r>
          </w:p>
        </w:tc>
        <w:tc>
          <w:tcPr>
            <w:tcW w:w="1276"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cs="Calibri"/>
                <w:kern w:val="0"/>
                <w:sz w:val="20"/>
                <w:szCs w:val="20"/>
              </w:rPr>
            </w:pPr>
            <w:r>
              <w:rPr>
                <w:rFonts w:ascii="仿宋_GB2312" w:eastAsia="仿宋_GB2312" w:hAnsi="宋体" w:cs="宋体" w:hint="eastAsia"/>
                <w:kern w:val="0"/>
                <w:sz w:val="20"/>
                <w:szCs w:val="20"/>
              </w:rPr>
              <w:t>—</w:t>
            </w:r>
          </w:p>
        </w:tc>
        <w:tc>
          <w:tcPr>
            <w:tcW w:w="887"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约束性</w:t>
            </w:r>
          </w:p>
        </w:tc>
      </w:tr>
      <w:tr w:rsidR="00D92198">
        <w:trPr>
          <w:trHeight w:val="660"/>
        </w:trPr>
        <w:tc>
          <w:tcPr>
            <w:tcW w:w="4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2</w:t>
            </w:r>
            <w:r>
              <w:rPr>
                <w:rFonts w:ascii="仿宋_GB2312" w:eastAsia="仿宋_GB2312" w:hAnsi="宋体" w:cs="宋体"/>
                <w:kern w:val="0"/>
                <w:sz w:val="20"/>
                <w:szCs w:val="20"/>
              </w:rPr>
              <w:t>1</w:t>
            </w:r>
          </w:p>
        </w:tc>
        <w:tc>
          <w:tcPr>
            <w:tcW w:w="36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能源综合生产能力（万吨标准煤）</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220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highlight w:val="yellow"/>
              </w:rPr>
            </w:pPr>
            <w:r>
              <w:rPr>
                <w:rFonts w:ascii="仿宋_GB2312" w:eastAsia="仿宋_GB2312" w:hAnsi="宋体" w:cs="宋体" w:hint="eastAsia"/>
                <w:kern w:val="0"/>
                <w:sz w:val="20"/>
                <w:szCs w:val="20"/>
              </w:rPr>
              <w:t>&gt;220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 w:val="20"/>
                <w:szCs w:val="20"/>
                <w:highlight w:val="yellow"/>
              </w:rPr>
            </w:pPr>
            <w:r>
              <w:rPr>
                <w:rFonts w:ascii="仿宋_GB2312" w:eastAsia="仿宋_GB2312" w:hAnsi="宋体" w:cs="宋体" w:hint="eastAsia"/>
                <w:kern w:val="0"/>
                <w:sz w:val="20"/>
                <w:szCs w:val="20"/>
              </w:rPr>
              <w:t>—</w:t>
            </w: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 w:val="20"/>
                <w:szCs w:val="20"/>
                <w:highlight w:val="yellow"/>
              </w:rPr>
            </w:pPr>
            <w:r>
              <w:rPr>
                <w:rFonts w:ascii="仿宋_GB2312" w:eastAsia="仿宋_GB2312" w:hAnsi="宋体" w:cs="宋体" w:hint="eastAsia"/>
                <w:kern w:val="0"/>
                <w:sz w:val="20"/>
                <w:szCs w:val="20"/>
              </w:rPr>
              <w:t>约束性</w:t>
            </w:r>
          </w:p>
        </w:tc>
      </w:tr>
      <w:tr w:rsidR="00D92198">
        <w:trPr>
          <w:trHeight w:val="415"/>
        </w:trPr>
        <w:tc>
          <w:tcPr>
            <w:tcW w:w="844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注：1</w:t>
            </w:r>
            <w:r>
              <w:rPr>
                <w:rFonts w:ascii="仿宋_GB2312" w:eastAsia="仿宋_GB2312" w:hAnsi="宋体" w:cs="宋体"/>
                <w:kern w:val="0"/>
                <w:sz w:val="20"/>
                <w:szCs w:val="20"/>
              </w:rPr>
              <w:t>.2020</w:t>
            </w:r>
            <w:r>
              <w:rPr>
                <w:rFonts w:ascii="仿宋_GB2312" w:eastAsia="仿宋_GB2312" w:hAnsi="宋体" w:cs="宋体" w:hint="eastAsia"/>
                <w:kern w:val="0"/>
                <w:sz w:val="20"/>
                <w:szCs w:val="20"/>
              </w:rPr>
              <w:t>年基数为初步预计数；2</w:t>
            </w:r>
            <w:r>
              <w:rPr>
                <w:rFonts w:ascii="仿宋_GB2312" w:eastAsia="仿宋_GB2312" w:hAnsi="宋体" w:cs="宋体"/>
                <w:kern w:val="0"/>
                <w:sz w:val="20"/>
                <w:szCs w:val="20"/>
              </w:rPr>
              <w:t>.</w:t>
            </w:r>
            <w:r>
              <w:rPr>
                <w:rFonts w:ascii="仿宋_GB2312" w:eastAsia="仿宋_GB2312" w:hAnsi="宋体" w:cs="宋体" w:hint="eastAsia"/>
                <w:kern w:val="0"/>
                <w:sz w:val="20"/>
                <w:szCs w:val="20"/>
              </w:rPr>
              <w:t>[]内数据为五年规划期累计数。3</w:t>
            </w:r>
            <w:r>
              <w:rPr>
                <w:rFonts w:ascii="仿宋_GB2312" w:eastAsia="仿宋_GB2312" w:hAnsi="宋体" w:cs="宋体"/>
                <w:kern w:val="0"/>
                <w:sz w:val="20"/>
                <w:szCs w:val="20"/>
              </w:rPr>
              <w:t>.</w:t>
            </w:r>
            <w:r>
              <w:rPr>
                <w:rFonts w:ascii="仿宋_GB2312" w:eastAsia="仿宋_GB2312" w:hAnsi="宋体" w:cs="宋体" w:hint="eastAsia"/>
                <w:kern w:val="0"/>
                <w:sz w:val="20"/>
                <w:szCs w:val="20"/>
              </w:rPr>
              <w:t>能源综合生产能力指煤炭、石油、天然气、非化石能源生产能力之和。</w:t>
            </w:r>
          </w:p>
        </w:tc>
      </w:tr>
    </w:tbl>
    <w:p w:rsidR="00D92198" w:rsidRDefault="00D92198" w:rsidP="00A61652">
      <w:pPr>
        <w:pStyle w:val="a5"/>
        <w:spacing w:afterLines="50" w:after="156" w:line="600" w:lineRule="exact"/>
        <w:jc w:val="center"/>
        <w:rPr>
          <w:rFonts w:ascii="方正小标宋简体" w:eastAsia="方正小标宋简体" w:hAnsi="黑体" w:cs="黑体"/>
          <w:sz w:val="32"/>
          <w:szCs w:val="32"/>
        </w:rPr>
      </w:pPr>
    </w:p>
    <w:p w:rsidR="00D92198" w:rsidRDefault="00AE1128" w:rsidP="00A61652">
      <w:pPr>
        <w:pStyle w:val="a5"/>
        <w:spacing w:afterLines="100" w:after="312" w:line="600" w:lineRule="exact"/>
        <w:jc w:val="center"/>
        <w:rPr>
          <w:rFonts w:ascii="方正小标宋简体" w:eastAsia="方正小标宋简体" w:hAnsi="黑体" w:cs="黑体"/>
          <w:sz w:val="32"/>
          <w:szCs w:val="32"/>
        </w:rPr>
      </w:pPr>
      <w:r>
        <w:rPr>
          <w:rFonts w:ascii="方正小标宋简体" w:eastAsia="方正小标宋简体" w:hAnsi="黑体" w:cs="黑体" w:hint="eastAsia"/>
          <w:sz w:val="32"/>
          <w:szCs w:val="32"/>
        </w:rPr>
        <w:t>第二篇  坚持创新驱动发展，建设区域创新高地</w:t>
      </w:r>
    </w:p>
    <w:p w:rsidR="00D92198" w:rsidRDefault="00AE1128" w:rsidP="00A61652">
      <w:pPr>
        <w:spacing w:afterLines="100" w:after="312" w:line="600" w:lineRule="exact"/>
        <w:ind w:firstLine="600"/>
        <w:rPr>
          <w:rFonts w:ascii="仿宋_GB2312" w:eastAsia="仿宋_GB2312" w:hAnsi="仿宋" w:cs="仿宋"/>
          <w:spacing w:val="-6"/>
          <w:kern w:val="0"/>
          <w:sz w:val="32"/>
          <w:szCs w:val="32"/>
        </w:rPr>
      </w:pPr>
      <w:bookmarkStart w:id="0" w:name="_Hlk58928608"/>
      <w:r>
        <w:rPr>
          <w:rFonts w:ascii="仿宋_GB2312" w:eastAsia="仿宋_GB2312" w:hAnsi="仿宋" w:cs="仿宋" w:hint="eastAsia"/>
          <w:spacing w:val="-6"/>
          <w:kern w:val="0"/>
          <w:sz w:val="32"/>
          <w:szCs w:val="32"/>
        </w:rPr>
        <w:t>坚持创新在现代化建设全局中的核心地位，把科技创新作为全市发展的战略支撑，</w:t>
      </w:r>
      <w:bookmarkEnd w:id="0"/>
      <w:r>
        <w:rPr>
          <w:rFonts w:ascii="仿宋_GB2312" w:eastAsia="仿宋_GB2312" w:hAnsi="仿宋" w:cs="仿宋" w:hint="eastAsia"/>
          <w:spacing w:val="-6"/>
          <w:kern w:val="0"/>
          <w:sz w:val="32"/>
          <w:szCs w:val="32"/>
        </w:rPr>
        <w:t>深入实施科教兴宛、人才强市、创新驱动发展战略，围绕产业链布局创新链，完善创新体系，优化创新生态，提升创新能力，激发全社会创新创业活力，全面塑造发展新优势，建设高水平国家创新型城市。</w:t>
      </w:r>
    </w:p>
    <w:p w:rsidR="00D92198" w:rsidRDefault="00AE1128" w:rsidP="00A61652">
      <w:pPr>
        <w:pStyle w:val="2"/>
        <w:spacing w:afterLines="100" w:after="312"/>
        <w:ind w:firstLineChars="0" w:firstLine="0"/>
        <w:jc w:val="center"/>
        <w:rPr>
          <w:rFonts w:ascii="黑体" w:hAnsi="黑体" w:cs="宋体"/>
          <w:bCs/>
        </w:rPr>
      </w:pPr>
      <w:bookmarkStart w:id="1" w:name="_Toc27387658"/>
      <w:r>
        <w:rPr>
          <w:rFonts w:ascii="黑体" w:hAnsi="黑体" w:hint="eastAsia"/>
          <w:bCs/>
        </w:rPr>
        <w:lastRenderedPageBreak/>
        <w:t>第四章  培育产业创新主体</w:t>
      </w:r>
      <w:bookmarkEnd w:id="1"/>
    </w:p>
    <w:p w:rsidR="00D92198" w:rsidRDefault="00AE1128" w:rsidP="00A61652">
      <w:pPr>
        <w:spacing w:afterLines="100" w:after="312" w:line="600" w:lineRule="exact"/>
        <w:ind w:firstLine="600"/>
        <w:rPr>
          <w:rFonts w:ascii="仿宋_GB2312" w:eastAsia="仿宋_GB2312" w:hAnsi="仿宋" w:cs="仿宋"/>
          <w:spacing w:val="-6"/>
          <w:kern w:val="0"/>
          <w:sz w:val="32"/>
          <w:szCs w:val="32"/>
        </w:rPr>
      </w:pPr>
      <w:r>
        <w:rPr>
          <w:rFonts w:ascii="仿宋_GB2312" w:eastAsia="仿宋_GB2312" w:hAnsi="仿宋" w:cs="仿宋" w:hint="eastAsia"/>
          <w:spacing w:val="-6"/>
          <w:kern w:val="0"/>
          <w:sz w:val="32"/>
          <w:szCs w:val="32"/>
        </w:rPr>
        <w:t>充分发挥企业在技术创新中的主体地位，深化科技体制改革，建立以企业为主体、市场为导向、产学研深度融合的技术创新体系。</w:t>
      </w:r>
    </w:p>
    <w:p w:rsidR="00D92198" w:rsidRDefault="00AE1128" w:rsidP="00A61652">
      <w:pPr>
        <w:pStyle w:val="2"/>
        <w:spacing w:afterLines="100" w:after="312"/>
        <w:ind w:firstLineChars="0" w:firstLine="0"/>
        <w:jc w:val="center"/>
        <w:rPr>
          <w:rFonts w:ascii="楷体_GB2312" w:eastAsia="楷体_GB2312" w:hAnsi="仿宋" w:cs="仿宋"/>
          <w:b/>
          <w:szCs w:val="32"/>
        </w:rPr>
      </w:pPr>
      <w:r>
        <w:rPr>
          <w:rFonts w:ascii="楷体_GB2312" w:eastAsia="楷体_GB2312" w:hAnsi="仿宋" w:cs="仿宋" w:hint="eastAsia"/>
          <w:b/>
          <w:szCs w:val="32"/>
        </w:rPr>
        <w:t>第一节  扶持创新型企业发展壮大</w:t>
      </w:r>
    </w:p>
    <w:p w:rsidR="00D92198" w:rsidRDefault="00AE1128" w:rsidP="00A61652">
      <w:pPr>
        <w:spacing w:afterLines="100" w:after="312" w:line="600" w:lineRule="exact"/>
        <w:ind w:firstLine="600"/>
        <w:rPr>
          <w:rFonts w:ascii="仿宋_GB2312" w:eastAsia="仿宋_GB2312" w:hAnsi="仿宋" w:cs="仿宋"/>
          <w:spacing w:val="-6"/>
          <w:kern w:val="0"/>
          <w:sz w:val="32"/>
          <w:szCs w:val="32"/>
        </w:rPr>
      </w:pPr>
      <w:r>
        <w:rPr>
          <w:rFonts w:ascii="仿宋_GB2312" w:eastAsia="仿宋_GB2312" w:hAnsi="仿宋" w:cs="仿宋" w:hint="eastAsia"/>
          <w:spacing w:val="-6"/>
          <w:kern w:val="0"/>
          <w:sz w:val="32"/>
          <w:szCs w:val="32"/>
        </w:rPr>
        <w:t>实施创新型企业引领培育工程，建立分层次遴选培育标准和动态调整机制，遴选20家左右核心竞争力强、行业带动性大、综合实力和创新能力居全省前列的创新龙头企业及后备企业，30家左右创新水平高、发展速度快、成长性好的“瞪羚”企业，100家左右科技含量高、发展前景好的科技“雏鹰”企业进行重点培育，力争涌现3家左右“独角兽”（培育）企业。建立健全创新能力评估和孵化培育机制，做好科技型中小企业创新能力评估分析，推动符合条件的科技型中小企业“应评尽评、应入尽入”，扩大入库规模。加大科技型中小企业培育力度，针对不同阶段的成长需求，开展梯度培育和差异扶持。实施高新技术企业倍增计划，力争高新技术企业超过400家、科技型中小企业超过800家。</w:t>
      </w:r>
    </w:p>
    <w:p w:rsidR="00D92198" w:rsidRDefault="00AE1128" w:rsidP="00A61652">
      <w:pPr>
        <w:pStyle w:val="2"/>
        <w:spacing w:afterLines="100" w:after="312"/>
        <w:ind w:firstLineChars="0" w:firstLine="0"/>
        <w:jc w:val="center"/>
        <w:rPr>
          <w:rFonts w:ascii="楷体_GB2312" w:eastAsia="楷体_GB2312" w:hAnsi="仿宋" w:cs="仿宋"/>
          <w:b/>
          <w:szCs w:val="32"/>
        </w:rPr>
      </w:pPr>
      <w:r>
        <w:rPr>
          <w:rFonts w:ascii="楷体_GB2312" w:eastAsia="楷体_GB2312" w:hAnsi="仿宋" w:cs="仿宋" w:hint="eastAsia"/>
          <w:b/>
          <w:szCs w:val="32"/>
        </w:rPr>
        <w:t>第二节  提升企业技术创新能力</w:t>
      </w:r>
    </w:p>
    <w:p w:rsidR="00D92198" w:rsidRDefault="00AE1128" w:rsidP="00A61652">
      <w:pPr>
        <w:spacing w:afterLines="100" w:after="312" w:line="600" w:lineRule="exact"/>
        <w:ind w:firstLine="600"/>
        <w:rPr>
          <w:rFonts w:ascii="仿宋_GB2312" w:eastAsia="仿宋_GB2312" w:hAnsi="仿宋" w:cs="仿宋"/>
          <w:spacing w:val="-6"/>
          <w:kern w:val="0"/>
          <w:sz w:val="32"/>
          <w:szCs w:val="32"/>
        </w:rPr>
      </w:pPr>
      <w:r>
        <w:rPr>
          <w:rFonts w:ascii="仿宋_GB2312" w:eastAsia="仿宋_GB2312" w:hAnsi="仿宋" w:cs="仿宋" w:hint="eastAsia"/>
          <w:spacing w:val="-6"/>
          <w:kern w:val="0"/>
          <w:sz w:val="32"/>
          <w:szCs w:val="32"/>
        </w:rPr>
        <w:t>健全完善企业、高等学校、科研院所共建共享共担的产学研</w:t>
      </w:r>
      <w:r>
        <w:rPr>
          <w:rFonts w:ascii="仿宋_GB2312" w:eastAsia="仿宋_GB2312" w:hAnsi="仿宋" w:cs="仿宋" w:hint="eastAsia"/>
          <w:spacing w:val="-6"/>
          <w:kern w:val="0"/>
          <w:sz w:val="32"/>
          <w:szCs w:val="32"/>
        </w:rPr>
        <w:lastRenderedPageBreak/>
        <w:t>协同创新机制。充分发挥南阳高校院所在基础研究领域的主力军作用，深化与国内外大院大所合作对接，开展基础研究和技术攻关。建立一批技术创新战略联盟和协同创新中心。吸引500强企业和行业龙头企业在宛设立研发机构。加快构建以政府财政投入为引导、以企业投入为主体、以银行信贷和风险投资等金融资本为支撑、以民间投资为补充的多元化、多渠道、多层次科技投入体系。加大企业研发后补助等财政奖补力度，全面落实高新技术企业所得税优惠、研发费用加计扣除、科技贷款贴息、科技创新券、创新产品政府优先采购等普惠性政策，引导企业加大研发投入。</w:t>
      </w:r>
    </w:p>
    <w:p w:rsidR="00D92198" w:rsidRDefault="00AE1128" w:rsidP="00A61652">
      <w:pPr>
        <w:pStyle w:val="2"/>
        <w:spacing w:afterLines="100" w:after="312" w:line="610" w:lineRule="exact"/>
        <w:ind w:firstLineChars="0" w:firstLine="0"/>
        <w:jc w:val="center"/>
        <w:rPr>
          <w:rFonts w:ascii="黑体" w:hAnsi="黑体" w:cs="宋体"/>
        </w:rPr>
      </w:pPr>
      <w:bookmarkStart w:id="2" w:name="_Toc27387659"/>
      <w:r>
        <w:rPr>
          <w:rFonts w:ascii="黑体" w:hAnsi="黑体" w:hint="eastAsia"/>
        </w:rPr>
        <w:t xml:space="preserve">第五章  </w:t>
      </w:r>
      <w:bookmarkEnd w:id="2"/>
      <w:r>
        <w:rPr>
          <w:rFonts w:ascii="黑体" w:hAnsi="黑体" w:hint="eastAsia"/>
        </w:rPr>
        <w:t>强化创新平台和载体支撑</w:t>
      </w:r>
    </w:p>
    <w:p w:rsidR="00D92198" w:rsidRDefault="00AE1128" w:rsidP="00A61652">
      <w:pPr>
        <w:spacing w:afterLines="100" w:after="312" w:line="600" w:lineRule="exact"/>
        <w:ind w:firstLine="600"/>
        <w:rPr>
          <w:rFonts w:ascii="仿宋_GB2312" w:eastAsia="仿宋_GB2312" w:hAnsi="仿宋" w:cs="仿宋"/>
          <w:spacing w:val="-6"/>
          <w:kern w:val="0"/>
          <w:sz w:val="32"/>
          <w:szCs w:val="32"/>
        </w:rPr>
      </w:pPr>
      <w:r>
        <w:rPr>
          <w:rFonts w:ascii="仿宋_GB2312" w:eastAsia="仿宋_GB2312" w:hAnsi="仿宋" w:cs="仿宋" w:hint="eastAsia"/>
          <w:spacing w:val="-6"/>
          <w:kern w:val="0"/>
          <w:sz w:val="32"/>
          <w:szCs w:val="32"/>
        </w:rPr>
        <w:t>抢抓国家和省优化区域创新布局机遇，优化创新资源、人才、资金等要素集中配置，积极争取重大创新平台和重大科技基础设施布局，大力推动技术高质量研发和成果高质量转化。</w:t>
      </w:r>
    </w:p>
    <w:p w:rsidR="00D92198" w:rsidRDefault="00AE1128" w:rsidP="00A61652">
      <w:pPr>
        <w:pStyle w:val="2"/>
        <w:spacing w:afterLines="100" w:after="312" w:line="610" w:lineRule="exact"/>
        <w:ind w:firstLineChars="0" w:firstLine="0"/>
        <w:jc w:val="center"/>
        <w:rPr>
          <w:rFonts w:ascii="楷体_GB2312" w:eastAsia="楷体_GB2312" w:hAnsi="仿宋" w:cs="仿宋"/>
          <w:b/>
          <w:szCs w:val="32"/>
        </w:rPr>
      </w:pPr>
      <w:r>
        <w:rPr>
          <w:rFonts w:ascii="楷体_GB2312" w:eastAsia="楷体_GB2312" w:hAnsi="仿宋" w:cs="仿宋" w:hint="eastAsia"/>
          <w:b/>
          <w:szCs w:val="32"/>
        </w:rPr>
        <w:t>第一节  建设科技创新平台</w:t>
      </w:r>
    </w:p>
    <w:p w:rsidR="00D92198" w:rsidRDefault="00AE1128" w:rsidP="00A61652">
      <w:pPr>
        <w:spacing w:afterLines="100" w:after="312" w:line="600" w:lineRule="exact"/>
        <w:ind w:firstLine="600"/>
        <w:rPr>
          <w:rFonts w:ascii="仿宋_GB2312" w:eastAsia="仿宋_GB2312" w:hAnsi="仿宋" w:cs="仿宋"/>
          <w:spacing w:val="-6"/>
          <w:kern w:val="0"/>
          <w:sz w:val="32"/>
          <w:szCs w:val="32"/>
        </w:rPr>
      </w:pPr>
      <w:r>
        <w:rPr>
          <w:rFonts w:ascii="仿宋_GB2312" w:eastAsia="仿宋_GB2312" w:hAnsi="仿宋" w:cs="仿宋" w:hint="eastAsia"/>
          <w:spacing w:val="-6"/>
          <w:kern w:val="0"/>
          <w:sz w:val="32"/>
          <w:szCs w:val="32"/>
        </w:rPr>
        <w:t>围绕我市先进制造、光电信息、新能源、新材料、生物医药、节能环保等产业，整合科技创新资源，以企业和高校、科研院所深度合作为重点，新建一批技术创新中心、工程技术研究中心、企业技术中心、产业创新中心、共性技术平台、检测试验平台等，</w:t>
      </w:r>
      <w:r>
        <w:rPr>
          <w:rFonts w:ascii="仿宋_GB2312" w:eastAsia="仿宋_GB2312" w:hAnsi="仿宋" w:cs="仿宋" w:hint="eastAsia"/>
          <w:spacing w:val="-6"/>
          <w:kern w:val="0"/>
          <w:sz w:val="32"/>
          <w:szCs w:val="32"/>
        </w:rPr>
        <w:lastRenderedPageBreak/>
        <w:t>鼓励企业建立重点实验室、院士专家工作站、博士后科研工作站、博士后创新实践基地、学会（协会）服务站。培育一批新兴研发机构，重点支持南阳防研所、南阳师范学院、南阳理工学院等建设重点实验室，乐凯华光、卧龙电气南阳防爆集团、中光学集团、中南钻石、牧原食品等建设工程技术研究中心。鼓励龙头企业设立海外离岸创新中心。加强科学研究实验设施和标准计量检测认证平台建设，完善大型仪器设备共享平台、科技信息情报共享平台等基础条件。到2025年，形成定位准确、目标清晰、布局合理、引领发展的科技创新平台体系，科技创新平台数量稳中有增，总量力争达到1000个。</w:t>
      </w:r>
    </w:p>
    <w:p w:rsidR="00D92198" w:rsidRDefault="00AE1128" w:rsidP="00A61652">
      <w:pPr>
        <w:pStyle w:val="2"/>
        <w:spacing w:afterLines="100" w:after="312" w:line="610" w:lineRule="exact"/>
        <w:ind w:firstLineChars="0" w:firstLine="0"/>
        <w:jc w:val="center"/>
        <w:rPr>
          <w:rFonts w:ascii="楷体_GB2312" w:eastAsia="楷体_GB2312" w:hAnsi="仿宋" w:cs="仿宋"/>
          <w:b/>
          <w:szCs w:val="32"/>
        </w:rPr>
      </w:pPr>
      <w:r>
        <w:rPr>
          <w:rFonts w:ascii="楷体_GB2312" w:eastAsia="楷体_GB2312" w:hAnsi="仿宋" w:cs="仿宋" w:hint="eastAsia"/>
          <w:b/>
          <w:szCs w:val="32"/>
        </w:rPr>
        <w:t>第二节  拓展提升创业孵化载体</w:t>
      </w:r>
    </w:p>
    <w:p w:rsidR="00D92198" w:rsidRDefault="00AE1128" w:rsidP="00A61652">
      <w:pPr>
        <w:pStyle w:val="2"/>
        <w:spacing w:afterLines="100" w:after="312"/>
        <w:ind w:firstLine="640"/>
        <w:rPr>
          <w:rFonts w:ascii="仿宋_GB2312" w:eastAsia="仿宋_GB2312" w:hAnsi="仿宋" w:cs="仿宋"/>
          <w:szCs w:val="32"/>
        </w:rPr>
      </w:pPr>
      <w:r>
        <w:rPr>
          <w:rFonts w:ascii="仿宋_GB2312" w:eastAsia="仿宋_GB2312" w:hAnsi="仿宋" w:cs="仿宋" w:hint="eastAsia"/>
          <w:szCs w:val="32"/>
        </w:rPr>
        <w:t>全面落实国家、省“双创”优惠政策，加快新建一批众创空间、星创天地、科技企业孵化器和创业孵化基地等创新创业载体，支持返乡人才、大学毕业生、退役军人、离岗职工等创新创业。实施“双创”示范基地体制创优行动，拓展卧龙众创空间、理工学院三融众创空间、南阳众创空间、高新技术创业服务中心等服务功能，优化创新创业生态。规划建设南阳大学科创园。积极组织举办、参加各类创新创业大赛。发展“互联网平台+创业单元”等模式。推进“双创”机制创新，加快形成“苗圃+孵化器+加速器+创投”的孵化育成链条。</w:t>
      </w:r>
    </w:p>
    <w:p w:rsidR="00D92198" w:rsidRDefault="00AE1128" w:rsidP="00A61652">
      <w:pPr>
        <w:pStyle w:val="2"/>
        <w:spacing w:afterLines="100" w:after="312" w:line="610" w:lineRule="exact"/>
        <w:ind w:firstLineChars="0" w:firstLine="0"/>
        <w:jc w:val="center"/>
        <w:rPr>
          <w:rFonts w:ascii="楷体_GB2312" w:eastAsia="楷体_GB2312" w:hAnsi="仿宋" w:cs="仿宋"/>
          <w:b/>
          <w:szCs w:val="32"/>
        </w:rPr>
      </w:pPr>
      <w:r>
        <w:rPr>
          <w:rFonts w:ascii="楷体_GB2312" w:eastAsia="楷体_GB2312" w:hAnsi="仿宋" w:cs="仿宋" w:hint="eastAsia"/>
          <w:b/>
          <w:szCs w:val="32"/>
        </w:rPr>
        <w:lastRenderedPageBreak/>
        <w:t>第三节  培育技术转化机构</w:t>
      </w:r>
    </w:p>
    <w:p w:rsidR="00D92198" w:rsidRDefault="00AE1128" w:rsidP="00A61652">
      <w:pPr>
        <w:pStyle w:val="2"/>
        <w:spacing w:afterLines="100" w:after="312"/>
        <w:ind w:firstLine="640"/>
        <w:jc w:val="both"/>
        <w:rPr>
          <w:rFonts w:ascii="仿宋_GB2312" w:eastAsia="仿宋_GB2312" w:hAnsi="仿宋" w:cs="仿宋"/>
          <w:szCs w:val="32"/>
        </w:rPr>
      </w:pPr>
      <w:bookmarkStart w:id="3" w:name="_Hlk58929516"/>
      <w:r>
        <w:rPr>
          <w:rFonts w:ascii="仿宋_GB2312" w:eastAsia="仿宋_GB2312" w:hAnsi="仿宋" w:cs="仿宋" w:hint="eastAsia"/>
          <w:szCs w:val="32"/>
        </w:rPr>
        <w:t>围绕全市经济社会发展战略和市场主体的技术需求，大力培育和繁荣技术中介机构，充分发挥市场机制配置科技资源的基础性作用，鼓励发展股份制、合伙制的专业科技成果转移转化机构，培育一批服务专业化、发展规模化、运行规范化的科技中介机构，加快形成政策引导、社会参与、开放协作、功能完备、运行高效的科技中介服务体系，满足科技发展和创新活动的服务需求。做大做强中关村科技产业园、南阳科技大市场，推动校地合作和科技成果发布交易，</w:t>
      </w:r>
      <w:bookmarkEnd w:id="3"/>
      <w:r>
        <w:rPr>
          <w:rFonts w:ascii="仿宋_GB2312" w:eastAsia="仿宋_GB2312" w:hAnsi="仿宋" w:cs="仿宋" w:hint="eastAsia"/>
          <w:szCs w:val="32"/>
        </w:rPr>
        <w:t>加快科技成果转化，打造豫西南科技资源集聚平台、技术交易中心、科技成果转化中心。发挥河南省中科院南阳科技成果转化分中心作用，加快科技要素、创新成果向生产力转化。依托南阳高校资源，举办河南（南阳）高校院所科技成果博览会，开展创新成果展示交易。大力推动企业知识产权培育和高校知识产权能力提升，推动专利申请和授权量质双升。</w:t>
      </w:r>
    </w:p>
    <w:p w:rsidR="00D92198" w:rsidRDefault="00AE1128" w:rsidP="00A61652">
      <w:pPr>
        <w:pStyle w:val="2"/>
        <w:spacing w:afterLines="100" w:after="312" w:line="610" w:lineRule="exact"/>
        <w:ind w:firstLineChars="0" w:firstLine="0"/>
        <w:jc w:val="center"/>
        <w:rPr>
          <w:rFonts w:ascii="黑体" w:hAnsi="黑体"/>
        </w:rPr>
      </w:pPr>
      <w:bookmarkStart w:id="4" w:name="_Toc453749833"/>
      <w:bookmarkStart w:id="5" w:name="_Toc453749834"/>
      <w:bookmarkStart w:id="6" w:name="_Toc27387661"/>
      <w:bookmarkEnd w:id="4"/>
      <w:bookmarkEnd w:id="5"/>
      <w:r>
        <w:rPr>
          <w:rFonts w:ascii="黑体" w:hAnsi="黑体" w:hint="eastAsia"/>
        </w:rPr>
        <w:t>第六章  攻克产业关键技术</w:t>
      </w:r>
      <w:bookmarkEnd w:id="6"/>
    </w:p>
    <w:p w:rsidR="00D92198" w:rsidRDefault="00AE1128" w:rsidP="00A61652">
      <w:pPr>
        <w:spacing w:afterLines="100" w:after="312" w:line="600" w:lineRule="exact"/>
        <w:ind w:firstLine="601"/>
        <w:rPr>
          <w:rFonts w:ascii="仿宋_GB2312" w:eastAsia="仿宋_GB2312" w:hAnsi="仿宋" w:cs="仿宋"/>
          <w:spacing w:val="-6"/>
          <w:kern w:val="0"/>
          <w:sz w:val="32"/>
          <w:szCs w:val="32"/>
        </w:rPr>
      </w:pPr>
      <w:r>
        <w:rPr>
          <w:rFonts w:ascii="仿宋_GB2312" w:eastAsia="仿宋_GB2312" w:hAnsi="仿宋" w:cs="仿宋" w:hint="eastAsia"/>
          <w:spacing w:val="-6"/>
          <w:kern w:val="0"/>
          <w:sz w:val="32"/>
          <w:szCs w:val="32"/>
        </w:rPr>
        <w:t>围绕“主新特”产业，实施一批重大科技专项，攻克一批关键技术，研发一批创新产品。</w:t>
      </w:r>
    </w:p>
    <w:p w:rsidR="00D92198" w:rsidRDefault="00D92198" w:rsidP="00A61652">
      <w:pPr>
        <w:pStyle w:val="2"/>
        <w:spacing w:afterLines="100" w:after="312"/>
        <w:ind w:firstLineChars="0" w:firstLine="0"/>
        <w:jc w:val="center"/>
        <w:rPr>
          <w:rFonts w:ascii="楷体_GB2312" w:eastAsia="楷体_GB2312" w:hAnsi="仿宋" w:cs="仿宋"/>
          <w:b/>
          <w:szCs w:val="32"/>
        </w:rPr>
      </w:pPr>
    </w:p>
    <w:p w:rsidR="00D92198" w:rsidRDefault="00AE1128" w:rsidP="00A61652">
      <w:pPr>
        <w:pStyle w:val="2"/>
        <w:spacing w:afterLines="100" w:after="312"/>
        <w:ind w:firstLineChars="0" w:firstLine="0"/>
        <w:jc w:val="center"/>
        <w:rPr>
          <w:rFonts w:ascii="楷体_GB2312" w:eastAsia="楷体_GB2312" w:hAnsi="仿宋" w:cs="仿宋"/>
          <w:b/>
          <w:szCs w:val="32"/>
        </w:rPr>
      </w:pPr>
      <w:r>
        <w:rPr>
          <w:rFonts w:ascii="楷体_GB2312" w:eastAsia="楷体_GB2312" w:hAnsi="仿宋" w:cs="仿宋" w:hint="eastAsia"/>
          <w:b/>
          <w:szCs w:val="32"/>
        </w:rPr>
        <w:lastRenderedPageBreak/>
        <w:t>第一节  实施重大科技专项</w:t>
      </w:r>
    </w:p>
    <w:p w:rsidR="00D92198" w:rsidRDefault="00AE1128" w:rsidP="00A61652">
      <w:pPr>
        <w:pStyle w:val="2"/>
        <w:spacing w:afterLines="100" w:after="312"/>
        <w:ind w:firstLine="640"/>
        <w:jc w:val="both"/>
        <w:rPr>
          <w:rFonts w:ascii="仿宋_GB2312" w:eastAsia="仿宋_GB2312" w:hAnsi="仿宋" w:cs="仿宋"/>
          <w:szCs w:val="32"/>
        </w:rPr>
      </w:pPr>
      <w:r>
        <w:rPr>
          <w:rFonts w:ascii="仿宋_GB2312" w:eastAsia="仿宋_GB2312" w:hAnsi="仿宋" w:cs="仿宋" w:hint="eastAsia"/>
          <w:szCs w:val="32"/>
        </w:rPr>
        <w:t>实行“揭榜挂帅”制度，整合优势资源集中攻关，攻克一批对产业竞争力整体提升具有全局性影响的关键共性技术。推动重大关键技术产业化。坚持自主培育和外部引进相结合，鼓励和支持行业龙头企业牵头组织关键技术攻关。围绕新一代信息技术、装备制造、数字光电、新材料、新能源等产业，以提升核心竞争力为着力点，突出重点、分类推进，组织实施重大科技专项，突破一批关键核心技术。围绕油碱化工、冶金建材、纺织服装等产业，加大重大关键共性技术攻关,加快高新技术改造传统产业步伐,做大做强骨干企业,推动传统产业高新化。以保障粮食安全战略为目标，在种质安全、种植养殖、农产品精深加工等方面，设立农业科研项目，解决一批制约农业发展的重大技术问题，全面提升农业科技自主创新能力。围绕新药创制、节能与绿色发展、资源综合利用、人口与健康、食品安全等领域，加快技术研发和成果推广，依靠科技创新持续改善和保障民生。</w:t>
      </w:r>
    </w:p>
    <w:p w:rsidR="00D92198" w:rsidRDefault="00AE1128" w:rsidP="00A61652">
      <w:pPr>
        <w:pStyle w:val="2"/>
        <w:spacing w:afterLines="100" w:after="312"/>
        <w:ind w:firstLineChars="0" w:firstLine="0"/>
        <w:jc w:val="center"/>
        <w:rPr>
          <w:rFonts w:ascii="楷体_GB2312" w:eastAsia="楷体_GB2312" w:hAnsi="仿宋" w:cs="仿宋"/>
          <w:b/>
          <w:szCs w:val="32"/>
        </w:rPr>
      </w:pPr>
      <w:bookmarkStart w:id="7" w:name="_Toc27387660"/>
      <w:r>
        <w:rPr>
          <w:rFonts w:ascii="楷体_GB2312" w:eastAsia="楷体_GB2312" w:hAnsi="仿宋" w:cs="仿宋" w:hint="eastAsia"/>
          <w:b/>
          <w:szCs w:val="32"/>
        </w:rPr>
        <w:t>第二节  提升创新产品市场竞争力</w:t>
      </w:r>
    </w:p>
    <w:p w:rsidR="00D92198" w:rsidRDefault="00AE1128" w:rsidP="00A61652">
      <w:pPr>
        <w:pStyle w:val="2"/>
        <w:spacing w:afterLines="100" w:after="312"/>
        <w:ind w:firstLine="640"/>
        <w:jc w:val="both"/>
        <w:rPr>
          <w:rFonts w:ascii="仿宋_GB2312" w:eastAsia="仿宋_GB2312" w:hAnsi="仿宋" w:cs="仿宋"/>
          <w:szCs w:val="32"/>
        </w:rPr>
      </w:pPr>
      <w:r>
        <w:rPr>
          <w:rFonts w:ascii="仿宋_GB2312" w:eastAsia="仿宋_GB2312" w:hAnsi="仿宋" w:cs="仿宋" w:hint="eastAsia"/>
          <w:szCs w:val="32"/>
        </w:rPr>
        <w:t>建立健全创新产品培育政策体系，支持龙头企业研发新产品，开展创新产品认定。落实鼓励自主创新、促进产品出口等</w:t>
      </w:r>
      <w:r>
        <w:rPr>
          <w:rFonts w:ascii="仿宋_GB2312" w:eastAsia="仿宋_GB2312" w:hAnsi="仿宋" w:cs="仿宋" w:hint="eastAsia"/>
          <w:szCs w:val="32"/>
        </w:rPr>
        <w:lastRenderedPageBreak/>
        <w:t>方面政策法规，为创新产品研发培育提供有力保障。突破一批制约发展的核心技术，研发一批差异化中高端产品，形成防爆电机、汽车零部件、油气钻采设备、输变电设备、手机微棱镜、车载镜头、胶印版材、CVD金刚石等一批具有核心竞争力的产品，打造牧原猪、仲景药、赊店酒、镇平玉、科尔沁牛、渠首农产品等一批享誉国内外的知名品牌，提高产品品牌竞争力、影响力和在国内国际产业链中的地位。</w:t>
      </w:r>
    </w:p>
    <w:p w:rsidR="00D92198" w:rsidRDefault="00AE1128" w:rsidP="00A61652">
      <w:pPr>
        <w:pStyle w:val="2"/>
        <w:spacing w:afterLines="100" w:after="312" w:line="610" w:lineRule="exact"/>
        <w:ind w:firstLineChars="0" w:firstLine="0"/>
        <w:jc w:val="center"/>
        <w:rPr>
          <w:rFonts w:ascii="黑体" w:hAnsi="黑体"/>
        </w:rPr>
      </w:pPr>
      <w:r>
        <w:rPr>
          <w:rFonts w:ascii="黑体" w:hAnsi="黑体" w:hint="eastAsia"/>
        </w:rPr>
        <w:t xml:space="preserve">第七章  </w:t>
      </w:r>
      <w:bookmarkEnd w:id="7"/>
      <w:r>
        <w:rPr>
          <w:rFonts w:ascii="黑体" w:hAnsi="黑体" w:hint="eastAsia"/>
        </w:rPr>
        <w:t>强化人才支撑</w:t>
      </w:r>
    </w:p>
    <w:p w:rsidR="00D92198" w:rsidRDefault="00AE1128" w:rsidP="00A61652">
      <w:pPr>
        <w:pStyle w:val="2"/>
        <w:spacing w:afterLines="100" w:after="312"/>
        <w:ind w:firstLine="640"/>
        <w:jc w:val="both"/>
        <w:rPr>
          <w:rFonts w:ascii="仿宋_GB2312" w:eastAsia="仿宋_GB2312" w:hAnsi="仿宋" w:cs="仿宋"/>
          <w:szCs w:val="32"/>
        </w:rPr>
      </w:pPr>
      <w:r>
        <w:rPr>
          <w:rFonts w:ascii="仿宋_GB2312" w:eastAsia="仿宋_GB2312" w:hAnsi="仿宋" w:cs="仿宋" w:hint="eastAsia"/>
          <w:szCs w:val="32"/>
        </w:rPr>
        <w:t>坚持尊重劳动、尊重知识、尊重人才、尊重创造，深入实施“诸葛英才计划”，完善“全职+柔性”招才引智机制，建立更具竞争力的人才政策体系，加速推进各类人才集聚发展。</w:t>
      </w:r>
    </w:p>
    <w:p w:rsidR="00D92198" w:rsidRDefault="00AE1128" w:rsidP="00A61652">
      <w:pPr>
        <w:pStyle w:val="2"/>
        <w:spacing w:afterLines="100" w:after="312"/>
        <w:ind w:firstLineChars="0" w:firstLine="0"/>
        <w:jc w:val="center"/>
        <w:rPr>
          <w:rFonts w:ascii="楷体_GB2312" w:eastAsia="楷体_GB2312" w:hAnsi="仿宋" w:cs="仿宋"/>
          <w:b/>
          <w:szCs w:val="32"/>
        </w:rPr>
      </w:pPr>
      <w:r>
        <w:rPr>
          <w:rFonts w:ascii="楷体_GB2312" w:eastAsia="楷体_GB2312" w:hAnsi="仿宋" w:cs="仿宋" w:hint="eastAsia"/>
          <w:b/>
          <w:szCs w:val="32"/>
        </w:rPr>
        <w:t>第一节  引进培育产业创新人才</w:t>
      </w:r>
    </w:p>
    <w:p w:rsidR="00D92198" w:rsidRDefault="00AE1128" w:rsidP="00A61652">
      <w:pPr>
        <w:pStyle w:val="2"/>
        <w:spacing w:afterLines="100" w:after="312"/>
        <w:ind w:firstLine="640"/>
        <w:jc w:val="both"/>
        <w:rPr>
          <w:rFonts w:ascii="仿宋_GB2312" w:eastAsia="仿宋_GB2312" w:hAnsi="仿宋" w:cs="仿宋"/>
          <w:szCs w:val="32"/>
        </w:rPr>
      </w:pPr>
      <w:r>
        <w:rPr>
          <w:rFonts w:ascii="仿宋_GB2312" w:eastAsia="仿宋_GB2312" w:hAnsi="仿宋" w:cs="仿宋" w:hint="eastAsia"/>
          <w:szCs w:val="32"/>
        </w:rPr>
        <w:t>实施 “创新岗位特聘专家计划”“科技创新团队计划” “海外引智计划”。以新兴产业和高新技术产业为重点，发布产业引才目录，靶向引进顶尖人才。用好南阳籍院士专家故乡行、京宛协作北京院士专家南阳行等载体平台，着力引进一批具有国内国际先进水平的产业领军人才、科技创新人才和创新团队，储备一批优秀青年创新人才。支持企业建立自主创新团队，引导高等院校、科研院所科技人员到企业服务。实施“品质宛商”</w:t>
      </w:r>
      <w:r>
        <w:rPr>
          <w:rFonts w:ascii="仿宋_GB2312" w:eastAsia="仿宋_GB2312" w:hAnsi="仿宋" w:cs="仿宋" w:hint="eastAsia"/>
          <w:szCs w:val="32"/>
        </w:rPr>
        <w:lastRenderedPageBreak/>
        <w:t>提升工程，大力弘扬企业家精神，培养形成数量可观的高素质企业家队伍。</w:t>
      </w:r>
    </w:p>
    <w:p w:rsidR="00D92198" w:rsidRDefault="00AE1128" w:rsidP="00A61652">
      <w:pPr>
        <w:pStyle w:val="2"/>
        <w:spacing w:afterLines="100" w:after="312"/>
        <w:ind w:firstLineChars="0" w:firstLine="0"/>
        <w:jc w:val="center"/>
        <w:rPr>
          <w:rFonts w:ascii="楷体_GB2312" w:eastAsia="楷体_GB2312" w:hAnsi="仿宋" w:cs="仿宋"/>
          <w:b/>
          <w:szCs w:val="32"/>
        </w:rPr>
      </w:pPr>
      <w:r>
        <w:rPr>
          <w:rFonts w:ascii="楷体_GB2312" w:eastAsia="楷体_GB2312" w:hAnsi="仿宋" w:cs="仿宋" w:hint="eastAsia"/>
          <w:b/>
          <w:szCs w:val="32"/>
        </w:rPr>
        <w:t>第二节  壮大高技能人才队伍</w:t>
      </w:r>
    </w:p>
    <w:p w:rsidR="00D92198" w:rsidRDefault="00AE1128" w:rsidP="00A61652">
      <w:pPr>
        <w:pStyle w:val="2"/>
        <w:spacing w:afterLines="100" w:after="312"/>
        <w:ind w:firstLine="640"/>
        <w:jc w:val="both"/>
        <w:rPr>
          <w:rFonts w:ascii="仿宋_GB2312" w:eastAsia="仿宋_GB2312" w:hAnsi="仿宋" w:cs="仿宋"/>
          <w:szCs w:val="32"/>
        </w:rPr>
      </w:pPr>
      <w:r>
        <w:rPr>
          <w:rFonts w:ascii="仿宋_GB2312" w:eastAsia="仿宋_GB2312" w:hAnsi="仿宋_GB2312" w:cs="仿宋_GB2312" w:hint="eastAsia"/>
          <w:szCs w:val="32"/>
        </w:rPr>
        <w:t>落实国家高技能人才振兴计划，</w:t>
      </w:r>
      <w:r>
        <w:rPr>
          <w:rFonts w:ascii="仿宋_GB2312" w:eastAsia="仿宋_GB2312" w:hAnsi="仿宋" w:cs="仿宋" w:hint="eastAsia"/>
          <w:szCs w:val="32"/>
        </w:rPr>
        <w:t>加强应用型、技能型人才培养，</w:t>
      </w:r>
      <w:r>
        <w:rPr>
          <w:rFonts w:ascii="仿宋_GB2312" w:eastAsia="仿宋_GB2312" w:hAnsi="仿宋_GB2312" w:cs="仿宋_GB2312" w:hint="eastAsia"/>
          <w:szCs w:val="32"/>
        </w:rPr>
        <w:t>实施高技能人才“金蓝领”技能提升培训项目、高技能领军人才和产业紧缺人才境外培训项目，</w:t>
      </w:r>
      <w:r>
        <w:rPr>
          <w:rFonts w:ascii="仿宋_GB2312" w:eastAsia="仿宋_GB2312" w:hAnsi="仿宋" w:cs="仿宋" w:hint="eastAsia"/>
          <w:szCs w:val="32"/>
        </w:rPr>
        <w:t>强化产业工人队伍建设。</w:t>
      </w:r>
      <w:r>
        <w:rPr>
          <w:rFonts w:ascii="仿宋_GB2312" w:eastAsia="仿宋_GB2312" w:hAnsi="仿宋_GB2312" w:cs="仿宋_GB2312" w:hint="eastAsia"/>
          <w:szCs w:val="32"/>
        </w:rPr>
        <w:t>推进技工院校改革创新，深化产教融合和校企合作，推进技能大赛与技工教育融合发展，稳定和扩大技工院校招生规模。</w:t>
      </w:r>
      <w:r>
        <w:rPr>
          <w:rFonts w:ascii="仿宋_GB2312" w:eastAsia="仿宋_GB2312" w:hAnsi="仿宋" w:cs="仿宋" w:hint="eastAsia"/>
          <w:szCs w:val="32"/>
        </w:rPr>
        <w:t>积极培育“南阳名匠”“豫宛大工匠”，促进人才链与产业链、创新链深度融合，将人口优势转化成劳动力优势、人才优势。大力弘扬劳模精神和工匠精神，打造一支懂技术会创新的现代产业工人队伍。</w:t>
      </w:r>
    </w:p>
    <w:p w:rsidR="00D92198" w:rsidRDefault="00AE1128" w:rsidP="00A61652">
      <w:pPr>
        <w:pStyle w:val="2"/>
        <w:spacing w:afterLines="100" w:after="312"/>
        <w:ind w:firstLineChars="0" w:firstLine="0"/>
        <w:jc w:val="center"/>
        <w:rPr>
          <w:rFonts w:ascii="楷体_GB2312" w:eastAsia="楷体_GB2312" w:hAnsi="仿宋" w:cs="仿宋"/>
          <w:b/>
          <w:szCs w:val="32"/>
        </w:rPr>
      </w:pPr>
      <w:r>
        <w:rPr>
          <w:rFonts w:ascii="楷体_GB2312" w:eastAsia="楷体_GB2312" w:hAnsi="仿宋" w:cs="仿宋" w:hint="eastAsia"/>
          <w:b/>
          <w:szCs w:val="32"/>
        </w:rPr>
        <w:t>第三节  激发人才创新活力</w:t>
      </w:r>
    </w:p>
    <w:p w:rsidR="00D92198" w:rsidRDefault="00AE1128" w:rsidP="00A61652">
      <w:pPr>
        <w:pStyle w:val="2"/>
        <w:spacing w:afterLines="100" w:after="312"/>
        <w:ind w:firstLine="640"/>
        <w:jc w:val="both"/>
        <w:rPr>
          <w:rFonts w:ascii="仿宋_GB2312" w:eastAsia="仿宋_GB2312" w:hAnsi="仿宋_GB2312" w:cs="仿宋_GB2312"/>
          <w:szCs w:val="32"/>
        </w:rPr>
      </w:pPr>
      <w:r>
        <w:rPr>
          <w:rFonts w:ascii="仿宋_GB2312" w:eastAsia="仿宋_GB2312" w:hAnsi="仿宋_GB2312" w:cs="仿宋_GB2312" w:hint="eastAsia"/>
          <w:szCs w:val="32"/>
        </w:rPr>
        <w:t>健全以创新能力、质量、实效、贡献为导向的人才评价体系，完善创新激励和保障机制。全面落实企事业单位用人自主权，推行代表作评价。扩大职称自主评审范围，完善急需紧缺和高层次人才职称评聘绿色通道，推进社会化职称评审。建立科研单位绩效工资总量动态调整机制和竞争性科研项目奖酬金提取机制，完善科研人员职务发明成果权益分享机制，构建充</w:t>
      </w:r>
      <w:r>
        <w:rPr>
          <w:rFonts w:ascii="仿宋_GB2312" w:eastAsia="仿宋_GB2312" w:hAnsi="仿宋_GB2312" w:cs="仿宋_GB2312" w:hint="eastAsia"/>
          <w:szCs w:val="32"/>
        </w:rPr>
        <w:lastRenderedPageBreak/>
        <w:t>分体现知识、技术等创新要素价值的收益分配机制。畅通城乡、区域、行业和不同所有制间人才流动渠道，完善各类人才下沉服务基层和一线的政策机制。简化政策服务流程，全方位落实人才奖励补贴、薪酬待遇、医疗社保、子女入学、居留便利、荣誉称号等政策措施，营造鼓励创新、宽容失败的“宽”环境，打造近悦远来的人才生态。实施人力资源服务业提升计划，建设南阳市人力资源服务产业园。用好人才工作市场化手段，形成政府与市场主体有序分工、良性互动的人才工作新局面。</w:t>
      </w:r>
    </w:p>
    <w:tbl>
      <w:tblPr>
        <w:tblW w:w="8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46"/>
      </w:tblGrid>
      <w:tr w:rsidR="00D92198">
        <w:tc>
          <w:tcPr>
            <w:tcW w:w="8946" w:type="dxa"/>
          </w:tcPr>
          <w:p w:rsidR="00D92198" w:rsidRDefault="00AE1128">
            <w:pPr>
              <w:tabs>
                <w:tab w:val="center" w:pos="4153"/>
                <w:tab w:val="right" w:pos="8306"/>
              </w:tabs>
              <w:snapToGrid w:val="0"/>
              <w:spacing w:line="600" w:lineRule="exact"/>
              <w:jc w:val="center"/>
              <w:rPr>
                <w:rFonts w:ascii="黑体" w:eastAsia="黑体" w:hAnsi="黑体" w:cs="仿宋_GB2312"/>
                <w:kern w:val="0"/>
                <w:sz w:val="30"/>
                <w:szCs w:val="30"/>
                <w:shd w:val="clear" w:color="auto" w:fill="FFFFFF"/>
              </w:rPr>
            </w:pPr>
            <w:r>
              <w:rPr>
                <w:rFonts w:ascii="黑体" w:eastAsia="黑体" w:hAnsi="黑体" w:cs="仿宋_GB2312" w:hint="eastAsia"/>
                <w:bCs/>
                <w:sz w:val="30"/>
                <w:szCs w:val="30"/>
              </w:rPr>
              <w:t>专栏1：</w:t>
            </w:r>
            <w:r>
              <w:rPr>
                <w:rFonts w:ascii="黑体" w:eastAsia="黑体" w:hAnsi="黑体" w:cs="宋体" w:hint="eastAsia"/>
                <w:kern w:val="0"/>
                <w:sz w:val="30"/>
                <w:szCs w:val="30"/>
              </w:rPr>
              <w:t>创新体系培育重点工程</w:t>
            </w:r>
          </w:p>
        </w:tc>
      </w:tr>
      <w:tr w:rsidR="00D92198">
        <w:trPr>
          <w:trHeight w:val="3109"/>
        </w:trPr>
        <w:tc>
          <w:tcPr>
            <w:tcW w:w="8946" w:type="dxa"/>
          </w:tcPr>
          <w:p w:rsidR="00D92198" w:rsidRDefault="00AE1128">
            <w:pPr>
              <w:pStyle w:val="2"/>
              <w:ind w:firstLine="562"/>
              <w:jc w:val="both"/>
              <w:rPr>
                <w:rFonts w:ascii="仿宋_GB2312" w:eastAsia="仿宋_GB2312" w:hAnsi="仿宋_GB2312" w:cs="仿宋_GB2312"/>
                <w:sz w:val="28"/>
                <w:szCs w:val="28"/>
              </w:rPr>
            </w:pPr>
            <w:r>
              <w:rPr>
                <w:rFonts w:ascii="仿宋_GB2312" w:eastAsia="仿宋_GB2312" w:hAnsi="仿宋_GB2312" w:cs="仿宋_GB2312" w:hint="eastAsia"/>
                <w:b/>
                <w:bCs/>
                <w:sz w:val="28"/>
                <w:szCs w:val="28"/>
              </w:rPr>
              <w:t>1.重大科技专项工程。</w:t>
            </w:r>
            <w:r>
              <w:rPr>
                <w:rFonts w:ascii="仿宋_GB2312" w:eastAsia="仿宋_GB2312" w:hAnsi="仿宋_GB2312" w:cs="仿宋_GB2312" w:hint="eastAsia"/>
                <w:sz w:val="28"/>
                <w:szCs w:val="28"/>
              </w:rPr>
              <w:t>在制造业领域组织实施智能装备、智能终端、生物质能、新能源汽车、节能环保等50项重大科技专项；在农业科技领域组织实施生物育种、精准栽培、农业物联网、鲜活农产品保鲜、冷链食品、互联网+农业等30项重大科技专项；在民生科技领域组织实施大数据、食品安全、精准医疗、康复保健、资源循环利用、环境治理等20项重大科技专项。</w:t>
            </w:r>
          </w:p>
          <w:p w:rsidR="00D92198" w:rsidRDefault="00AE1128">
            <w:pPr>
              <w:pStyle w:val="2"/>
              <w:ind w:firstLine="562"/>
              <w:jc w:val="both"/>
              <w:rPr>
                <w:rFonts w:ascii="仿宋_GB2312" w:eastAsia="仿宋_GB2312" w:hAnsi="仿宋_GB2312" w:cs="仿宋_GB2312"/>
                <w:sz w:val="28"/>
                <w:szCs w:val="28"/>
              </w:rPr>
            </w:pPr>
            <w:r>
              <w:rPr>
                <w:rFonts w:ascii="仿宋_GB2312" w:eastAsia="仿宋_GB2312" w:hAnsi="仿宋_GB2312" w:cs="仿宋_GB2312" w:hint="eastAsia"/>
                <w:b/>
                <w:bCs/>
                <w:sz w:val="28"/>
                <w:szCs w:val="28"/>
              </w:rPr>
              <w:t>2.科技创新平台建设工程。</w:t>
            </w:r>
            <w:r>
              <w:rPr>
                <w:rFonts w:ascii="仿宋_GB2312" w:eastAsia="仿宋_GB2312" w:hAnsi="仿宋_GB2312" w:cs="仿宋_GB2312" w:hint="eastAsia"/>
                <w:sz w:val="28"/>
                <w:szCs w:val="28"/>
              </w:rPr>
              <w:t>重点实验室保持在220个左右，工程技术研究中心保持在730个左右。力争新培育国家级创新平台（国家重点实验室、工程技术研究中心）1-2个，省级重点实验室5个左右、省级工程技术研究中心40个左右，省备案新型研发机构或省级技术创新中心2-3家，市级重点实验室50个左右、市级工程技术研究中心180个左右。</w:t>
            </w:r>
          </w:p>
          <w:p w:rsidR="00D92198" w:rsidRDefault="00AE1128">
            <w:pPr>
              <w:pStyle w:val="2"/>
              <w:ind w:firstLine="562"/>
              <w:jc w:val="both"/>
              <w:rPr>
                <w:rFonts w:ascii="仿宋_GB2312" w:eastAsia="仿宋_GB2312" w:hAnsi="仿宋_GB2312" w:cs="仿宋_GB2312"/>
                <w:sz w:val="28"/>
                <w:szCs w:val="28"/>
              </w:rPr>
            </w:pPr>
            <w:r>
              <w:rPr>
                <w:rFonts w:ascii="仿宋_GB2312" w:eastAsia="仿宋_GB2312" w:hAnsi="仿宋_GB2312" w:cs="仿宋_GB2312" w:hint="eastAsia"/>
                <w:b/>
                <w:bCs/>
                <w:sz w:val="28"/>
                <w:szCs w:val="28"/>
              </w:rPr>
              <w:lastRenderedPageBreak/>
              <w:t>3.创新创业平台建设工程。</w:t>
            </w:r>
            <w:r>
              <w:rPr>
                <w:rFonts w:ascii="仿宋_GB2312" w:eastAsia="仿宋_GB2312" w:hAnsi="仿宋_GB2312" w:cs="仿宋_GB2312" w:hint="eastAsia"/>
                <w:sz w:val="28"/>
                <w:szCs w:val="28"/>
              </w:rPr>
              <w:t>鼓励和支持多元化主体建设众创空间、科技企业孵化器、大学科技园等创新创业服务载体，在全市新增50个左右创新创业服务平台。</w:t>
            </w:r>
          </w:p>
          <w:p w:rsidR="00D92198" w:rsidRDefault="00AE1128">
            <w:pPr>
              <w:pStyle w:val="2"/>
              <w:ind w:firstLine="562"/>
              <w:jc w:val="both"/>
              <w:rPr>
                <w:rFonts w:eastAsia="仿宋_GB2312"/>
                <w:sz w:val="28"/>
                <w:szCs w:val="28"/>
              </w:rPr>
            </w:pPr>
            <w:r>
              <w:rPr>
                <w:rFonts w:ascii="仿宋_GB2312" w:eastAsia="仿宋_GB2312" w:hAnsi="仿宋_GB2312" w:cs="仿宋_GB2312" w:hint="eastAsia"/>
                <w:b/>
                <w:bCs/>
                <w:sz w:val="28"/>
                <w:szCs w:val="28"/>
              </w:rPr>
              <w:t>4.技术转移转化机构培育工程。</w:t>
            </w:r>
            <w:r>
              <w:rPr>
                <w:rFonts w:ascii="仿宋_GB2312" w:eastAsia="仿宋_GB2312" w:hAnsi="仿宋_GB2312" w:cs="仿宋_GB2312" w:hint="eastAsia"/>
                <w:sz w:val="28"/>
                <w:szCs w:val="28"/>
              </w:rPr>
              <w:t>增建市级技术转移服务机构8家，总数达到18家。省级技术转移服务机构2家，总数达到4家。市级产业创新战略联盟20家，省级创新战略联盟5家。</w:t>
            </w:r>
          </w:p>
        </w:tc>
      </w:tr>
    </w:tbl>
    <w:p w:rsidR="00D92198" w:rsidRDefault="00D92198">
      <w:pPr>
        <w:pStyle w:val="a0"/>
      </w:pPr>
    </w:p>
    <w:p w:rsidR="00D92198" w:rsidRDefault="00AE1128" w:rsidP="00A61652">
      <w:pPr>
        <w:pStyle w:val="2"/>
        <w:spacing w:afterLines="100" w:after="312" w:line="400" w:lineRule="exact"/>
        <w:ind w:firstLineChars="0" w:firstLine="0"/>
        <w:jc w:val="center"/>
        <w:rPr>
          <w:rFonts w:ascii="方正小标宋简体" w:eastAsia="方正小标宋简体" w:hAnsi="黑体"/>
          <w:szCs w:val="32"/>
        </w:rPr>
      </w:pPr>
      <w:r>
        <w:rPr>
          <w:rFonts w:ascii="方正小标宋简体" w:eastAsia="方正小标宋简体" w:hAnsi="黑体" w:hint="eastAsia"/>
          <w:szCs w:val="32"/>
        </w:rPr>
        <w:t>第三篇  聚焦先进制造业强市建设，着力构建现代产业体系</w:t>
      </w:r>
    </w:p>
    <w:p w:rsidR="00D92198" w:rsidRDefault="00AE1128" w:rsidP="00A61652">
      <w:pPr>
        <w:pStyle w:val="2"/>
        <w:spacing w:afterLines="100" w:after="312"/>
        <w:ind w:firstLine="640"/>
        <w:jc w:val="both"/>
        <w:rPr>
          <w:rFonts w:ascii="仿宋_GB2312" w:eastAsia="仿宋_GB2312" w:hAnsi="仿宋_GB2312" w:cs="仿宋_GB2312"/>
          <w:szCs w:val="32"/>
        </w:rPr>
      </w:pPr>
      <w:r>
        <w:rPr>
          <w:rFonts w:ascii="仿宋_GB2312" w:eastAsia="仿宋_GB2312" w:hAnsi="仿宋_GB2312" w:cs="仿宋_GB2312" w:hint="eastAsia"/>
          <w:szCs w:val="32"/>
        </w:rPr>
        <w:t>坚持把制造业高质量发展作为主攻方向，推进产业基础高级化、产业链现代化，促进先进制造业和现代服务业深度融合，集中力量培育千亿级产业集群和百亿级园区、企业。</w:t>
      </w:r>
    </w:p>
    <w:p w:rsidR="00D92198" w:rsidRDefault="00AE1128" w:rsidP="00A61652">
      <w:pPr>
        <w:widowControl/>
        <w:spacing w:afterLines="100" w:after="312" w:line="600" w:lineRule="exact"/>
        <w:jc w:val="center"/>
        <w:rPr>
          <w:rFonts w:ascii="黑体" w:eastAsia="黑体" w:hAnsi="黑体" w:cs="宋体"/>
          <w:kern w:val="0"/>
          <w:sz w:val="32"/>
          <w:szCs w:val="32"/>
        </w:rPr>
      </w:pPr>
      <w:r>
        <w:rPr>
          <w:rFonts w:ascii="黑体" w:eastAsia="黑体" w:hAnsi="黑体" w:cs="仿宋_GB2312" w:hint="eastAsia"/>
          <w:sz w:val="32"/>
          <w:szCs w:val="32"/>
        </w:rPr>
        <w:t>第八章  加快构建市域“234”工业发展格局</w:t>
      </w:r>
    </w:p>
    <w:p w:rsidR="00D92198" w:rsidRDefault="00AE1128" w:rsidP="00A61652">
      <w:pPr>
        <w:pStyle w:val="2"/>
        <w:spacing w:afterLines="100" w:after="312"/>
        <w:ind w:firstLine="640"/>
        <w:jc w:val="both"/>
        <w:rPr>
          <w:rFonts w:ascii="仿宋_GB2312" w:eastAsia="仿宋_GB2312" w:hAnsi="仿宋_GB2312" w:cs="仿宋_GB2312"/>
          <w:szCs w:val="32"/>
        </w:rPr>
      </w:pPr>
      <w:r>
        <w:rPr>
          <w:rFonts w:ascii="仿宋_GB2312" w:eastAsia="仿宋_GB2312" w:hAnsi="仿宋_GB2312" w:cs="仿宋_GB2312" w:hint="eastAsia"/>
          <w:szCs w:val="32"/>
        </w:rPr>
        <w:t>推动纺织服装、油碱化工两大传统产业转型升级，推动装备制造、绿色食品、冶金建材三大支撑产业量质齐升，推动生物医药、电子信息、新材料、新能源四大新兴产业快速壮大，加快构建市域“234”工业发展格局。分行业绘制产业链图谱，推行“链长制”，完善智能装备、数字光电、节能环保、超硬材料、5G、生物制剂与中医药、汽车及零部件、食品加工、纺织、碳酸钙等10大产业链条。开展“千企升级”行动，培育头</w:t>
      </w:r>
      <w:r>
        <w:rPr>
          <w:rFonts w:ascii="仿宋_GB2312" w:eastAsia="仿宋_GB2312" w:hAnsi="仿宋_GB2312" w:cs="仿宋_GB2312" w:hint="eastAsia"/>
          <w:szCs w:val="32"/>
        </w:rPr>
        <w:lastRenderedPageBreak/>
        <w:t>雁企业。以智能制造为引领，加快“两化”深度融合。开展质量提升行动，推动“南阳产品”向“南阳品牌”转变。</w:t>
      </w:r>
    </w:p>
    <w:p w:rsidR="00D92198" w:rsidRDefault="00AE1128" w:rsidP="00A61652">
      <w:pPr>
        <w:widowControl/>
        <w:spacing w:afterLines="100" w:after="312" w:line="600" w:lineRule="exact"/>
        <w:jc w:val="center"/>
        <w:rPr>
          <w:rFonts w:ascii="楷体_GB2312" w:eastAsia="楷体_GB2312" w:hAnsi="仿宋_GB2312" w:cs="仿宋_GB2312"/>
          <w:b/>
          <w:kern w:val="0"/>
          <w:sz w:val="32"/>
          <w:szCs w:val="32"/>
          <w:shd w:val="clear" w:color="auto" w:fill="FFFFFF"/>
        </w:rPr>
      </w:pPr>
      <w:r>
        <w:rPr>
          <w:rFonts w:ascii="楷体_GB2312" w:eastAsia="楷体_GB2312" w:hAnsi="仿宋_GB2312" w:cs="仿宋_GB2312" w:hint="eastAsia"/>
          <w:b/>
          <w:kern w:val="0"/>
          <w:sz w:val="32"/>
          <w:szCs w:val="32"/>
          <w:shd w:val="clear" w:color="auto" w:fill="FFFFFF"/>
        </w:rPr>
        <w:t>第一节  推动两大传统产业转型升级</w:t>
      </w:r>
    </w:p>
    <w:p w:rsidR="00D92198" w:rsidRDefault="00AE1128">
      <w:pPr>
        <w:pStyle w:val="2"/>
        <w:ind w:firstLine="640"/>
        <w:jc w:val="both"/>
        <w:rPr>
          <w:rFonts w:ascii="仿宋_GB2312" w:eastAsia="仿宋_GB2312" w:hAnsi="仿宋"/>
        </w:rPr>
      </w:pPr>
      <w:r>
        <w:rPr>
          <w:rFonts w:ascii="仿宋_GB2312" w:eastAsia="仿宋_GB2312" w:hAnsi="仿宋" w:hint="eastAsia"/>
        </w:rPr>
        <w:t>以延链补链、降本增效为主攻方向，打造全产业链竞争优势，推动两大传统产业向绿色化、循环化和高端化发展。</w:t>
      </w:r>
    </w:p>
    <w:p w:rsidR="00D92198" w:rsidRDefault="00AE1128">
      <w:pPr>
        <w:pStyle w:val="2"/>
        <w:ind w:firstLine="643"/>
        <w:jc w:val="both"/>
        <w:rPr>
          <w:rFonts w:ascii="仿宋_GB2312" w:eastAsia="仿宋_GB2312"/>
        </w:rPr>
      </w:pPr>
      <w:r>
        <w:rPr>
          <w:rFonts w:ascii="仿宋_GB2312" w:eastAsia="仿宋_GB2312" w:hAnsi="仿宋_GB2312" w:cs="仿宋_GB2312" w:hint="eastAsia"/>
          <w:b/>
          <w:bCs/>
        </w:rPr>
        <w:t>1.纺织服装。</w:t>
      </w:r>
      <w:r>
        <w:rPr>
          <w:rFonts w:ascii="仿宋_GB2312" w:eastAsia="仿宋_GB2312" w:hAnsi="仿宋" w:hint="eastAsia"/>
        </w:rPr>
        <w:t>以产品提质、品牌提升为方向，全面提高纺织印染水平，引进和培育服装服饰品牌，促进产业集群链式发展，成为河南重要的棉纺、高档服装面料生产和品牌服装加工基地。</w:t>
      </w:r>
    </w:p>
    <w:p w:rsidR="00D92198" w:rsidRDefault="00AE1128">
      <w:pPr>
        <w:spacing w:line="600" w:lineRule="exact"/>
        <w:ind w:firstLineChars="200" w:firstLine="643"/>
        <w:rPr>
          <w:rFonts w:ascii="仿宋_GB2312" w:eastAsia="仿宋_GB2312" w:hAnsi="Times New Roman"/>
          <w:sz w:val="32"/>
          <w:szCs w:val="32"/>
        </w:rPr>
      </w:pPr>
      <w:r>
        <w:rPr>
          <w:rFonts w:ascii="仿宋_GB2312" w:eastAsia="仿宋_GB2312" w:hAnsi="Times New Roman" w:hint="eastAsia"/>
          <w:b/>
          <w:sz w:val="32"/>
          <w:szCs w:val="32"/>
        </w:rPr>
        <w:t>——纺织印染</w:t>
      </w:r>
      <w:r>
        <w:rPr>
          <w:rFonts w:ascii="仿宋_GB2312" w:eastAsia="仿宋_GB2312" w:hAnsi="Times New Roman" w:hint="eastAsia"/>
          <w:sz w:val="32"/>
          <w:szCs w:val="32"/>
        </w:rPr>
        <w:t>。依托新纺公司、南纺公司，加快提升智能制造水平和新材料开发能力，重点发展高档精梳、多种纤维混纺、色纺纱、差别化功能化化纤混纺纱线、丝光烧毛染色纱线，积极发展医疗、汽车、建筑、包装等领域产业用非织造产品。发挥南召柞蚕茧原产地优势，依托民兴生物、纵横丝绸等丝绸加工企业，加快发展重磅绸、高档服装丝绸面料和产业用丝绸等高档丝绸制品，支持发展绵球、绢丝、</w:t>
      </w:r>
      <w:r>
        <w:rPr>
          <w:rFonts w:ascii="仿宋_GB2312" w:eastAsia="仿宋" w:hAnsi="Times New Roman" w:hint="eastAsia"/>
          <w:sz w:val="32"/>
          <w:szCs w:val="32"/>
        </w:rPr>
        <w:t>紬</w:t>
      </w:r>
      <w:r>
        <w:rPr>
          <w:rFonts w:ascii="仿宋_GB2312" w:eastAsia="仿宋_GB2312" w:hAnsi="Times New Roman" w:hint="eastAsia"/>
          <w:sz w:val="32"/>
          <w:szCs w:val="32"/>
        </w:rPr>
        <w:t>丝和桑丝被等绢纺产品，鼓励开发丝毯等丝织品。推广节能环保工艺技术，发展新型纤维、差别化纤维、功能性纤维、多组分纤维面料，提高印染产品的水平。</w:t>
      </w:r>
    </w:p>
    <w:p w:rsidR="00D92198" w:rsidRDefault="00AE1128">
      <w:pPr>
        <w:spacing w:line="600" w:lineRule="exact"/>
        <w:ind w:firstLine="648"/>
        <w:rPr>
          <w:rFonts w:ascii="仿宋_GB2312" w:eastAsia="仿宋_GB2312" w:hAnsi="Times New Roman"/>
          <w:sz w:val="32"/>
          <w:szCs w:val="32"/>
        </w:rPr>
      </w:pPr>
      <w:r>
        <w:rPr>
          <w:rFonts w:ascii="仿宋_GB2312" w:eastAsia="仿宋_GB2312" w:hAnsi="Times New Roman" w:hint="eastAsia"/>
          <w:b/>
          <w:sz w:val="32"/>
          <w:szCs w:val="32"/>
        </w:rPr>
        <w:t>——服装鞋帽</w:t>
      </w:r>
      <w:r>
        <w:rPr>
          <w:rFonts w:ascii="仿宋_GB2312" w:eastAsia="仿宋_GB2312" w:hAnsi="Times New Roman" w:hint="eastAsia"/>
          <w:sz w:val="32"/>
          <w:szCs w:val="32"/>
        </w:rPr>
        <w:t>。发挥新野、邓州、镇平、内乡等集聚区服</w:t>
      </w:r>
      <w:r>
        <w:rPr>
          <w:rFonts w:ascii="仿宋_GB2312" w:eastAsia="仿宋_GB2312" w:hAnsi="Times New Roman" w:hint="eastAsia"/>
          <w:sz w:val="32"/>
          <w:szCs w:val="32"/>
        </w:rPr>
        <w:lastRenderedPageBreak/>
        <w:t>饰鞋帽产业优势，以新奥针织、新野罗蒙服饰等骨干企业为重点，面向沿海地区组织开展纺织服装企业专题组团对接，积极承接产业转移，大力发展内衣、童装、毛衫、运动休闲装等产业基础好的针织类服装，加快发展裤装、衬衫、西服、牛仔服装和各类鞋帽产品。支持服装鞋帽品牌建设，努力引进行业品牌龙头企业，大力提高中高档产品比重，着力打造品牌服装和出口加工基地。</w:t>
      </w:r>
    </w:p>
    <w:p w:rsidR="00D92198" w:rsidRDefault="00AE1128">
      <w:pPr>
        <w:pStyle w:val="3"/>
        <w:spacing w:before="0" w:after="0" w:line="600" w:lineRule="exact"/>
        <w:ind w:firstLineChars="200" w:firstLine="643"/>
        <w:rPr>
          <w:rFonts w:ascii="仿宋_GB2312" w:eastAsia="仿宋_GB2312" w:hAnsi="仿宋"/>
          <w:b w:val="0"/>
          <w:bCs w:val="0"/>
          <w:kern w:val="0"/>
          <w:szCs w:val="20"/>
        </w:rPr>
      </w:pPr>
      <w:r>
        <w:rPr>
          <w:rFonts w:ascii="仿宋_GB2312" w:eastAsia="仿宋_GB2312" w:hAnsi="仿宋_GB2312" w:cs="仿宋_GB2312" w:hint="eastAsia"/>
          <w:kern w:val="0"/>
          <w:szCs w:val="20"/>
        </w:rPr>
        <w:t>2.油碱化工。</w:t>
      </w:r>
      <w:r>
        <w:rPr>
          <w:rFonts w:ascii="仿宋_GB2312" w:eastAsia="仿宋_GB2312" w:hAnsi="仿宋" w:hint="eastAsia"/>
          <w:b w:val="0"/>
          <w:bCs w:val="0"/>
          <w:kern w:val="0"/>
          <w:szCs w:val="20"/>
        </w:rPr>
        <w:t>以多品种、精细化、高端化为发展方向，做优做强碱硝化工、石油化工特色化工产业，着力延伸产业链条，推动绿色循环发展，初步建成全国一流的碱硝、石油化工基地和国内知名的循环经济示范园区。</w:t>
      </w:r>
    </w:p>
    <w:p w:rsidR="00D92198" w:rsidRDefault="00AE1128" w:rsidP="00A61652">
      <w:pPr>
        <w:spacing w:afterLines="100" w:after="312" w:line="600" w:lineRule="exact"/>
        <w:ind w:firstLineChars="200" w:firstLine="643"/>
        <w:rPr>
          <w:rFonts w:ascii="仿宋_GB2312" w:eastAsia="仿宋_GB2312" w:hAnsi="Times New Roman"/>
          <w:sz w:val="32"/>
          <w:szCs w:val="32"/>
        </w:rPr>
      </w:pPr>
      <w:r>
        <w:rPr>
          <w:rFonts w:ascii="仿宋_GB2312" w:eastAsia="仿宋_GB2312" w:hAnsi="Times New Roman" w:hint="eastAsia"/>
          <w:b/>
          <w:sz w:val="32"/>
          <w:szCs w:val="32"/>
        </w:rPr>
        <w:t>——碱硝化工</w:t>
      </w:r>
      <w:r>
        <w:rPr>
          <w:rFonts w:ascii="仿宋_GB2312" w:eastAsia="仿宋_GB2312" w:hAnsi="Times New Roman" w:hint="eastAsia"/>
          <w:sz w:val="32"/>
          <w:szCs w:val="32"/>
        </w:rPr>
        <w:t>。</w:t>
      </w:r>
      <w:r>
        <w:rPr>
          <w:rFonts w:ascii="仿宋_GB2312" w:eastAsia="仿宋_GB2312" w:hAnsi="仿宋" w:hint="eastAsia"/>
          <w:sz w:val="32"/>
          <w:szCs w:val="32"/>
        </w:rPr>
        <w:t>围绕桐柏博源、明星化工、中源化工等骨干企业，以天然碱资源为依托，以废渣、废气、废液、废水等废物循环综合利用为主线，着力提升优质纯碱、元明粉产品生产能力，重点发展轻质纯碱、食品级纯碱和低钙低氯纯度特种元明粉等精细化产品，加快发展小苏打、碳酸钙、硫化钠、硅酸钠等延伸产品，积极拓展硫化染料、蛋白酶及可降解塑料、玻璃、日化产品等终端化工产品，全面构建天然碱硝、精细化工、新型化工产品为一体的产业链。</w:t>
      </w:r>
      <w:r>
        <w:rPr>
          <w:rFonts w:ascii="仿宋_GB2312" w:eastAsia="仿宋_GB2312" w:hAnsi="仿宋" w:hint="eastAsia"/>
          <w:sz w:val="32"/>
          <w:szCs w:val="32"/>
        </w:rPr>
        <w:cr/>
        <w:t xml:space="preserve">    </w:t>
      </w:r>
      <w:r>
        <w:rPr>
          <w:rFonts w:ascii="仿宋_GB2312" w:eastAsia="仿宋_GB2312" w:hAnsi="Times New Roman" w:hint="eastAsia"/>
          <w:b/>
          <w:sz w:val="32"/>
          <w:szCs w:val="32"/>
        </w:rPr>
        <w:t>——石油化工</w:t>
      </w:r>
      <w:r>
        <w:rPr>
          <w:rFonts w:ascii="仿宋_GB2312" w:eastAsia="仿宋_GB2312" w:hAnsi="Times New Roman" w:hint="eastAsia"/>
          <w:sz w:val="32"/>
          <w:szCs w:val="32"/>
        </w:rPr>
        <w:t>。以南阳能源化工企业为龙头，</w:t>
      </w:r>
      <w:r>
        <w:rPr>
          <w:rFonts w:ascii="仿宋_GB2312" w:eastAsia="仿宋_GB2312" w:hAnsi="仿宋" w:hint="eastAsia"/>
          <w:sz w:val="32"/>
          <w:szCs w:val="32"/>
        </w:rPr>
        <w:t>以精蜡产品为基础，大力发展改性蜡、合成蜡、乳化蜡、微粉蜡等石蜡精</w:t>
      </w:r>
      <w:r>
        <w:rPr>
          <w:rFonts w:ascii="仿宋_GB2312" w:eastAsia="仿宋_GB2312" w:hAnsi="仿宋" w:hint="eastAsia"/>
          <w:sz w:val="32"/>
          <w:szCs w:val="32"/>
        </w:rPr>
        <w:lastRenderedPageBreak/>
        <w:t>加工产品和防护、铸造、储能等高附加值特种蜡系列产品，积极拓展特种蜡关联度高的食品、医药、日化、包装项目，推动特种蜡产业集群链式发展。延展产业链，以润滑油为重点，培育丙烷、聚丙烯、醚后碳四、石脑油、沥青等相关产业链，建成豫西南最大石油化工基地。</w:t>
      </w:r>
    </w:p>
    <w:p w:rsidR="00D92198" w:rsidRDefault="00AE1128" w:rsidP="00A61652">
      <w:pPr>
        <w:pStyle w:val="2"/>
        <w:spacing w:afterLines="100" w:after="312"/>
        <w:ind w:firstLineChars="0" w:firstLine="0"/>
        <w:jc w:val="center"/>
        <w:rPr>
          <w:rFonts w:ascii="楷体_GB2312" w:eastAsia="楷体_GB2312" w:hAnsi="楷体" w:cs="仿宋_GB2312"/>
          <w:b/>
          <w:kern w:val="2"/>
          <w:szCs w:val="32"/>
        </w:rPr>
      </w:pPr>
      <w:r>
        <w:rPr>
          <w:rFonts w:ascii="楷体_GB2312" w:eastAsia="楷体_GB2312" w:hAnsi="楷体" w:cs="仿宋_GB2312" w:hint="eastAsia"/>
          <w:b/>
          <w:kern w:val="2"/>
          <w:szCs w:val="32"/>
        </w:rPr>
        <w:t>第二节  推动三大支撑产业量质齐升</w:t>
      </w:r>
    </w:p>
    <w:p w:rsidR="00D92198" w:rsidRDefault="00AE1128">
      <w:pPr>
        <w:widowControl/>
        <w:spacing w:line="600" w:lineRule="exact"/>
        <w:ind w:firstLineChars="200" w:firstLine="640"/>
        <w:rPr>
          <w:rFonts w:ascii="仿宋_GB2312" w:eastAsia="仿宋_GB2312" w:hAnsi="微软雅黑" w:cs="宋体"/>
          <w:kern w:val="0"/>
          <w:sz w:val="32"/>
          <w:szCs w:val="32"/>
        </w:rPr>
      </w:pPr>
      <w:r>
        <w:rPr>
          <w:rFonts w:ascii="仿宋_GB2312" w:eastAsia="仿宋_GB2312" w:hAnsi="微软雅黑" w:cs="宋体" w:hint="eastAsia"/>
          <w:kern w:val="0"/>
          <w:sz w:val="32"/>
          <w:szCs w:val="32"/>
        </w:rPr>
        <w:t>大力发展特色鲜明、技术水平高的装备制造产业，国内需求旺盛、发展基础好的绿色食品产业，现有规模较大、市场占有率高的冶金建材产业，提高产业链现代化水平，延伸完善产业链条，到2025年，三大支撑产业规模均达到千亿元以上。</w:t>
      </w:r>
    </w:p>
    <w:p w:rsidR="00D92198" w:rsidRDefault="00AE1128">
      <w:pPr>
        <w:widowControl/>
        <w:spacing w:line="600" w:lineRule="exact"/>
        <w:ind w:firstLineChars="200" w:firstLine="643"/>
        <w:rPr>
          <w:rFonts w:ascii="仿宋_GB2312" w:eastAsia="仿宋_GB2312" w:hAnsi="微软雅黑" w:cs="宋体"/>
          <w:kern w:val="0"/>
          <w:sz w:val="32"/>
          <w:szCs w:val="32"/>
        </w:rPr>
      </w:pPr>
      <w:r>
        <w:rPr>
          <w:rFonts w:ascii="仿宋_GB2312" w:eastAsia="仿宋_GB2312" w:hAnsi="仿宋_GB2312" w:cs="仿宋_GB2312" w:hint="eastAsia"/>
          <w:b/>
          <w:bCs/>
          <w:kern w:val="0"/>
          <w:sz w:val="32"/>
          <w:szCs w:val="20"/>
        </w:rPr>
        <w:t>1.装备制造。</w:t>
      </w:r>
      <w:r>
        <w:rPr>
          <w:rFonts w:ascii="仿宋_GB2312" w:eastAsia="仿宋_GB2312" w:hAnsi="微软雅黑" w:cs="宋体" w:hint="eastAsia"/>
          <w:kern w:val="0"/>
          <w:sz w:val="32"/>
          <w:szCs w:val="32"/>
        </w:rPr>
        <w:t>坚持“创新驱动、智能转型、高端引领”发展思路，推动防爆电气装备、输变电装备、汽车零部件向系统集成和整体解决方案提供商转变，加强农牧及特色装备技术创新。</w:t>
      </w:r>
    </w:p>
    <w:p w:rsidR="00D92198" w:rsidRDefault="00AE1128">
      <w:pPr>
        <w:widowControl/>
        <w:spacing w:line="600" w:lineRule="exact"/>
        <w:ind w:firstLineChars="200" w:firstLine="643"/>
        <w:rPr>
          <w:rFonts w:ascii="仿宋_GB2312" w:eastAsia="仿宋_GB2312" w:hAnsi="微软雅黑" w:cs="宋体"/>
          <w:kern w:val="0"/>
          <w:sz w:val="32"/>
          <w:szCs w:val="32"/>
        </w:rPr>
      </w:pPr>
      <w:r>
        <w:rPr>
          <w:rFonts w:ascii="仿宋_GB2312" w:eastAsia="仿宋_GB2312" w:hAnsi="微软雅黑" w:cs="宋体" w:hint="eastAsia"/>
          <w:b/>
          <w:kern w:val="0"/>
          <w:sz w:val="32"/>
          <w:szCs w:val="32"/>
        </w:rPr>
        <w:t>——防爆电气装备。</w:t>
      </w:r>
      <w:r>
        <w:rPr>
          <w:rFonts w:ascii="仿宋_GB2312" w:eastAsia="仿宋_GB2312" w:hAnsi="微软雅黑" w:cs="宋体" w:hint="eastAsia"/>
          <w:kern w:val="0"/>
          <w:sz w:val="32"/>
          <w:szCs w:val="32"/>
        </w:rPr>
        <w:t>依托卧龙电气、防爆研究所、瑞发电气等龙头企业，坚持“大型化、高端化、成套化”发展思路，重点开发防爆电机、核级电机、高效节能电机、防爆节能风机等防爆电动机产品系列，以防爆材料和元器件为基础，以防爆电机为核心，推动南阳防爆技术研发、产品制造、集成服务和技术检测协同发展，不断提升航空航天、轨道交通、海洋工程</w:t>
      </w:r>
      <w:r>
        <w:rPr>
          <w:rFonts w:ascii="仿宋_GB2312" w:eastAsia="仿宋_GB2312" w:hAnsi="微软雅黑" w:cs="宋体" w:hint="eastAsia"/>
          <w:kern w:val="0"/>
          <w:sz w:val="32"/>
          <w:szCs w:val="32"/>
        </w:rPr>
        <w:lastRenderedPageBreak/>
        <w:t>等领域防爆设备集成化能力，开拓核电、军工、风电、高铁等高端应用产品。推进卧龙电气出口型电机和大型电机生产基地建设，加快全球产业集聚和品牌国际化。</w:t>
      </w:r>
    </w:p>
    <w:p w:rsidR="00D92198" w:rsidRDefault="00AE1128">
      <w:pPr>
        <w:widowControl/>
        <w:spacing w:line="600" w:lineRule="exact"/>
        <w:ind w:firstLineChars="200" w:firstLine="643"/>
        <w:rPr>
          <w:rFonts w:ascii="仿宋_GB2312" w:eastAsia="仿宋_GB2312" w:hAnsi="微软雅黑" w:cs="宋体"/>
          <w:kern w:val="0"/>
          <w:sz w:val="32"/>
          <w:szCs w:val="32"/>
        </w:rPr>
      </w:pPr>
      <w:r>
        <w:rPr>
          <w:rFonts w:ascii="仿宋_GB2312" w:eastAsia="仿宋_GB2312" w:hAnsi="微软雅黑" w:cs="宋体" w:hint="eastAsia"/>
          <w:b/>
          <w:kern w:val="0"/>
          <w:sz w:val="32"/>
          <w:szCs w:val="32"/>
        </w:rPr>
        <w:t>——输变电装备。</w:t>
      </w:r>
      <w:r>
        <w:rPr>
          <w:rFonts w:ascii="仿宋_GB2312" w:eastAsia="仿宋_GB2312" w:hAnsi="微软雅黑" w:cs="宋体" w:hint="eastAsia"/>
          <w:kern w:val="0"/>
          <w:sz w:val="32"/>
          <w:szCs w:val="32"/>
        </w:rPr>
        <w:t>以金冠、飞龙、天力等龙头企业为引领，坚持“集成化、智能化、高端化”发展路径，围绕避雷器、互感器、变压器、高压开关四大优势产品线，推动核心产品向小型化、低功耗、低噪音方向升级，积极开发特高压变电设备、新能源储能并网设备、坚强电网智能配电设备等高端产品，加快构建以变配电装备、输变电控制装备、输变电保护与监控装备、特高压交直流输变电成套装备、新能源并网设备的电力装备制造产业链条。推动金冠智能电气装备产业园建设，引领南阳输变电产业向高端化发展。</w:t>
      </w:r>
    </w:p>
    <w:p w:rsidR="00D92198" w:rsidRDefault="00AE1128">
      <w:pPr>
        <w:widowControl/>
        <w:spacing w:line="600" w:lineRule="exact"/>
        <w:ind w:firstLineChars="200" w:firstLine="643"/>
        <w:rPr>
          <w:rFonts w:ascii="仿宋_GB2312" w:eastAsia="仿宋_GB2312" w:hAnsi="微软雅黑" w:cs="宋体"/>
          <w:kern w:val="0"/>
          <w:sz w:val="32"/>
          <w:szCs w:val="32"/>
        </w:rPr>
      </w:pPr>
      <w:r>
        <w:rPr>
          <w:rFonts w:ascii="仿宋_GB2312" w:eastAsia="仿宋_GB2312" w:hAnsi="微软雅黑" w:cs="宋体" w:hint="eastAsia"/>
          <w:b/>
          <w:kern w:val="0"/>
          <w:sz w:val="32"/>
          <w:szCs w:val="32"/>
        </w:rPr>
        <w:t>——汽车零部件。</w:t>
      </w:r>
      <w:r>
        <w:rPr>
          <w:rFonts w:ascii="仿宋_GB2312" w:eastAsia="仿宋_GB2312" w:hAnsi="微软雅黑" w:cs="宋体" w:hint="eastAsia"/>
          <w:kern w:val="0"/>
          <w:sz w:val="32"/>
          <w:szCs w:val="32"/>
        </w:rPr>
        <w:t>以淅减公司、飞龙公司、众德公司、劲派集团等企业为龙头，提高排气歧管、水泵、飞轮壳、涡轮壳、电子开关水泵、增压器涡轮壳、车锁、机油泵、车用电子等优势产品品质，推动ADS（可调式避震系统）、轨道交通减震器研发与生产，进一步巩固与国内大型汽车集团的合作、协作关系，加快汽车零部件轻量化、自动化、智能化转型，推进汽车零部件从部件向系统集成，从传统汽车向新能源汽车转型。推进涡轮增压器壳体绿色化改造、纤维刹车片等项目建设，做大做强汽车零部件产业。</w:t>
      </w:r>
    </w:p>
    <w:p w:rsidR="00D92198" w:rsidRDefault="00AE1128">
      <w:pPr>
        <w:widowControl/>
        <w:spacing w:line="600" w:lineRule="exact"/>
        <w:ind w:firstLineChars="200" w:firstLine="643"/>
        <w:rPr>
          <w:rFonts w:ascii="仿宋_GB2312" w:eastAsia="仿宋_GB2312" w:hAnsi="微软雅黑" w:cs="宋体"/>
          <w:kern w:val="0"/>
          <w:sz w:val="32"/>
          <w:szCs w:val="32"/>
        </w:rPr>
      </w:pPr>
      <w:r>
        <w:rPr>
          <w:rFonts w:ascii="仿宋_GB2312" w:eastAsia="仿宋_GB2312" w:hAnsi="微软雅黑" w:cs="宋体" w:hint="eastAsia"/>
          <w:b/>
          <w:kern w:val="0"/>
          <w:sz w:val="32"/>
          <w:szCs w:val="32"/>
        </w:rPr>
        <w:lastRenderedPageBreak/>
        <w:t>——农牧及特色装备。</w:t>
      </w:r>
      <w:r>
        <w:rPr>
          <w:rFonts w:ascii="仿宋_GB2312" w:eastAsia="仿宋_GB2312" w:hAnsi="微软雅黑" w:cs="宋体" w:hint="eastAsia"/>
          <w:kern w:val="0"/>
          <w:sz w:val="32"/>
          <w:szCs w:val="32"/>
        </w:rPr>
        <w:t>依托牧原装备、亚澳农机等龙头企业，推动畜牧用巡检机器人，粪污固液分离机、板下清粪机器人，空气过滤器以及智能饲喂、养殖场环保装备的研发生产，推动旋耕播种施肥机、变速旋耕机、变速联合耕整机向高端化、智能化迈进。依托二机石油装备集团，提高极寒、极深、复杂储藏条件和深海、页岩、煤层非常规资源开采核心技术设备，提供油气装备总承包能力，推动服务化转型。依托瀚瑞特轴承、勤大钢管、云扬钢球、奋钧轴承等龙头企业，延长轴承铸造产业链，推动轴承铸造产业由原材料加工向精深加工、由半成品生产向终端产品生产、由粗放型加工向高附加值加工转型。推进牧原农牧装备产业园、亚澳南阳农机大型复式高效旋耕机智能制造等项目建设，打造河南重点农牧装备产业基地。</w:t>
      </w:r>
    </w:p>
    <w:p w:rsidR="00D92198" w:rsidRDefault="00AE1128">
      <w:pPr>
        <w:widowControl/>
        <w:spacing w:line="600" w:lineRule="exact"/>
        <w:ind w:firstLineChars="200" w:firstLine="643"/>
        <w:rPr>
          <w:rFonts w:ascii="仿宋_GB2312" w:eastAsia="仿宋_GB2312" w:hAnsi="微软雅黑" w:cs="宋体"/>
          <w:kern w:val="0"/>
          <w:sz w:val="32"/>
          <w:szCs w:val="32"/>
        </w:rPr>
      </w:pPr>
      <w:r>
        <w:rPr>
          <w:rFonts w:ascii="仿宋_GB2312" w:eastAsia="仿宋_GB2312" w:hAnsi="仿宋_GB2312" w:cs="仿宋_GB2312" w:hint="eastAsia"/>
          <w:b/>
          <w:bCs/>
          <w:kern w:val="0"/>
          <w:sz w:val="32"/>
          <w:szCs w:val="20"/>
        </w:rPr>
        <w:t>2.绿色食品。</w:t>
      </w:r>
      <w:r>
        <w:rPr>
          <w:rFonts w:ascii="仿宋_GB2312" w:eastAsia="仿宋_GB2312" w:hAnsi="微软雅黑" w:cs="宋体" w:hint="eastAsia"/>
          <w:kern w:val="0"/>
          <w:sz w:val="32"/>
          <w:szCs w:val="32"/>
        </w:rPr>
        <w:t>坚持绿色安全、品牌提升、三产融合，加强地域特色品牌培育，创新生产营销方式，做大做强肉制品、粮油制品、酒及饮料、特色食品四大优势产业。</w:t>
      </w:r>
    </w:p>
    <w:p w:rsidR="00D92198" w:rsidRDefault="00AE1128">
      <w:pPr>
        <w:spacing w:line="600" w:lineRule="exact"/>
        <w:ind w:firstLineChars="200" w:firstLine="643"/>
        <w:rPr>
          <w:rFonts w:ascii="仿宋_GB2312" w:eastAsia="仿宋_GB2312" w:hAnsi="仿宋"/>
          <w:sz w:val="32"/>
          <w:szCs w:val="32"/>
          <w:shd w:val="clear" w:color="auto" w:fill="FFFFFF"/>
        </w:rPr>
      </w:pPr>
      <w:r>
        <w:rPr>
          <w:rFonts w:ascii="仿宋_GB2312" w:eastAsia="仿宋_GB2312" w:hAnsi="Times New Roman" w:hint="eastAsia"/>
          <w:b/>
          <w:sz w:val="32"/>
          <w:szCs w:val="32"/>
        </w:rPr>
        <w:t>——肉制品</w:t>
      </w:r>
      <w:r>
        <w:rPr>
          <w:rFonts w:ascii="仿宋_GB2312" w:eastAsia="仿宋_GB2312" w:hAnsi="Times New Roman" w:hint="eastAsia"/>
          <w:sz w:val="32"/>
          <w:szCs w:val="32"/>
        </w:rPr>
        <w:t>。</w:t>
      </w:r>
      <w:r>
        <w:rPr>
          <w:rFonts w:ascii="仿宋_GB2312" w:eastAsia="仿宋_GB2312" w:hAnsi="仿宋" w:hint="eastAsia"/>
          <w:sz w:val="32"/>
          <w:szCs w:val="32"/>
        </w:rPr>
        <w:t>以牧原食品、科尔沁食品为龙头，鼓励引导企业</w:t>
      </w:r>
      <w:r>
        <w:rPr>
          <w:rFonts w:ascii="仿宋_GB2312" w:eastAsia="仿宋_GB2312" w:hAnsi="仿宋" w:hint="eastAsia"/>
          <w:sz w:val="32"/>
          <w:szCs w:val="32"/>
          <w:shd w:val="clear" w:color="auto" w:fill="FFFFFF"/>
        </w:rPr>
        <w:t>以屠宰和肉制品为核心，</w:t>
      </w:r>
      <w:r>
        <w:rPr>
          <w:rFonts w:ascii="仿宋_GB2312" w:eastAsia="仿宋_GB2312" w:hAnsi="仿宋" w:hint="eastAsia"/>
          <w:sz w:val="32"/>
          <w:szCs w:val="32"/>
        </w:rPr>
        <w:t>积极开发高端熟肉制品、冷冻及调理肉制品、功能性肉制品，</w:t>
      </w:r>
      <w:r>
        <w:rPr>
          <w:rFonts w:ascii="仿宋_GB2312" w:eastAsia="仿宋_GB2312" w:hAnsi="仿宋" w:hint="eastAsia"/>
          <w:sz w:val="32"/>
          <w:szCs w:val="32"/>
          <w:shd w:val="clear" w:color="auto" w:fill="FFFFFF"/>
        </w:rPr>
        <w:t>提高畜产品精深加工比例和附加值，引领肉制品产业链条现代化、标准化、规模化、集约化发展。</w:t>
      </w:r>
      <w:r>
        <w:rPr>
          <w:rFonts w:ascii="仿宋_GB2312" w:eastAsia="仿宋_GB2312" w:hAnsi="仿宋" w:hint="eastAsia"/>
          <w:sz w:val="32"/>
          <w:szCs w:val="32"/>
        </w:rPr>
        <w:t>加快推进</w:t>
      </w:r>
      <w:r>
        <w:rPr>
          <w:rFonts w:ascii="仿宋_GB2312" w:eastAsia="仿宋_GB2312" w:hAnsi="仿宋" w:cs="仿宋_GB2312" w:hint="eastAsia"/>
          <w:sz w:val="32"/>
          <w:szCs w:val="32"/>
        </w:rPr>
        <w:t>牧原集团生猪养殖屠宰加工食品产业园、牧原食品生猪屠宰等项目建设</w:t>
      </w:r>
      <w:r>
        <w:rPr>
          <w:rFonts w:ascii="仿宋_GB2312" w:eastAsia="仿宋_GB2312" w:hAnsi="仿宋" w:hint="eastAsia"/>
          <w:sz w:val="32"/>
          <w:szCs w:val="32"/>
        </w:rPr>
        <w:t>，</w:t>
      </w:r>
      <w:r>
        <w:rPr>
          <w:rFonts w:ascii="仿宋_GB2312" w:eastAsia="仿宋_GB2312" w:hAnsi="仿宋" w:hint="eastAsia"/>
          <w:sz w:val="32"/>
          <w:szCs w:val="32"/>
          <w:shd w:val="clear" w:color="auto" w:fill="FFFFFF"/>
        </w:rPr>
        <w:t>形成以养殖-屠宰-肉制品</w:t>
      </w:r>
      <w:r>
        <w:rPr>
          <w:rStyle w:val="NormalCharacter"/>
          <w:rFonts w:ascii="仿宋_GB2312" w:eastAsia="仿宋_GB2312" w:hAnsi="仿宋" w:hint="eastAsia"/>
          <w:sz w:val="32"/>
          <w:szCs w:val="32"/>
        </w:rPr>
        <w:t>加工</w:t>
      </w:r>
      <w:r>
        <w:rPr>
          <w:rFonts w:ascii="仿宋_GB2312" w:eastAsia="仿宋_GB2312" w:hAnsi="仿宋" w:hint="eastAsia"/>
          <w:sz w:val="32"/>
          <w:szCs w:val="32"/>
          <w:shd w:val="clear" w:color="auto" w:fill="FFFFFF"/>
        </w:rPr>
        <w:t>-饲料加</w:t>
      </w:r>
      <w:r>
        <w:rPr>
          <w:rFonts w:ascii="仿宋_GB2312" w:eastAsia="仿宋_GB2312" w:hAnsi="仿宋" w:hint="eastAsia"/>
          <w:sz w:val="32"/>
          <w:szCs w:val="32"/>
          <w:shd w:val="clear" w:color="auto" w:fill="FFFFFF"/>
        </w:rPr>
        <w:lastRenderedPageBreak/>
        <w:t>工</w:t>
      </w:r>
      <w:r>
        <w:rPr>
          <w:rStyle w:val="NormalCharacter"/>
          <w:rFonts w:ascii="仿宋_GB2312" w:eastAsia="仿宋_GB2312" w:hAnsi="仿宋" w:hint="eastAsia"/>
          <w:sz w:val="32"/>
          <w:szCs w:val="32"/>
        </w:rPr>
        <w:t>及综合利用</w:t>
      </w:r>
      <w:r>
        <w:rPr>
          <w:rFonts w:ascii="仿宋_GB2312" w:eastAsia="仿宋_GB2312" w:hAnsi="仿宋" w:hint="eastAsia"/>
          <w:sz w:val="32"/>
          <w:szCs w:val="32"/>
          <w:shd w:val="clear" w:color="auto" w:fill="FFFFFF"/>
        </w:rPr>
        <w:t>-</w:t>
      </w:r>
      <w:r>
        <w:rPr>
          <w:rFonts w:ascii="仿宋_GB2312" w:eastAsia="仿宋_GB2312" w:hAnsi="仿宋" w:hint="eastAsia"/>
          <w:sz w:val="32"/>
          <w:szCs w:val="32"/>
        </w:rPr>
        <w:t>现代化智能仓储物流</w:t>
      </w:r>
      <w:r>
        <w:rPr>
          <w:rFonts w:ascii="仿宋_GB2312" w:eastAsia="仿宋_GB2312" w:hAnsi="仿宋" w:hint="eastAsia"/>
          <w:sz w:val="32"/>
          <w:szCs w:val="32"/>
          <w:shd w:val="clear" w:color="auto" w:fill="FFFFFF"/>
        </w:rPr>
        <w:t>等一体化的产业链。</w:t>
      </w:r>
    </w:p>
    <w:p w:rsidR="00D92198" w:rsidRDefault="00AE1128">
      <w:pPr>
        <w:spacing w:line="600" w:lineRule="exact"/>
        <w:ind w:firstLine="648"/>
        <w:rPr>
          <w:rFonts w:ascii="仿宋_GB2312" w:eastAsia="仿宋_GB2312" w:hAnsi="Times New Roman"/>
          <w:sz w:val="32"/>
          <w:szCs w:val="32"/>
        </w:rPr>
      </w:pPr>
      <w:r>
        <w:rPr>
          <w:rFonts w:ascii="仿宋_GB2312" w:eastAsia="仿宋_GB2312" w:hAnsi="Times New Roman" w:hint="eastAsia"/>
          <w:b/>
          <w:sz w:val="32"/>
          <w:szCs w:val="32"/>
        </w:rPr>
        <w:t>——粮油制品</w:t>
      </w:r>
      <w:r>
        <w:rPr>
          <w:rFonts w:ascii="仿宋_GB2312" w:eastAsia="仿宋_GB2312" w:hAnsi="Times New Roman" w:hint="eastAsia"/>
          <w:sz w:val="32"/>
          <w:szCs w:val="32"/>
        </w:rPr>
        <w:t>。</w:t>
      </w:r>
      <w:r>
        <w:rPr>
          <w:rFonts w:ascii="仿宋_GB2312" w:eastAsia="仿宋_GB2312" w:hAnsi="仿宋" w:cs="仿宋_GB2312" w:hint="eastAsia"/>
          <w:sz w:val="32"/>
          <w:szCs w:val="32"/>
        </w:rPr>
        <w:t>以想念食品为龙头，巩</w:t>
      </w:r>
      <w:r>
        <w:rPr>
          <w:rFonts w:ascii="仿宋_GB2312" w:eastAsia="仿宋_GB2312" w:hAnsi="仿宋" w:hint="eastAsia"/>
          <w:sz w:val="32"/>
          <w:szCs w:val="32"/>
        </w:rPr>
        <w:t>固提升花色挂面品牌优势，发展优质面粉、全麦粉、高档专用面粉和功能性面粉，引入FD冻干面技术，加大生鲜面、熟鲜面份额，提高产品档次和附加值</w:t>
      </w:r>
      <w:r>
        <w:rPr>
          <w:rFonts w:ascii="仿宋_GB2312" w:eastAsia="仿宋_GB2312" w:hAnsi="仿宋" w:cs="仿宋_GB2312" w:hint="eastAsia"/>
          <w:sz w:val="32"/>
          <w:szCs w:val="32"/>
        </w:rPr>
        <w:t>。以三源粮油为龙头，建立优质专用油料基地，培育有机、绿色高油酸花生油，开发油料蛋白、生物活性物质等高端油制品产品。</w:t>
      </w:r>
      <w:r>
        <w:rPr>
          <w:rFonts w:ascii="仿宋_GB2312" w:eastAsia="仿宋_GB2312" w:hAnsi="仿宋" w:hint="eastAsia"/>
          <w:sz w:val="32"/>
          <w:szCs w:val="32"/>
        </w:rPr>
        <w:t>加快推进镇平想念产业园二期建设，延伸小麦—专用面粉—面制品精深加工产业链。</w:t>
      </w:r>
    </w:p>
    <w:p w:rsidR="00D92198" w:rsidRDefault="00AE1128">
      <w:pPr>
        <w:spacing w:line="600" w:lineRule="exact"/>
        <w:ind w:firstLine="648"/>
        <w:rPr>
          <w:rFonts w:ascii="仿宋_GB2312" w:eastAsia="仿宋_GB2312" w:hAnsi="Times New Roman"/>
          <w:sz w:val="32"/>
          <w:szCs w:val="32"/>
        </w:rPr>
      </w:pPr>
      <w:r>
        <w:rPr>
          <w:rFonts w:ascii="仿宋_GB2312" w:eastAsia="仿宋_GB2312" w:hAnsi="Times New Roman" w:hint="eastAsia"/>
          <w:b/>
          <w:sz w:val="32"/>
          <w:szCs w:val="32"/>
        </w:rPr>
        <w:t>——酒及饮料</w:t>
      </w:r>
      <w:r>
        <w:rPr>
          <w:rFonts w:ascii="仿宋_GB2312" w:eastAsia="仿宋_GB2312" w:hAnsi="Times New Roman" w:hint="eastAsia"/>
          <w:sz w:val="32"/>
          <w:szCs w:val="32"/>
        </w:rPr>
        <w:t>。发挥赊店老酒、三色鸽、娃哈哈等骨干企业带头作用，丰富饮料、酒及乳制品产品种类，实施品质提升、质量创优工程，做优产品，做强品牌，扩大本地饮料、酒及乳制品的市场占有率，探索适合市场需求的休闲观光、文化旅游、科普宣传、创意体验等三产融合新模式。引导宛酒企业充分挖掘宛酒文化，提升核心品牌的内涵和定位，提升品牌美誉度、知名度和影响力。</w:t>
      </w:r>
    </w:p>
    <w:p w:rsidR="00D92198" w:rsidRDefault="00AE1128">
      <w:pPr>
        <w:spacing w:line="600" w:lineRule="exact"/>
        <w:ind w:firstLine="648"/>
        <w:rPr>
          <w:rFonts w:ascii="仿宋_GB2312" w:eastAsia="仿宋_GB2312" w:hAnsi="仿宋" w:cs="仿宋_GB2312"/>
          <w:sz w:val="32"/>
          <w:szCs w:val="32"/>
        </w:rPr>
      </w:pPr>
      <w:r>
        <w:rPr>
          <w:rFonts w:ascii="仿宋_GB2312" w:eastAsia="仿宋_GB2312" w:hAnsi="Times New Roman" w:hint="eastAsia"/>
          <w:b/>
          <w:sz w:val="32"/>
          <w:szCs w:val="32"/>
        </w:rPr>
        <w:t>——特色食品</w:t>
      </w:r>
      <w:r>
        <w:rPr>
          <w:rFonts w:ascii="仿宋_GB2312" w:eastAsia="仿宋_GB2312" w:hAnsi="Times New Roman" w:hint="eastAsia"/>
          <w:sz w:val="32"/>
          <w:szCs w:val="32"/>
        </w:rPr>
        <w:t>。</w:t>
      </w:r>
      <w:r>
        <w:rPr>
          <w:rFonts w:ascii="仿宋_GB2312" w:eastAsia="仿宋_GB2312" w:hAnsi="仿宋" w:cs="仿宋_GB2312" w:hint="eastAsia"/>
          <w:sz w:val="32"/>
          <w:szCs w:val="32"/>
        </w:rPr>
        <w:t>以仲景食品为龙头，</w:t>
      </w:r>
      <w:r>
        <w:rPr>
          <w:rFonts w:ascii="仿宋_GB2312" w:eastAsia="仿宋_GB2312" w:hAnsi="仿宋" w:hint="eastAsia"/>
          <w:sz w:val="32"/>
          <w:szCs w:val="32"/>
        </w:rPr>
        <w:t>巩固现有</w:t>
      </w:r>
      <w:r>
        <w:rPr>
          <w:rFonts w:ascii="仿宋_GB2312" w:eastAsia="仿宋_GB2312" w:hAnsi="仿宋" w:cs="宋体" w:hint="eastAsia"/>
          <w:kern w:val="0"/>
          <w:sz w:val="32"/>
          <w:szCs w:val="32"/>
        </w:rPr>
        <w:t>香菇酱、猕猴桃汁、超临界香辛食品配料等系列产品优势，</w:t>
      </w:r>
      <w:r>
        <w:rPr>
          <w:rFonts w:ascii="仿宋_GB2312" w:eastAsia="仿宋_GB2312" w:hAnsi="仿宋" w:hint="eastAsia"/>
          <w:sz w:val="32"/>
          <w:szCs w:val="32"/>
        </w:rPr>
        <w:t>加快果蔬萃取等高新技术研发和应用，开发食用菌酱菜类、菌汤类、饼干类、休闲食品类等系列深加工产品，建立南阳香菇、猕猴桃特色食品生产基地，扩大产品出口，构建集“研发-种植-包装-储存加工-销售”为一体的全产业链，打造具有特色资源优势和领先技</w:t>
      </w:r>
      <w:r>
        <w:rPr>
          <w:rFonts w:ascii="仿宋_GB2312" w:eastAsia="仿宋_GB2312" w:hAnsi="仿宋" w:hint="eastAsia"/>
          <w:sz w:val="32"/>
          <w:szCs w:val="32"/>
        </w:rPr>
        <w:lastRenderedPageBreak/>
        <w:t>术优势的创新型健康食品。</w:t>
      </w:r>
      <w:r>
        <w:rPr>
          <w:rFonts w:ascii="仿宋_GB2312" w:eastAsia="仿宋_GB2312" w:hAnsi="仿宋" w:cs="仿宋_GB2312" w:hint="eastAsia"/>
          <w:sz w:val="32"/>
          <w:szCs w:val="32"/>
        </w:rPr>
        <w:t>加快科技果酱、速冻水果加工、生态有机茶种植加工等项目建设，推动产品结构优化提升。</w:t>
      </w:r>
    </w:p>
    <w:p w:rsidR="00D92198" w:rsidRDefault="00AE1128">
      <w:pPr>
        <w:widowControl/>
        <w:spacing w:line="600" w:lineRule="exact"/>
        <w:ind w:firstLineChars="200" w:firstLine="643"/>
        <w:rPr>
          <w:rFonts w:ascii="仿宋_GB2312" w:eastAsia="仿宋_GB2312" w:hAnsi="仿宋"/>
          <w:sz w:val="32"/>
          <w:szCs w:val="32"/>
        </w:rPr>
      </w:pPr>
      <w:r>
        <w:rPr>
          <w:rFonts w:ascii="仿宋_GB2312" w:eastAsia="仿宋_GB2312" w:hAnsi="仿宋_GB2312" w:cs="仿宋_GB2312" w:hint="eastAsia"/>
          <w:b/>
          <w:bCs/>
          <w:kern w:val="0"/>
          <w:sz w:val="32"/>
          <w:szCs w:val="20"/>
        </w:rPr>
        <w:t>3.冶金建材。</w:t>
      </w:r>
      <w:r>
        <w:rPr>
          <w:rFonts w:ascii="仿宋_GB2312" w:eastAsia="仿宋_GB2312" w:hAnsi="仿宋" w:hint="eastAsia"/>
          <w:sz w:val="32"/>
          <w:szCs w:val="32"/>
        </w:rPr>
        <w:t>以“绿色、减量、提质、增效”为方向，以大型特钢、铝材加工、绿色冶铸等为重点，提升发展金属冶炼压延水平，培育金属精深加工产品，打造全国最大的冶金功能材料基地。以改造提升、加环延链为方向，以水泥、装配式建筑、涂料及墙体材料等为重点，推行智能制造应用，开展模式创新，推动产品向绿色化、高端化发展。</w:t>
      </w:r>
    </w:p>
    <w:p w:rsidR="00D92198" w:rsidRDefault="00AE1128">
      <w:pPr>
        <w:spacing w:line="600" w:lineRule="exact"/>
        <w:ind w:firstLine="648"/>
        <w:rPr>
          <w:rFonts w:ascii="仿宋_GB2312" w:eastAsia="仿宋_GB2312" w:hAnsi="仿宋"/>
          <w:sz w:val="32"/>
          <w:szCs w:val="32"/>
        </w:rPr>
      </w:pPr>
      <w:r>
        <w:rPr>
          <w:rFonts w:ascii="仿宋_GB2312" w:eastAsia="仿宋_GB2312" w:hAnsi="仿宋" w:hint="eastAsia"/>
          <w:b/>
          <w:bCs/>
          <w:sz w:val="32"/>
          <w:szCs w:val="32"/>
        </w:rPr>
        <w:t>——冶金。</w:t>
      </w:r>
      <w:r>
        <w:rPr>
          <w:rFonts w:ascii="仿宋_GB2312" w:eastAsia="仿宋_GB2312" w:hAnsi="仿宋" w:hint="eastAsia"/>
          <w:sz w:val="32"/>
          <w:szCs w:val="32"/>
        </w:rPr>
        <w:t>以南阳汉冶特钢为龙头， 积极发展大型特钢锻件产品，提高特厚钢的工艺绿色化、智能化水平。以荣阳实业为龙头，重点发展包装、建筑用铝材精加工产品，积极开发铝制汽车部件产品，引进高端精密铝型材加工项目。鼓励南召云铸企业建造大型绿色冶铸一体化高端铸造产业基地，成为中原精品铸造产业的标杆和全国高端铸造产品集散地。以西保集团、通宇公司、龙成冶金材料为依托，保持连铸结晶器保护渣、电渣重熔保护渣、模铸保护渣产品优势，研发特种钢、高品质钢用保护渣，空心颗粒保护渣，无氟连铸保护渣，提高资源利用率和生产自动化水平。</w:t>
      </w:r>
    </w:p>
    <w:p w:rsidR="00D92198" w:rsidRDefault="00AE1128" w:rsidP="00A61652">
      <w:pPr>
        <w:spacing w:afterLines="100" w:after="312" w:line="600" w:lineRule="exact"/>
        <w:ind w:firstLine="646"/>
        <w:rPr>
          <w:rFonts w:ascii="仿宋_GB2312" w:eastAsia="仿宋_GB2312" w:hAnsi="Times New Roman"/>
          <w:sz w:val="32"/>
          <w:szCs w:val="32"/>
        </w:rPr>
      </w:pPr>
      <w:r>
        <w:rPr>
          <w:rFonts w:ascii="仿宋_GB2312" w:eastAsia="仿宋_GB2312" w:hint="eastAsia"/>
          <w:b/>
          <w:sz w:val="32"/>
          <w:szCs w:val="32"/>
        </w:rPr>
        <w:t>——建材。</w:t>
      </w:r>
      <w:r>
        <w:rPr>
          <w:rFonts w:ascii="仿宋_GB2312" w:eastAsia="仿宋_GB2312" w:hAnsi="仿宋" w:hint="eastAsia"/>
          <w:b/>
          <w:bCs/>
          <w:sz w:val="32"/>
          <w:szCs w:val="32"/>
        </w:rPr>
        <w:t>水泥产业：</w:t>
      </w:r>
      <w:r>
        <w:rPr>
          <w:rFonts w:ascii="仿宋_GB2312" w:eastAsia="仿宋_GB2312" w:hAnsi="仿宋" w:hint="eastAsia"/>
          <w:sz w:val="32"/>
          <w:szCs w:val="32"/>
        </w:rPr>
        <w:t>以</w:t>
      </w:r>
      <w:r>
        <w:rPr>
          <w:rFonts w:ascii="仿宋_GB2312" w:eastAsia="仿宋_GB2312" w:hAnsi="Times New Roman" w:hint="eastAsia"/>
          <w:sz w:val="32"/>
          <w:szCs w:val="32"/>
        </w:rPr>
        <w:t>南阳中联水泥为龙头，配套形成金港建材、中联商砼、星港涂料等企业集群，围绕建设绿色建材全产业链，支持鼓励大型水泥企业集团整合石灰石矿山开采、</w:t>
      </w:r>
      <w:r>
        <w:rPr>
          <w:rFonts w:ascii="仿宋_GB2312" w:eastAsia="仿宋_GB2312" w:hAnsi="Times New Roman" w:hint="eastAsia"/>
          <w:sz w:val="32"/>
          <w:szCs w:val="32"/>
        </w:rPr>
        <w:lastRenderedPageBreak/>
        <w:t>骨料开采等上游产业，向商品混凝土、水泥制品和建筑部品延伸，推动资源整合、研发设计、精深加工、物流营销和工程服务一体化发展，由建材供应商向综合建材服务商转变。发挥水泥窑炉“一窑多用”功能，开展水泥窑协同处置危险废物示范试点。</w:t>
      </w:r>
      <w:r>
        <w:rPr>
          <w:rFonts w:ascii="仿宋_GB2312" w:eastAsia="仿宋_GB2312" w:hAnsi="Times New Roman" w:hint="eastAsia"/>
          <w:b/>
          <w:bCs/>
          <w:sz w:val="32"/>
          <w:szCs w:val="32"/>
        </w:rPr>
        <w:t>装配式建筑：</w:t>
      </w:r>
      <w:r>
        <w:rPr>
          <w:rFonts w:ascii="仿宋_GB2312" w:eastAsia="仿宋_GB2312" w:hAnsi="Times New Roman" w:hint="eastAsia"/>
          <w:sz w:val="32"/>
          <w:szCs w:val="32"/>
        </w:rPr>
        <w:t>发挥南阳钢铁、水泥等建材产业优势，以钢结构装配式建筑为重点，鼓励龙头企业向下游延伸，组建装配式建筑联合体，推进信息技术在装配式建筑项目中的应用，推动设计、施工一体化建设模式和预制构配件市场发展。开展试点示范，加快装配式建筑基地建设。</w:t>
      </w:r>
      <w:r>
        <w:rPr>
          <w:rFonts w:ascii="仿宋_GB2312" w:eastAsia="仿宋_GB2312" w:hAnsi="Times New Roman" w:hint="eastAsia"/>
          <w:b/>
          <w:bCs/>
          <w:sz w:val="32"/>
          <w:szCs w:val="32"/>
        </w:rPr>
        <w:t>墙体材料及涂料：</w:t>
      </w:r>
      <w:r>
        <w:rPr>
          <w:rFonts w:ascii="仿宋_GB2312" w:eastAsia="仿宋_GB2312" w:hAnsi="Times New Roman" w:hint="eastAsia"/>
          <w:sz w:val="32"/>
          <w:szCs w:val="32"/>
        </w:rPr>
        <w:t>推动智能卫浴、功能涂料、节能窗、节能幕墙等新型建材产业集群发展。依托南召碳酸钙资源优势，以立邦、三棵树、东方雨虹等骨干企业为龙头，实施清洁生产，形成从粉体到墙板、油漆涂料等环境友好型终端产品完整产业链条。</w:t>
      </w:r>
    </w:p>
    <w:p w:rsidR="00D92198" w:rsidRDefault="00AE1128" w:rsidP="00A61652">
      <w:pPr>
        <w:pStyle w:val="2"/>
        <w:spacing w:afterLines="100" w:after="312"/>
        <w:ind w:firstLineChars="0" w:firstLine="0"/>
        <w:jc w:val="center"/>
        <w:rPr>
          <w:rFonts w:ascii="楷体_GB2312" w:eastAsia="楷体_GB2312"/>
          <w:b/>
        </w:rPr>
      </w:pPr>
      <w:r>
        <w:rPr>
          <w:rFonts w:ascii="楷体_GB2312" w:eastAsia="楷体_GB2312" w:hint="eastAsia"/>
          <w:b/>
        </w:rPr>
        <w:t>第三节  推动四大新兴产业快速壮大</w:t>
      </w:r>
    </w:p>
    <w:p w:rsidR="00D92198" w:rsidRDefault="00AE1128">
      <w:pPr>
        <w:pStyle w:val="2"/>
        <w:ind w:firstLine="640"/>
        <w:rPr>
          <w:rFonts w:ascii="仿宋_GB2312" w:eastAsia="仿宋_GB2312"/>
        </w:rPr>
      </w:pPr>
      <w:r>
        <w:rPr>
          <w:rFonts w:ascii="仿宋_GB2312" w:eastAsia="仿宋_GB2312" w:hAnsi="仿宋" w:hint="eastAsia"/>
        </w:rPr>
        <w:t>坚持战略需求和市场导向相结合，以工程化、产业化为重点，推动生物医药、电子信息、新材料、新能源等新兴产业创新发展，积极延伸产业链条，引导产业集聚，做大产业规模，增强产业竞争力，占据未来发展制高点。</w:t>
      </w:r>
    </w:p>
    <w:p w:rsidR="00D92198" w:rsidRDefault="00AE1128">
      <w:pPr>
        <w:pStyle w:val="3"/>
        <w:spacing w:before="0" w:after="0" w:line="600" w:lineRule="exact"/>
        <w:ind w:firstLineChars="200" w:firstLine="643"/>
        <w:rPr>
          <w:rFonts w:ascii="仿宋_GB2312" w:eastAsia="仿宋_GB2312" w:hAnsi="仿宋"/>
          <w:b w:val="0"/>
          <w:bCs w:val="0"/>
          <w:kern w:val="0"/>
          <w:szCs w:val="20"/>
        </w:rPr>
      </w:pPr>
      <w:r>
        <w:rPr>
          <w:rFonts w:asciiTheme="majorEastAsia" w:eastAsiaTheme="majorEastAsia" w:hAnsiTheme="majorEastAsia" w:hint="eastAsia"/>
        </w:rPr>
        <w:lastRenderedPageBreak/>
        <w:t>1.生物医药。</w:t>
      </w:r>
      <w:r>
        <w:rPr>
          <w:rFonts w:ascii="仿宋_GB2312" w:eastAsia="仿宋_GB2312" w:hAnsi="仿宋" w:hint="eastAsia"/>
          <w:b w:val="0"/>
          <w:bCs w:val="0"/>
          <w:kern w:val="0"/>
          <w:szCs w:val="20"/>
        </w:rPr>
        <w:t>立足南阳优势中医药资源，积极发展中药材深加工，推动生物医药改造升级，把南阳建成中部地区最具影响力、最有代表性的现代中药生产基地、西药制剂基地。</w:t>
      </w:r>
    </w:p>
    <w:p w:rsidR="00D92198" w:rsidRDefault="00AE1128">
      <w:pPr>
        <w:spacing w:line="600" w:lineRule="exact"/>
        <w:ind w:firstLineChars="200" w:firstLine="640"/>
        <w:rPr>
          <w:rFonts w:ascii="仿宋_GB2312" w:eastAsia="仿宋_GB2312" w:hAnsi="Times New Roman"/>
          <w:b/>
          <w:sz w:val="32"/>
          <w:szCs w:val="32"/>
        </w:rPr>
      </w:pPr>
      <w:r>
        <w:rPr>
          <w:rFonts w:ascii="仿宋_GB2312" w:eastAsia="仿宋_GB2312" w:hAnsi="Times New Roman" w:hint="eastAsia"/>
          <w:sz w:val="32"/>
          <w:szCs w:val="32"/>
        </w:rPr>
        <w:t>——</w:t>
      </w:r>
      <w:r>
        <w:rPr>
          <w:rFonts w:ascii="仿宋_GB2312" w:eastAsia="仿宋_GB2312" w:hAnsi="仿宋" w:hint="eastAsia"/>
          <w:b/>
          <w:sz w:val="32"/>
          <w:szCs w:val="32"/>
        </w:rPr>
        <w:t>现代中药。</w:t>
      </w:r>
      <w:r>
        <w:rPr>
          <w:rFonts w:ascii="仿宋_GB2312" w:eastAsia="仿宋_GB2312" w:hAnsi="仿宋" w:hint="eastAsia"/>
          <w:sz w:val="32"/>
          <w:szCs w:val="32"/>
        </w:rPr>
        <w:t>以宛西制药、福森药业等为龙头，形成种植-加工-成药完整产业链条。加快南阳道地中药材开发，打响山茱萸、辛夷、裕丹参、桐桔梗、夏枯草、金银花等宛药品牌，推动大宗中药材规范化种植与特色中药材原生态种植。做大做强六味地黄丸、双黄连、小柴胡口服液等传统知名品牌，开展南阳道地中药材及特色品种现代化炮制提纯，深化品牌中药二次开发及仲景古方验方中成药开发，加快中药配方颗粒市场推广。围绕打造“世界艾乡”目标，大力发展艾草特色种植业，以药益宝等企业为龙头，做强做精深加工业，做大灸疗服务文旅康养业，不断完善产业链条，持续提升品牌效益，把小艾草做成大产业。推进“仲景”牌中药配方颗粒生产线、福森药业生产迁址扩建及配套健康产业、蒲山艾草产业园等项目建设。</w:t>
      </w:r>
    </w:p>
    <w:p w:rsidR="00D92198" w:rsidRDefault="00AE1128">
      <w:pPr>
        <w:spacing w:line="600" w:lineRule="exact"/>
        <w:ind w:firstLine="648"/>
        <w:rPr>
          <w:rFonts w:ascii="仿宋_GB2312" w:eastAsia="仿宋_GB2312" w:hAnsi="Times New Roman"/>
          <w:sz w:val="32"/>
          <w:szCs w:val="32"/>
        </w:rPr>
      </w:pPr>
      <w:r>
        <w:rPr>
          <w:rFonts w:ascii="仿宋_GB2312" w:eastAsia="仿宋_GB2312" w:hAnsi="Times New Roman" w:hint="eastAsia"/>
          <w:sz w:val="32"/>
          <w:szCs w:val="32"/>
        </w:rPr>
        <w:t>——</w:t>
      </w:r>
      <w:r>
        <w:rPr>
          <w:rFonts w:ascii="仿宋_GB2312" w:eastAsia="仿宋_GB2312" w:hAnsi="Times New Roman" w:hint="eastAsia"/>
          <w:b/>
          <w:sz w:val="32"/>
          <w:szCs w:val="32"/>
        </w:rPr>
        <w:t>化学药物</w:t>
      </w:r>
      <w:r>
        <w:rPr>
          <w:rFonts w:ascii="仿宋_GB2312" w:eastAsia="仿宋_GB2312" w:hAnsi="Times New Roman" w:hint="eastAsia"/>
          <w:sz w:val="32"/>
          <w:szCs w:val="32"/>
        </w:rPr>
        <w:t>。</w:t>
      </w:r>
      <w:r>
        <w:rPr>
          <w:rFonts w:ascii="仿宋_GB2312" w:eastAsia="仿宋_GB2312" w:hAnsi="仿宋" w:hint="eastAsia"/>
          <w:bCs/>
          <w:sz w:val="32"/>
          <w:szCs w:val="32"/>
        </w:rPr>
        <w:t>依托福森药业、利欣制药、蓝图制药、普康恒旺等骨干企业，</w:t>
      </w:r>
      <w:r>
        <w:rPr>
          <w:rFonts w:ascii="仿宋_GB2312" w:eastAsia="仿宋_GB2312" w:hAnsi="仿宋" w:hint="eastAsia"/>
          <w:sz w:val="32"/>
          <w:szCs w:val="32"/>
        </w:rPr>
        <w:t>以临床用药需求为导向，开发治疗乳腺癌、抑郁症、心绞痛及光谱抗菌创新药物，推进原料药向产业链高端创新药物延伸，促进化学药物品质全面提升。围绕临床用量大、销售额高的已到期和即将到期的专利药物，加强仿制药技术工艺、中间体等研发和攻关，加快推进仿制药质量和疗效一</w:t>
      </w:r>
      <w:r>
        <w:rPr>
          <w:rFonts w:ascii="仿宋_GB2312" w:eastAsia="仿宋_GB2312" w:hAnsi="仿宋" w:hint="eastAsia"/>
          <w:sz w:val="32"/>
          <w:szCs w:val="32"/>
        </w:rPr>
        <w:lastRenderedPageBreak/>
        <w:t>致性评价工作，发展一批品牌通用名药仿制药及中间体。发展动物用抗生素、疫苗、饲料药物等生物兽药产品，建设豫西南生物兽药基地。推进启泰制药创新药物工业园、利欣制药高端注射剂生产线智能化、牧原生物制药现代化产业园等项目建设。</w:t>
      </w:r>
    </w:p>
    <w:p w:rsidR="00D92198" w:rsidRDefault="00AE1128">
      <w:pPr>
        <w:spacing w:line="600" w:lineRule="exact"/>
        <w:ind w:firstLine="648"/>
        <w:rPr>
          <w:rFonts w:ascii="仿宋_GB2312" w:eastAsia="仿宋_GB2312" w:hAnsi="仿宋"/>
          <w:sz w:val="32"/>
          <w:szCs w:val="32"/>
        </w:rPr>
      </w:pPr>
      <w:r>
        <w:rPr>
          <w:rFonts w:ascii="仿宋_GB2312" w:eastAsia="仿宋_GB2312" w:hAnsi="Times New Roman" w:hint="eastAsia"/>
          <w:sz w:val="32"/>
          <w:szCs w:val="32"/>
        </w:rPr>
        <w:t>——</w:t>
      </w:r>
      <w:r>
        <w:rPr>
          <w:rFonts w:ascii="仿宋_GB2312" w:eastAsia="仿宋_GB2312" w:hAnsi="Times New Roman" w:hint="eastAsia"/>
          <w:b/>
          <w:sz w:val="32"/>
          <w:szCs w:val="32"/>
        </w:rPr>
        <w:t>医疗器械及卫材</w:t>
      </w:r>
      <w:r>
        <w:rPr>
          <w:rFonts w:ascii="仿宋_GB2312" w:eastAsia="仿宋_GB2312" w:hAnsi="Times New Roman" w:hint="eastAsia"/>
          <w:sz w:val="32"/>
          <w:szCs w:val="32"/>
        </w:rPr>
        <w:t>。</w:t>
      </w:r>
      <w:r>
        <w:rPr>
          <w:rFonts w:ascii="仿宋_GB2312" w:eastAsia="仿宋_GB2312" w:hAnsi="仿宋" w:hint="eastAsia"/>
          <w:bCs/>
          <w:sz w:val="32"/>
          <w:szCs w:val="32"/>
        </w:rPr>
        <w:t>依托汇博医疗、</w:t>
      </w:r>
      <w:r>
        <w:rPr>
          <w:rFonts w:ascii="仿宋_GB2312" w:eastAsia="仿宋_GB2312" w:hAnsi="仿宋" w:cs="仿宋" w:hint="eastAsia"/>
          <w:sz w:val="32"/>
          <w:szCs w:val="32"/>
        </w:rPr>
        <w:t>迈松医疗、正得乐医疗</w:t>
      </w:r>
      <w:r>
        <w:rPr>
          <w:rFonts w:ascii="仿宋_GB2312" w:eastAsia="仿宋_GB2312" w:hAnsi="仿宋" w:hint="eastAsia"/>
          <w:bCs/>
          <w:sz w:val="32"/>
          <w:szCs w:val="32"/>
        </w:rPr>
        <w:t>等骨干企业，</w:t>
      </w:r>
      <w:r>
        <w:rPr>
          <w:rFonts w:ascii="仿宋_GB2312" w:eastAsia="仿宋_GB2312" w:hAnsi="仿宋" w:cs="仿宋" w:hint="eastAsia"/>
          <w:sz w:val="32"/>
          <w:szCs w:val="32"/>
        </w:rPr>
        <w:t>以新产品研发为突破口，开发智能化、低成本的结构替代、功能代偿、技能训练等康复辅具等产品。持续提升</w:t>
      </w:r>
      <w:r>
        <w:rPr>
          <w:rFonts w:ascii="仿宋_GB2312" w:eastAsia="仿宋_GB2312" w:hAnsi="仿宋" w:hint="eastAsia"/>
          <w:sz w:val="32"/>
          <w:szCs w:val="32"/>
        </w:rPr>
        <w:t>医用敷料、医用胶片、医用防护用品等医用耗材优势，积极发展一次性高性能麻醉产品、新型留置针、静电丝神经导管等高端医用耗材。推进柯丽尔医用干式胶片等项目，做大做强医用耗材产业。</w:t>
      </w:r>
    </w:p>
    <w:p w:rsidR="00D92198" w:rsidRDefault="00AE1128">
      <w:pPr>
        <w:spacing w:line="600" w:lineRule="exact"/>
        <w:ind w:firstLine="648"/>
        <w:rPr>
          <w:rFonts w:ascii="仿宋_GB2312" w:eastAsia="仿宋_GB2312" w:hAnsi="Times New Roman"/>
          <w:sz w:val="32"/>
          <w:szCs w:val="32"/>
        </w:rPr>
      </w:pPr>
      <w:r>
        <w:rPr>
          <w:rFonts w:asciiTheme="majorEastAsia" w:eastAsiaTheme="majorEastAsia" w:hAnsiTheme="majorEastAsia" w:hint="eastAsia"/>
          <w:b/>
          <w:sz w:val="32"/>
          <w:szCs w:val="32"/>
        </w:rPr>
        <w:t>2.新材料。</w:t>
      </w:r>
      <w:r>
        <w:rPr>
          <w:rFonts w:ascii="仿宋_GB2312" w:eastAsia="仿宋_GB2312" w:hAnsi="仿宋" w:hint="eastAsia"/>
          <w:bCs/>
          <w:sz w:val="32"/>
          <w:szCs w:val="32"/>
        </w:rPr>
        <w:t>坚持产业高端化、产品终端化、品牌优质化，整合产业链上下游，做大超硬材料、新型非金属材料规模。</w:t>
      </w:r>
    </w:p>
    <w:p w:rsidR="00D92198" w:rsidRDefault="00AE1128">
      <w:pPr>
        <w:adjustRightInd w:val="0"/>
        <w:snapToGrid w:val="0"/>
        <w:spacing w:line="600" w:lineRule="exact"/>
        <w:ind w:firstLineChars="200" w:firstLine="640"/>
        <w:rPr>
          <w:rFonts w:ascii="仿宋_GB2312" w:eastAsia="仿宋_GB2312" w:hAnsi="仿宋"/>
          <w:sz w:val="32"/>
          <w:szCs w:val="32"/>
        </w:rPr>
      </w:pPr>
      <w:r>
        <w:rPr>
          <w:rFonts w:ascii="仿宋_GB2312" w:eastAsia="仿宋_GB2312" w:hAnsi="Times New Roman" w:hint="eastAsia"/>
          <w:sz w:val="32"/>
          <w:szCs w:val="32"/>
        </w:rPr>
        <w:t>——</w:t>
      </w:r>
      <w:r>
        <w:rPr>
          <w:rFonts w:ascii="仿宋_GB2312" w:eastAsia="仿宋_GB2312" w:hAnsi="Times New Roman" w:hint="eastAsia"/>
          <w:b/>
          <w:sz w:val="32"/>
          <w:szCs w:val="32"/>
        </w:rPr>
        <w:t>超硬材料。</w:t>
      </w:r>
      <w:r>
        <w:rPr>
          <w:rFonts w:ascii="仿宋_GB2312" w:eastAsia="仿宋_GB2312" w:hAnsi="仿宋" w:hint="eastAsia"/>
          <w:sz w:val="32"/>
          <w:szCs w:val="32"/>
        </w:rPr>
        <w:t>以中南钻石为龙头，积极拓展应用领域，布局完善超硬材料产品线。保持传统工具用金刚石、立方氮化硼、复合片产品优势，提高宝石级人造金刚石良品率。拓展超硬材料在电子信息、汽车、新能源等产业领域的应用，加大CVD金刚石、大尺度多晶金刚石等高端及功能型材料产品研发力度，打造全球超硬材料产研基地。</w:t>
      </w:r>
    </w:p>
    <w:p w:rsidR="00D92198" w:rsidRDefault="00AE1128">
      <w:pPr>
        <w:spacing w:line="600" w:lineRule="exact"/>
        <w:ind w:firstLine="648"/>
        <w:rPr>
          <w:rFonts w:ascii="仿宋_GB2312" w:eastAsia="仿宋_GB2312" w:hAnsi="Times New Roman"/>
          <w:sz w:val="32"/>
          <w:szCs w:val="32"/>
        </w:rPr>
      </w:pPr>
      <w:r>
        <w:rPr>
          <w:rFonts w:ascii="仿宋_GB2312" w:eastAsia="仿宋_GB2312" w:hAnsi="Times New Roman" w:hint="eastAsia"/>
          <w:sz w:val="32"/>
          <w:szCs w:val="32"/>
        </w:rPr>
        <w:t>——</w:t>
      </w:r>
      <w:r>
        <w:rPr>
          <w:rFonts w:ascii="仿宋_GB2312" w:eastAsia="仿宋_GB2312" w:hAnsi="Times New Roman" w:hint="eastAsia"/>
          <w:b/>
          <w:sz w:val="32"/>
          <w:szCs w:val="32"/>
        </w:rPr>
        <w:t>非金属材料</w:t>
      </w:r>
      <w:r>
        <w:rPr>
          <w:rFonts w:ascii="仿宋_GB2312" w:eastAsia="仿宋_GB2312" w:hAnsi="Times New Roman" w:hint="eastAsia"/>
          <w:sz w:val="32"/>
          <w:szCs w:val="32"/>
        </w:rPr>
        <w:t>。充分发挥碳酸钙资源优势，按照“资源生态化开发、产业集群化发展”的理念，重点发展超细、超纯、</w:t>
      </w:r>
      <w:r>
        <w:rPr>
          <w:rFonts w:ascii="仿宋_GB2312" w:eastAsia="仿宋_GB2312" w:hAnsi="Times New Roman" w:hint="eastAsia"/>
          <w:sz w:val="32"/>
          <w:szCs w:val="32"/>
        </w:rPr>
        <w:lastRenderedPageBreak/>
        <w:t>活性、复合碳酸钙等粉体材料，推动功能性色母粒、绿色建材、新型包装材料发展，建设“中原钙都”，成为中部地区最大、全国知名的重质碳酸钙加工生产基地。</w:t>
      </w:r>
    </w:p>
    <w:p w:rsidR="00D92198" w:rsidRDefault="00AE1128">
      <w:pPr>
        <w:pStyle w:val="3"/>
        <w:spacing w:before="0" w:after="0" w:line="600" w:lineRule="exact"/>
        <w:ind w:firstLineChars="200" w:firstLine="643"/>
        <w:rPr>
          <w:rFonts w:ascii="仿宋_GB2312" w:eastAsia="仿宋_GB2312" w:hAnsi="Times New Roman"/>
          <w:b w:val="0"/>
          <w:bCs w:val="0"/>
        </w:rPr>
      </w:pPr>
      <w:r>
        <w:rPr>
          <w:rFonts w:asciiTheme="minorEastAsia" w:eastAsiaTheme="minorEastAsia" w:hAnsiTheme="minorEastAsia" w:hint="eastAsia"/>
        </w:rPr>
        <w:t>3.电子信息。</w:t>
      </w:r>
      <w:r>
        <w:rPr>
          <w:rFonts w:ascii="仿宋_GB2312" w:eastAsia="仿宋_GB2312" w:hAnsi="Times New Roman" w:hint="eastAsia"/>
          <w:b w:val="0"/>
          <w:bCs w:val="0"/>
        </w:rPr>
        <w:t>坚持创新驱动、特色引领，推动光电产品集聚发展，软件及信息服务业、5G提质增速，成为河南有影响力的光电产业基地和重要电子产业新兴承接地。</w:t>
      </w:r>
    </w:p>
    <w:p w:rsidR="00D92198" w:rsidRDefault="00AE1128">
      <w:pPr>
        <w:spacing w:line="600" w:lineRule="exact"/>
        <w:ind w:firstLine="648"/>
        <w:rPr>
          <w:rFonts w:ascii="仿宋_GB2312" w:eastAsia="仿宋_GB2312" w:hAnsi="Times New Roman"/>
          <w:sz w:val="32"/>
          <w:szCs w:val="32"/>
        </w:rPr>
      </w:pPr>
      <w:r>
        <w:rPr>
          <w:rFonts w:ascii="仿宋_GB2312" w:eastAsia="仿宋_GB2312" w:hAnsi="Times New Roman" w:hint="eastAsia"/>
          <w:sz w:val="32"/>
          <w:szCs w:val="32"/>
        </w:rPr>
        <w:t>——</w:t>
      </w:r>
      <w:r>
        <w:rPr>
          <w:rFonts w:ascii="仿宋_GB2312" w:eastAsia="仿宋_GB2312" w:hAnsi="Times New Roman" w:hint="eastAsia"/>
          <w:b/>
          <w:sz w:val="32"/>
          <w:szCs w:val="32"/>
        </w:rPr>
        <w:t>数字光电。</w:t>
      </w:r>
      <w:r>
        <w:rPr>
          <w:rFonts w:ascii="仿宋_GB2312" w:eastAsia="仿宋_GB2312" w:hAnsi="Times New Roman" w:hint="eastAsia"/>
          <w:sz w:val="32"/>
          <w:szCs w:val="32"/>
        </w:rPr>
        <w:t>以中光学、乐凯华光等企业为依托，巩固提升光学镀膜、镜片、镜头等冷光学元器件市场优势。加快推进超硬功能光学薄膜、柔性显示功能薄膜、特种功能薄膜及相关模组集成技术，提高真空镀膜设备、红外镀膜设备和溅射镀膜设备产业化进程。积极开发LED、激光光源模组、光敏产品、光通信产品等新型高端产品。巩固提升印刷感光材料研发生产龙头地位，积极开拓光刻基板、电池薄膜等新应用领域。加快推进镀邦光电产业园等重点项目建设，建设国内外有较大影响的光学元组件基地、中国“膜都”和印刷电子新材料基地。</w:t>
      </w:r>
    </w:p>
    <w:p w:rsidR="00D92198" w:rsidRDefault="00AE1128">
      <w:pPr>
        <w:spacing w:line="60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w:t>
      </w:r>
      <w:r>
        <w:rPr>
          <w:rFonts w:ascii="仿宋_GB2312" w:eastAsia="仿宋_GB2312" w:hAnsi="Times New Roman" w:hint="eastAsia"/>
          <w:b/>
          <w:sz w:val="32"/>
          <w:szCs w:val="32"/>
        </w:rPr>
        <w:t>5G</w:t>
      </w:r>
      <w:r>
        <w:rPr>
          <w:rFonts w:ascii="仿宋_GB2312" w:eastAsia="仿宋_GB2312" w:hAnsi="Times New Roman" w:hint="eastAsia"/>
          <w:sz w:val="32"/>
          <w:szCs w:val="32"/>
        </w:rPr>
        <w:t>。</w:t>
      </w:r>
      <w:r>
        <w:rPr>
          <w:rFonts w:ascii="仿宋_GB2312" w:eastAsia="仿宋_GB2312" w:hAnsi="仿宋" w:hint="eastAsia"/>
          <w:sz w:val="32"/>
          <w:szCs w:val="32"/>
        </w:rPr>
        <w:t>推进铁塔、室内分布系统、杆路、管道及配套设施共建共享，统筹5G基站规划布局，加快5G网络建设进度。推动柔性盖板镀膜工艺、屏下光学式指纹识别盖板加工工艺、5G高速板加工用微型钻针规模化生产等5G配套产业技术研发，打造5G智能终端元组件产业技术研发创新基地。深入推进“5G+智能制造”“5G+智慧农业”“5G+现代服务业”“5G+智慧城市”</w:t>
      </w:r>
      <w:r>
        <w:rPr>
          <w:rFonts w:ascii="仿宋_GB2312" w:eastAsia="仿宋_GB2312" w:hAnsi="仿宋" w:hint="eastAsia"/>
          <w:sz w:val="32"/>
          <w:szCs w:val="32"/>
        </w:rPr>
        <w:lastRenderedPageBreak/>
        <w:t>等场景的应用示范。</w:t>
      </w:r>
    </w:p>
    <w:p w:rsidR="00D92198" w:rsidRDefault="00AE1128">
      <w:pPr>
        <w:spacing w:line="600" w:lineRule="exact"/>
        <w:ind w:firstLine="648"/>
        <w:rPr>
          <w:rFonts w:ascii="仿宋_GB2312" w:eastAsia="仿宋_GB2312" w:hAnsi="Times New Roman"/>
          <w:sz w:val="32"/>
          <w:szCs w:val="32"/>
        </w:rPr>
      </w:pPr>
      <w:r>
        <w:rPr>
          <w:rFonts w:ascii="仿宋_GB2312" w:eastAsia="仿宋_GB2312" w:hAnsi="Times New Roman" w:hint="eastAsia"/>
          <w:sz w:val="32"/>
          <w:szCs w:val="32"/>
        </w:rPr>
        <w:t>——</w:t>
      </w:r>
      <w:r>
        <w:rPr>
          <w:rFonts w:ascii="仿宋_GB2312" w:eastAsia="仿宋_GB2312" w:hAnsi="Times New Roman" w:hint="eastAsia"/>
          <w:b/>
          <w:sz w:val="32"/>
          <w:szCs w:val="32"/>
        </w:rPr>
        <w:t>电子元器件</w:t>
      </w:r>
      <w:r>
        <w:rPr>
          <w:rFonts w:ascii="仿宋_GB2312" w:eastAsia="仿宋_GB2312" w:hAnsi="Times New Roman" w:hint="eastAsia"/>
          <w:sz w:val="32"/>
          <w:szCs w:val="32"/>
        </w:rPr>
        <w:t>。以森霸传感企业为龙头，扩大红外滤光片、光敏电阻、线性光耦、光敏传感器等产品优势，培育热释电红外传感器、可见光传感器等系列产品。以中光学集团、凯鑫光电等企业为依托，重点培育光学镜头、光学引擎、光学元件等光学组件产业，积极研发集成红外传感器、高梯度功率压敏电阻、表贴耳麦、表贴电磁元件等电子元器件产品。</w:t>
      </w:r>
    </w:p>
    <w:p w:rsidR="00D92198" w:rsidRDefault="00AE1128">
      <w:pPr>
        <w:spacing w:line="600" w:lineRule="exact"/>
        <w:ind w:firstLine="648"/>
        <w:rPr>
          <w:rFonts w:ascii="仿宋_GB2312" w:eastAsia="仿宋_GB2312" w:hAnsi="Times New Roman"/>
          <w:sz w:val="32"/>
          <w:szCs w:val="32"/>
        </w:rPr>
      </w:pPr>
      <w:r>
        <w:rPr>
          <w:rFonts w:ascii="仿宋_GB2312" w:eastAsia="仿宋_GB2312" w:hAnsi="Times New Roman" w:hint="eastAsia"/>
          <w:sz w:val="32"/>
          <w:szCs w:val="32"/>
        </w:rPr>
        <w:t>——</w:t>
      </w:r>
      <w:r>
        <w:rPr>
          <w:rFonts w:ascii="仿宋_GB2312" w:eastAsia="仿宋_GB2312" w:hAnsi="Times New Roman" w:hint="eastAsia"/>
          <w:b/>
          <w:sz w:val="32"/>
          <w:szCs w:val="32"/>
        </w:rPr>
        <w:t>软件及信息服务</w:t>
      </w:r>
      <w:r>
        <w:rPr>
          <w:rFonts w:ascii="仿宋_GB2312" w:eastAsia="仿宋_GB2312" w:hAnsi="Times New Roman" w:hint="eastAsia"/>
          <w:sz w:val="32"/>
          <w:szCs w:val="32"/>
        </w:rPr>
        <w:t>。</w:t>
      </w:r>
      <w:r>
        <w:rPr>
          <w:rFonts w:ascii="仿宋_GB2312" w:eastAsia="仿宋_GB2312" w:hAnsi="仿宋" w:hint="eastAsia"/>
          <w:sz w:val="32"/>
          <w:szCs w:val="32"/>
        </w:rPr>
        <w:t>推动专用小型软件、移动应用软件（APP）发展。利用南阳装备制造、汽车零部件、化工建材等产业优势，聚焦垂直电商平台、工业互联网平台以及系统集成、数据服务等领域的软件开发和应用，推进软件技术在现代农业、制造业领域的融合应用。以南阳中关村科技产业园为核心载体，推动软件及信息服务业的集聚。</w:t>
      </w:r>
    </w:p>
    <w:p w:rsidR="00D92198" w:rsidRDefault="00AE1128">
      <w:pPr>
        <w:pStyle w:val="3"/>
        <w:spacing w:before="0" w:after="0" w:line="600" w:lineRule="exact"/>
        <w:ind w:firstLineChars="200" w:firstLine="643"/>
        <w:rPr>
          <w:rFonts w:ascii="仿宋_GB2312" w:eastAsia="仿宋_GB2312"/>
          <w:b w:val="0"/>
        </w:rPr>
      </w:pPr>
      <w:r>
        <w:rPr>
          <w:rFonts w:asciiTheme="majorEastAsia" w:eastAsiaTheme="majorEastAsia" w:hAnsiTheme="majorEastAsia" w:hint="eastAsia"/>
        </w:rPr>
        <w:t>4.新能源。</w:t>
      </w:r>
      <w:r>
        <w:rPr>
          <w:rFonts w:ascii="仿宋_GB2312" w:eastAsia="仿宋_GB2312" w:hint="eastAsia"/>
          <w:b w:val="0"/>
        </w:rPr>
        <w:t>发展新能源专用车及零部件、动力电池等，以风能、太阳能、生物质能等新能源开发和综合利用为重点，持续提升风电、光伏双百万千瓦级新能源基地能级。</w:t>
      </w:r>
    </w:p>
    <w:p w:rsidR="00D92198" w:rsidRDefault="00AE1128">
      <w:pPr>
        <w:spacing w:line="600" w:lineRule="exact"/>
        <w:ind w:firstLine="648"/>
        <w:rPr>
          <w:rFonts w:ascii="仿宋_GB2312" w:eastAsia="仿宋_GB2312" w:hAnsi="仿宋"/>
          <w:sz w:val="32"/>
          <w:szCs w:val="32"/>
        </w:rPr>
      </w:pPr>
      <w:r>
        <w:rPr>
          <w:rFonts w:ascii="仿宋_GB2312" w:eastAsia="仿宋_GB2312" w:hAnsi="Times New Roman" w:hint="eastAsia"/>
          <w:b/>
          <w:sz w:val="32"/>
          <w:szCs w:val="32"/>
        </w:rPr>
        <w:t>——新能源汽车</w:t>
      </w:r>
      <w:r>
        <w:rPr>
          <w:rFonts w:ascii="仿宋_GB2312" w:eastAsia="仿宋_GB2312" w:hAnsi="Times New Roman" w:hint="eastAsia"/>
          <w:sz w:val="32"/>
          <w:szCs w:val="32"/>
        </w:rPr>
        <w:t>。</w:t>
      </w:r>
      <w:r>
        <w:rPr>
          <w:rFonts w:ascii="仿宋_GB2312" w:eastAsia="仿宋_GB2312" w:hAnsi="仿宋" w:cs="宋体" w:hint="eastAsia"/>
          <w:sz w:val="32"/>
          <w:szCs w:val="32"/>
          <w:lang w:val="zh-CN"/>
        </w:rPr>
        <w:t>以物流类、油田作业类、部队后勤保障类专用车为重点，扩大新能源整车专用车生产规模，提高新能源零部件配套能力，加快新能源汽车电子水泵、涡轮增压总成、海洋装备及新能源汽车用排气管的产业化，加大电池、电机、控制系统等关键环节的研发投入和产业化。提高油气钻采专用</w:t>
      </w:r>
      <w:r>
        <w:rPr>
          <w:rFonts w:ascii="仿宋_GB2312" w:eastAsia="仿宋_GB2312" w:hAnsi="仿宋" w:cs="宋体" w:hint="eastAsia"/>
          <w:sz w:val="32"/>
          <w:szCs w:val="32"/>
          <w:lang w:val="zh-CN"/>
        </w:rPr>
        <w:lastRenderedPageBreak/>
        <w:t>车辆智能化程度，扩大消防用“一车两人”专业车规模，推动专业车向新能源转型。依托新能源汽车产业园，大力引进新能源专用车和配套企业，打造新能源汽车零部件国内规模化配套生产基地。</w:t>
      </w:r>
    </w:p>
    <w:p w:rsidR="00D92198" w:rsidRDefault="00AE1128">
      <w:pPr>
        <w:snapToGrid w:val="0"/>
        <w:spacing w:line="600" w:lineRule="exact"/>
        <w:ind w:firstLineChars="200" w:firstLine="643"/>
        <w:rPr>
          <w:rFonts w:ascii="仿宋_GB2312" w:eastAsia="仿宋_GB2312" w:hAnsi="仿宋" w:cs="宋体"/>
          <w:sz w:val="32"/>
          <w:szCs w:val="32"/>
          <w:lang w:val="zh-CN"/>
        </w:rPr>
      </w:pPr>
      <w:r>
        <w:rPr>
          <w:rFonts w:ascii="仿宋_GB2312" w:eastAsia="仿宋_GB2312" w:hAnsi="Times New Roman" w:hint="eastAsia"/>
          <w:b/>
          <w:sz w:val="32"/>
          <w:szCs w:val="32"/>
        </w:rPr>
        <w:t>——动力电池。</w:t>
      </w:r>
      <w:r>
        <w:rPr>
          <w:rFonts w:ascii="仿宋_GB2312" w:eastAsia="仿宋_GB2312" w:hAnsi="仿宋" w:cs="宋体" w:hint="eastAsia"/>
          <w:sz w:val="32"/>
          <w:szCs w:val="32"/>
          <w:lang w:val="zh-CN"/>
        </w:rPr>
        <w:t>以增碳剂、负极材料、聚合物电芯及聚合物锂离子动力电池为重点，大力发展高能量密度、低成本、高安全性和长循环寿命动力电池。强化资源回收利用，促进动力电池回收与再利用体系建设，强力推进九龙新能源材料、华创新能源、氚威电子、海宏科技等项目建设。</w:t>
      </w:r>
    </w:p>
    <w:p w:rsidR="00D92198" w:rsidRDefault="00AE1128" w:rsidP="00A61652">
      <w:pPr>
        <w:pStyle w:val="2"/>
        <w:spacing w:afterLines="100" w:after="312"/>
        <w:ind w:firstLine="643"/>
        <w:rPr>
          <w:rFonts w:ascii="仿宋_GB2312" w:eastAsia="仿宋_GB2312" w:hAnsi="仿宋" w:cs="宋体"/>
          <w:szCs w:val="32"/>
        </w:rPr>
      </w:pPr>
      <w:r>
        <w:rPr>
          <w:rFonts w:ascii="仿宋_GB2312" w:eastAsia="仿宋_GB2312" w:hint="eastAsia"/>
          <w:b/>
          <w:szCs w:val="32"/>
          <w:lang w:val="zh-CN"/>
        </w:rPr>
        <w:t>——</w:t>
      </w:r>
      <w:r>
        <w:rPr>
          <w:rFonts w:ascii="仿宋_GB2312" w:eastAsia="仿宋_GB2312" w:hint="eastAsia"/>
          <w:b/>
          <w:szCs w:val="32"/>
        </w:rPr>
        <w:t>清洁能源。</w:t>
      </w:r>
      <w:r>
        <w:rPr>
          <w:rFonts w:ascii="仿宋_GB2312" w:eastAsia="仿宋_GB2312" w:hAnsi="仿宋" w:cs="宋体" w:hint="eastAsia"/>
          <w:szCs w:val="32"/>
          <w:lang w:val="zh-CN"/>
        </w:rPr>
        <w:t>充分利用风能资源，加快集中开发型和分散式风电项目建设。</w:t>
      </w:r>
      <w:r>
        <w:rPr>
          <w:rFonts w:ascii="仿宋_GB2312" w:eastAsia="仿宋_GB2312" w:hAnsi="仿宋_GB2312" w:cs="仿宋_GB2312" w:hint="eastAsia"/>
          <w:szCs w:val="32"/>
        </w:rPr>
        <w:t>积极实施“风电（光伏）+储能”示范项目，</w:t>
      </w:r>
      <w:r>
        <w:rPr>
          <w:rFonts w:ascii="仿宋_GB2312" w:eastAsia="仿宋_GB2312" w:hAnsi="仿宋" w:cs="宋体" w:hint="eastAsia"/>
          <w:szCs w:val="32"/>
          <w:lang w:val="zh-CN"/>
        </w:rPr>
        <w:t>支持屋顶分布式光伏发电项目建设。研究</w:t>
      </w:r>
      <w:r>
        <w:rPr>
          <w:rFonts w:ascii="仿宋_GB2312" w:eastAsia="仿宋_GB2312" w:hAnsi="仿宋_GB2312" w:cs="仿宋_GB2312" w:hint="eastAsia"/>
          <w:szCs w:val="32"/>
        </w:rPr>
        <w:t>推进南水北调中线工程渠首石漠化治理光伏发电基地、桐柏城郊乡北杨庄石漠化治理光伏发电等项目建设。研究推动</w:t>
      </w:r>
      <w:r>
        <w:rPr>
          <w:rFonts w:ascii="仿宋_GB2312" w:eastAsia="仿宋_GB2312" w:hAnsi="仿宋" w:cs="宋体" w:hint="eastAsia"/>
          <w:szCs w:val="32"/>
          <w:lang w:val="zh-CN"/>
        </w:rPr>
        <w:t>生物质能利用，</w:t>
      </w:r>
      <w:r>
        <w:rPr>
          <w:rFonts w:ascii="仿宋_GB2312" w:eastAsia="仿宋_GB2312" w:hAnsi="仿宋" w:cs="宋体" w:hint="eastAsia"/>
          <w:szCs w:val="32"/>
        </w:rPr>
        <w:t>加快</w:t>
      </w:r>
      <w:r>
        <w:rPr>
          <w:rFonts w:ascii="仿宋_GB2312" w:eastAsia="仿宋_GB2312" w:hAnsi="仿宋_GB2312" w:cs="仿宋_GB2312" w:hint="eastAsia"/>
          <w:szCs w:val="32"/>
        </w:rPr>
        <w:t>生物质能热电联产项目建设，</w:t>
      </w:r>
      <w:r>
        <w:rPr>
          <w:rFonts w:ascii="仿宋_GB2312" w:eastAsia="仿宋_GB2312" w:hAnsi="仿宋" w:cs="宋体" w:hint="eastAsia"/>
          <w:szCs w:val="32"/>
          <w:lang w:val="zh-CN"/>
        </w:rPr>
        <w:t>开工淅川、桐柏两个3万千瓦生物质发电项目。</w:t>
      </w:r>
      <w:r>
        <w:rPr>
          <w:rFonts w:ascii="仿宋_GB2312" w:eastAsia="仿宋_GB2312" w:hAnsi="仿宋" w:cs="宋体" w:hint="eastAsia"/>
          <w:szCs w:val="32"/>
        </w:rPr>
        <w:t>加强氢能技术研发应用，培育氢能产储运用产业链条。推动天池抽水蓄能电站建成投产，争取二期进入国家和省相关规划。</w:t>
      </w:r>
    </w:p>
    <w:p w:rsidR="00D92198" w:rsidRDefault="00AE1128" w:rsidP="00A61652">
      <w:pPr>
        <w:pStyle w:val="2"/>
        <w:spacing w:afterLines="100" w:after="312"/>
        <w:ind w:firstLineChars="0" w:firstLine="0"/>
        <w:jc w:val="center"/>
        <w:rPr>
          <w:rFonts w:ascii="楷体_GB2312" w:eastAsia="楷体_GB2312" w:hAnsiTheme="minorEastAsia"/>
          <w:b/>
        </w:rPr>
      </w:pPr>
      <w:r>
        <w:rPr>
          <w:rFonts w:ascii="楷体_GB2312" w:eastAsia="楷体_GB2312" w:hAnsiTheme="minorEastAsia" w:cs="仿宋_GB2312" w:hint="eastAsia"/>
          <w:b/>
          <w:szCs w:val="32"/>
          <w:shd w:val="clear" w:color="auto" w:fill="FFFFFF"/>
        </w:rPr>
        <w:t>第四节   前瞻</w:t>
      </w:r>
      <w:r>
        <w:rPr>
          <w:rFonts w:ascii="楷体_GB2312" w:eastAsia="楷体_GB2312" w:hAnsiTheme="minorEastAsia" w:hint="eastAsia"/>
          <w:b/>
        </w:rPr>
        <w:t>布局未来产业</w:t>
      </w:r>
    </w:p>
    <w:p w:rsidR="00D92198" w:rsidRDefault="00AE1128" w:rsidP="00A61652">
      <w:pPr>
        <w:snapToGrid w:val="0"/>
        <w:spacing w:afterLines="100" w:after="312" w:line="600" w:lineRule="exact"/>
        <w:ind w:firstLineChars="200" w:firstLine="640"/>
        <w:rPr>
          <w:rFonts w:ascii="仿宋_GB2312" w:eastAsia="仿宋_GB2312" w:hAnsi="仿宋" w:cs="宋体"/>
          <w:sz w:val="32"/>
          <w:szCs w:val="32"/>
          <w:lang w:val="zh-CN"/>
        </w:rPr>
      </w:pPr>
      <w:r>
        <w:rPr>
          <w:rFonts w:ascii="仿宋_GB2312" w:eastAsia="仿宋_GB2312" w:hAnsi="仿宋" w:cs="宋体" w:hint="eastAsia"/>
          <w:sz w:val="32"/>
          <w:szCs w:val="32"/>
          <w:lang w:val="zh-CN"/>
        </w:rPr>
        <w:t>聚焦北斗应用、生命健康、区块链等未来产业，谋划实施</w:t>
      </w:r>
      <w:r>
        <w:rPr>
          <w:rFonts w:ascii="仿宋_GB2312" w:eastAsia="仿宋_GB2312" w:hAnsi="仿宋" w:cs="宋体" w:hint="eastAsia"/>
          <w:sz w:val="32"/>
          <w:szCs w:val="32"/>
          <w:lang w:val="zh-CN"/>
        </w:rPr>
        <w:lastRenderedPageBreak/>
        <w:t xml:space="preserve">一批重点项目，积极推动示范应用，抢占发展先机。发挥高分辨率对地观测系统河南数据与应用中心南阳分中心作用，开展北斗在工业、交通、农业、水利、安全、消费等领域的示范应用，以市场推动北斗产业创新发展。充分发挥中医药优势，推动医疗和新一代信息技术融合，大力发展大健康产业，打造以文旅康养和中医药康养为主导，以数字康养为支撑的特色康养产业。推动区块链硬件基础设施建设，深化区块链技术在食品、装备制造、金融、教育等行业的应用。  </w:t>
      </w:r>
    </w:p>
    <w:p w:rsidR="00D92198" w:rsidRDefault="00AE1128" w:rsidP="00A61652">
      <w:pPr>
        <w:pStyle w:val="2"/>
        <w:spacing w:afterLines="100" w:after="312"/>
        <w:ind w:firstLineChars="0" w:firstLine="0"/>
        <w:jc w:val="center"/>
        <w:rPr>
          <w:rFonts w:ascii="黑体" w:hAnsi="黑体" w:cs="仿宋_GB2312"/>
          <w:szCs w:val="32"/>
        </w:rPr>
      </w:pPr>
      <w:r>
        <w:rPr>
          <w:rFonts w:ascii="黑体" w:hAnsi="黑体" w:cs="仿宋_GB2312" w:hint="eastAsia"/>
          <w:szCs w:val="32"/>
        </w:rPr>
        <w:t>第九章  突出县域“主新特”产业发展</w:t>
      </w:r>
    </w:p>
    <w:p w:rsidR="00D92198" w:rsidRDefault="00AE1128" w:rsidP="00A61652">
      <w:pPr>
        <w:spacing w:afterLines="100" w:after="312" w:line="600" w:lineRule="exact"/>
        <w:ind w:firstLineChars="150" w:firstLine="480"/>
        <w:jc w:val="left"/>
        <w:rPr>
          <w:rFonts w:ascii="仿宋_GB2312" w:eastAsia="仿宋_GB2312" w:hAnsi="微软雅黑" w:cs="宋体"/>
          <w:kern w:val="0"/>
          <w:sz w:val="32"/>
          <w:szCs w:val="32"/>
        </w:rPr>
      </w:pPr>
      <w:r>
        <w:rPr>
          <w:rFonts w:ascii="仿宋_GB2312" w:eastAsia="仿宋_GB2312" w:hAnsi="仿宋_GB2312" w:cs="仿宋_GB2312" w:hint="eastAsia"/>
          <w:kern w:val="0"/>
          <w:sz w:val="32"/>
          <w:szCs w:val="32"/>
          <w:shd w:val="clear" w:color="auto" w:fill="FFFFFF"/>
        </w:rPr>
        <w:t>立足县域</w:t>
      </w:r>
      <w:r>
        <w:rPr>
          <w:rFonts w:ascii="仿宋_GB2312" w:eastAsia="仿宋_GB2312" w:hAnsi="微软雅黑" w:cs="宋体" w:hint="eastAsia"/>
          <w:kern w:val="0"/>
          <w:sz w:val="32"/>
          <w:szCs w:val="32"/>
        </w:rPr>
        <w:t>产业基础和比较优势，强化统筹引导，注重集约发展，优化要素配置，在各县市区形成一批具有竞争力的百亿级产业集群。</w:t>
      </w:r>
    </w:p>
    <w:p w:rsidR="00D92198" w:rsidRDefault="00AE1128" w:rsidP="00A61652">
      <w:pPr>
        <w:spacing w:afterLines="100" w:after="312" w:line="600" w:lineRule="exact"/>
        <w:jc w:val="center"/>
        <w:rPr>
          <w:rFonts w:ascii="楷体_GB2312" w:eastAsia="楷体_GB2312" w:hAnsi="仿宋" w:cs="仿宋_GB2312"/>
          <w:b/>
          <w:sz w:val="32"/>
          <w:szCs w:val="32"/>
        </w:rPr>
      </w:pPr>
      <w:r>
        <w:rPr>
          <w:rFonts w:ascii="楷体_GB2312" w:eastAsia="楷体_GB2312" w:hAnsi="仿宋" w:cs="仿宋_GB2312" w:hint="eastAsia"/>
          <w:b/>
          <w:sz w:val="32"/>
          <w:szCs w:val="32"/>
        </w:rPr>
        <w:t>第一节  巩固提升主导产业</w:t>
      </w:r>
    </w:p>
    <w:p w:rsidR="00D92198" w:rsidRDefault="00AE1128" w:rsidP="00A61652">
      <w:pPr>
        <w:autoSpaceDE w:val="0"/>
        <w:spacing w:afterLines="100" w:after="312" w:line="600" w:lineRule="exact"/>
        <w:ind w:firstLineChars="197" w:firstLine="630"/>
        <w:rPr>
          <w:rFonts w:ascii="仿宋_GB2312" w:eastAsia="仿宋_GB2312" w:hAnsi="仿宋_GB2312" w:cs="仿宋_GB2312"/>
          <w:sz w:val="32"/>
          <w:szCs w:val="32"/>
        </w:rPr>
      </w:pPr>
      <w:r>
        <w:rPr>
          <w:rFonts w:ascii="仿宋_GB2312" w:eastAsia="仿宋_GB2312" w:hAnsi="仿宋_GB2312" w:cs="仿宋_GB2312" w:hint="eastAsia"/>
          <w:kern w:val="0"/>
          <w:sz w:val="32"/>
          <w:szCs w:val="32"/>
          <w:shd w:val="clear" w:color="auto" w:fill="FFFFFF"/>
        </w:rPr>
        <w:t>聚焦汽车及零部件、农牧装备制造、轴承制造、防爆装备制造、输变电装备制造、碱硝化工、纺织服装等</w:t>
      </w:r>
      <w:r>
        <w:rPr>
          <w:rFonts w:ascii="仿宋" w:eastAsia="仿宋" w:hAnsi="仿宋" w:hint="eastAsia"/>
          <w:sz w:val="32"/>
          <w:szCs w:val="32"/>
        </w:rPr>
        <w:t>产业基础较好、产值占比较大的主导</w:t>
      </w:r>
      <w:r>
        <w:rPr>
          <w:rFonts w:ascii="仿宋_GB2312" w:eastAsia="仿宋_GB2312" w:hAnsi="仿宋_GB2312" w:cs="仿宋_GB2312" w:hint="eastAsia"/>
          <w:kern w:val="0"/>
          <w:sz w:val="32"/>
          <w:szCs w:val="32"/>
          <w:shd w:val="clear" w:color="auto" w:fill="FFFFFF"/>
        </w:rPr>
        <w:t>产业，</w:t>
      </w:r>
      <w:r>
        <w:rPr>
          <w:rFonts w:ascii="仿宋_GB2312" w:eastAsia="仿宋_GB2312" w:hAnsi="微软雅黑" w:cs="宋体" w:hint="eastAsia"/>
          <w:kern w:val="0"/>
          <w:sz w:val="32"/>
          <w:szCs w:val="32"/>
        </w:rPr>
        <w:t>优化产业生态，壮大产业规模，加快空间集聚，</w:t>
      </w:r>
      <w:r>
        <w:rPr>
          <w:rFonts w:ascii="仿宋_GB2312" w:eastAsia="仿宋_GB2312" w:hAnsi="仿宋_GB2312" w:cs="仿宋_GB2312" w:hint="eastAsia"/>
          <w:sz w:val="32"/>
          <w:szCs w:val="32"/>
        </w:rPr>
        <w:t>提升关键环节骨干企业能级，建设重大项目，强化技术创新，推动生产线升级，打造优势产业链。引进发展配套产品，创优知名品牌，开拓新产品市场，促使各类资源处于</w:t>
      </w:r>
      <w:r>
        <w:rPr>
          <w:rFonts w:ascii="仿宋_GB2312" w:eastAsia="仿宋_GB2312" w:hAnsi="仿宋_GB2312" w:cs="仿宋_GB2312" w:hint="eastAsia"/>
          <w:sz w:val="32"/>
          <w:szCs w:val="32"/>
        </w:rPr>
        <w:lastRenderedPageBreak/>
        <w:t>高效率配置状态，以最低成本形成集群优势和规模经济效益。</w:t>
      </w:r>
    </w:p>
    <w:p w:rsidR="00D92198" w:rsidRDefault="00AE1128" w:rsidP="00A61652">
      <w:pPr>
        <w:spacing w:afterLines="100" w:after="312" w:line="600" w:lineRule="exact"/>
        <w:jc w:val="center"/>
        <w:rPr>
          <w:rFonts w:ascii="楷体_GB2312" w:eastAsia="楷体_GB2312" w:hAnsi="仿宋" w:cs="仿宋_GB2312"/>
          <w:b/>
          <w:sz w:val="32"/>
          <w:szCs w:val="32"/>
        </w:rPr>
      </w:pPr>
      <w:r>
        <w:rPr>
          <w:rFonts w:ascii="楷体_GB2312" w:eastAsia="楷体_GB2312" w:hAnsi="仿宋" w:cs="仿宋_GB2312" w:hint="eastAsia"/>
          <w:b/>
          <w:sz w:val="32"/>
          <w:szCs w:val="32"/>
        </w:rPr>
        <w:t>第二节  培育壮大新兴产业</w:t>
      </w:r>
    </w:p>
    <w:p w:rsidR="00D92198" w:rsidRDefault="00AE1128" w:rsidP="00A61652">
      <w:pPr>
        <w:autoSpaceDE w:val="0"/>
        <w:spacing w:afterLines="100" w:after="312" w:line="600" w:lineRule="exact"/>
        <w:ind w:firstLineChars="197" w:firstLine="630"/>
        <w:rPr>
          <w:rFonts w:ascii="仿宋_GB2312" w:eastAsia="仿宋_GB2312" w:hAnsi="仿宋_GB2312" w:cs="仿宋_GB2312"/>
          <w:kern w:val="0"/>
          <w:sz w:val="32"/>
          <w:szCs w:val="32"/>
          <w:shd w:val="clear" w:color="auto" w:fill="FFFFFF"/>
        </w:rPr>
      </w:pPr>
      <w:r>
        <w:rPr>
          <w:rFonts w:ascii="仿宋_GB2312" w:eastAsia="仿宋_GB2312" w:hAnsi="仿宋_GB2312" w:cs="仿宋_GB2312" w:hint="eastAsia"/>
          <w:kern w:val="0"/>
          <w:sz w:val="32"/>
          <w:szCs w:val="32"/>
          <w:shd w:val="clear" w:color="auto" w:fill="FFFFFF"/>
        </w:rPr>
        <w:t>聚焦绿色印刷、生物兽用制品、光电信息、生物基合成材料、新型电子元器件、超硬材料、现代中药、医药中间体等知识技术密集、物质资源消耗少、成长潜力大、综合效益好的新兴产业，精心培育、加速壮大，加强头部企业和关键技术引进，突出创新性、超前性、先导性、引领性，发挥 “风向标”“加速器”作用，着力破除新旧动能转换制约，努力构建先发优势，推动产业增长动力由传统增长点向新兴增长点拓展，打造南阳发展新引擎。</w:t>
      </w:r>
    </w:p>
    <w:p w:rsidR="00D92198" w:rsidRDefault="00AE1128" w:rsidP="00A61652">
      <w:pPr>
        <w:spacing w:afterLines="100" w:after="312" w:line="600" w:lineRule="exact"/>
        <w:jc w:val="center"/>
        <w:rPr>
          <w:rFonts w:ascii="楷体_GB2312" w:eastAsia="楷体_GB2312" w:hAnsi="仿宋" w:cs="仿宋_GB2312"/>
          <w:b/>
          <w:sz w:val="32"/>
          <w:szCs w:val="32"/>
        </w:rPr>
      </w:pPr>
      <w:r>
        <w:rPr>
          <w:rFonts w:ascii="楷体_GB2312" w:eastAsia="楷体_GB2312" w:hAnsi="仿宋" w:cs="仿宋_GB2312" w:hint="eastAsia"/>
          <w:b/>
          <w:sz w:val="32"/>
          <w:szCs w:val="32"/>
        </w:rPr>
        <w:t>第三节  做强做优特色产业</w:t>
      </w:r>
    </w:p>
    <w:p w:rsidR="00D92198" w:rsidRDefault="00AE1128">
      <w:pPr>
        <w:widowControl/>
        <w:spacing w:line="600" w:lineRule="exact"/>
        <w:ind w:firstLine="642"/>
        <w:rPr>
          <w:rFonts w:ascii="仿宋_GB2312" w:eastAsia="仿宋_GB2312" w:hAnsi="仿宋_GB2312" w:cs="仿宋_GB2312"/>
          <w:kern w:val="0"/>
          <w:sz w:val="32"/>
          <w:szCs w:val="32"/>
          <w:shd w:val="clear" w:color="auto" w:fill="FFFFFF"/>
        </w:rPr>
      </w:pPr>
      <w:r>
        <w:rPr>
          <w:rFonts w:ascii="仿宋_GB2312" w:eastAsia="仿宋_GB2312" w:hAnsi="仿宋_GB2312" w:cs="仿宋_GB2312" w:hint="eastAsia"/>
          <w:kern w:val="0"/>
          <w:sz w:val="32"/>
          <w:szCs w:val="32"/>
          <w:shd w:val="clear" w:color="auto" w:fill="FFFFFF"/>
        </w:rPr>
        <w:t>聚焦特色食品加工、先进铸造、工程装备制造、智能玩具、生物动保、中医药、农副产品加工、新型建材、专用车制造等体现本地独有要素禀赋的特色产业，凸显特色，错位发展，加强上下游关联产业培育和引进，提高产业集聚度，集中力量构建局部优势，形成分工明晰、各具特色的产业基地，走出一条人无我有、科学发展、符合自身实际的道路。</w:t>
      </w:r>
    </w:p>
    <w:p w:rsidR="00D92198" w:rsidRDefault="00D92198">
      <w:pPr>
        <w:pStyle w:val="a0"/>
        <w:rPr>
          <w:rFonts w:ascii="仿宋_GB2312" w:eastAsia="仿宋_GB2312" w:hAnsi="仿宋_GB2312" w:cs="仿宋_GB2312"/>
          <w:kern w:val="0"/>
          <w:sz w:val="32"/>
          <w:szCs w:val="32"/>
          <w:shd w:val="clear" w:color="auto" w:fill="FFFFFF"/>
        </w:rPr>
      </w:pPr>
    </w:p>
    <w:p w:rsidR="00D92198" w:rsidRDefault="00D92198">
      <w:pPr>
        <w:pStyle w:val="a0"/>
        <w:rPr>
          <w:rFonts w:ascii="仿宋_GB2312" w:eastAsia="仿宋_GB2312" w:hAnsi="仿宋_GB2312" w:cs="仿宋_GB2312"/>
          <w:kern w:val="0"/>
          <w:sz w:val="32"/>
          <w:szCs w:val="32"/>
          <w:shd w:val="clear" w:color="auto" w:fill="FFFFFF"/>
        </w:rPr>
      </w:pPr>
    </w:p>
    <w:tbl>
      <w:tblPr>
        <w:tblW w:w="8658" w:type="dxa"/>
        <w:tblInd w:w="97" w:type="dxa"/>
        <w:tblLook w:val="04A0" w:firstRow="1" w:lastRow="0" w:firstColumn="1" w:lastColumn="0" w:noHBand="0" w:noVBand="1"/>
      </w:tblPr>
      <w:tblGrid>
        <w:gridCol w:w="1004"/>
        <w:gridCol w:w="1134"/>
        <w:gridCol w:w="1134"/>
        <w:gridCol w:w="1134"/>
        <w:gridCol w:w="992"/>
        <w:gridCol w:w="3260"/>
      </w:tblGrid>
      <w:tr w:rsidR="00D92198">
        <w:trPr>
          <w:trHeight w:val="509"/>
        </w:trPr>
        <w:tc>
          <w:tcPr>
            <w:tcW w:w="8658"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D92198" w:rsidRDefault="00AE1128">
            <w:pPr>
              <w:widowControl/>
              <w:jc w:val="center"/>
              <w:rPr>
                <w:rFonts w:ascii="黑体" w:eastAsia="黑体" w:hAnsi="黑体" w:cs="宋体"/>
                <w:bCs/>
                <w:kern w:val="0"/>
                <w:sz w:val="28"/>
                <w:szCs w:val="28"/>
              </w:rPr>
            </w:pPr>
            <w:bookmarkStart w:id="8" w:name="_Toc27387655"/>
            <w:r>
              <w:rPr>
                <w:rFonts w:ascii="黑体" w:eastAsia="黑体" w:hAnsi="黑体" w:cs="宋体" w:hint="eastAsia"/>
                <w:bCs/>
                <w:kern w:val="0"/>
                <w:sz w:val="28"/>
                <w:szCs w:val="28"/>
              </w:rPr>
              <w:lastRenderedPageBreak/>
              <w:t>专栏2：“一主一新一特”产业布局</w:t>
            </w:r>
          </w:p>
        </w:tc>
      </w:tr>
      <w:tr w:rsidR="00D92198">
        <w:trPr>
          <w:trHeight w:val="876"/>
        </w:trPr>
        <w:tc>
          <w:tcPr>
            <w:tcW w:w="1004" w:type="dxa"/>
            <w:tcBorders>
              <w:top w:val="nil"/>
              <w:left w:val="single" w:sz="4" w:space="0" w:color="auto"/>
              <w:bottom w:val="single" w:sz="4" w:space="0" w:color="auto"/>
              <w:right w:val="single" w:sz="4" w:space="0" w:color="auto"/>
            </w:tcBorders>
            <w:shd w:val="clear" w:color="auto" w:fill="auto"/>
            <w:noWrap/>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t>单位</w:t>
            </w:r>
          </w:p>
        </w:tc>
        <w:tc>
          <w:tcPr>
            <w:tcW w:w="2268" w:type="dxa"/>
            <w:gridSpan w:val="2"/>
            <w:tcBorders>
              <w:top w:val="single" w:sz="4" w:space="0" w:color="auto"/>
              <w:left w:val="nil"/>
              <w:bottom w:val="single" w:sz="4" w:space="0" w:color="auto"/>
              <w:right w:val="single" w:sz="4" w:space="0" w:color="000000"/>
            </w:tcBorders>
            <w:shd w:val="clear" w:color="auto" w:fill="auto"/>
            <w:noWrap/>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t>谋划产业</w:t>
            </w: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t>目前</w:t>
            </w:r>
          </w:p>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t>产值</w:t>
            </w:r>
          </w:p>
        </w:tc>
        <w:tc>
          <w:tcPr>
            <w:tcW w:w="99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t>十四五末产值</w:t>
            </w:r>
          </w:p>
        </w:tc>
        <w:tc>
          <w:tcPr>
            <w:tcW w:w="3260" w:type="dxa"/>
            <w:tcBorders>
              <w:top w:val="single" w:sz="4" w:space="0" w:color="auto"/>
              <w:left w:val="nil"/>
              <w:bottom w:val="single" w:sz="4" w:space="0" w:color="auto"/>
              <w:right w:val="single" w:sz="4" w:space="0" w:color="000000"/>
            </w:tcBorders>
            <w:shd w:val="clear" w:color="auto" w:fill="auto"/>
            <w:noWrap/>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t>发展思路</w:t>
            </w:r>
          </w:p>
        </w:tc>
      </w:tr>
      <w:tr w:rsidR="00D92198">
        <w:trPr>
          <w:trHeight w:val="1173"/>
        </w:trPr>
        <w:tc>
          <w:tcPr>
            <w:tcW w:w="1004" w:type="dxa"/>
            <w:vMerge w:val="restart"/>
            <w:tcBorders>
              <w:top w:val="nil"/>
              <w:left w:val="single" w:sz="4" w:space="0" w:color="auto"/>
              <w:bottom w:val="single" w:sz="4" w:space="0" w:color="000000"/>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邓州市</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b/>
                <w:bCs/>
                <w:kern w:val="0"/>
                <w:szCs w:val="21"/>
              </w:rPr>
            </w:pPr>
            <w:r>
              <w:rPr>
                <w:rFonts w:ascii="仿宋_GB2312" w:eastAsia="仿宋_GB2312" w:hAnsi="宋体" w:cs="宋体" w:hint="eastAsia"/>
                <w:b/>
                <w:bCs/>
                <w:kern w:val="0"/>
                <w:szCs w:val="21"/>
              </w:rPr>
              <w:t>主导产业</w:t>
            </w:r>
          </w:p>
        </w:tc>
        <w:tc>
          <w:tcPr>
            <w:tcW w:w="1134" w:type="dxa"/>
            <w:tcBorders>
              <w:top w:val="nil"/>
              <w:left w:val="nil"/>
              <w:bottom w:val="nil"/>
              <w:right w:val="nil"/>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汽车零部件及配件制造</w:t>
            </w:r>
          </w:p>
        </w:tc>
        <w:tc>
          <w:tcPr>
            <w:tcW w:w="1134" w:type="dxa"/>
            <w:tcBorders>
              <w:top w:val="nil"/>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27.69亿</w:t>
            </w:r>
          </w:p>
        </w:tc>
        <w:tc>
          <w:tcPr>
            <w:tcW w:w="992"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60亿</w:t>
            </w:r>
          </w:p>
        </w:tc>
        <w:tc>
          <w:tcPr>
            <w:tcW w:w="3260" w:type="dxa"/>
            <w:tcBorders>
              <w:top w:val="single" w:sz="4" w:space="0" w:color="auto"/>
              <w:left w:val="nil"/>
              <w:bottom w:val="single" w:sz="4" w:space="0" w:color="auto"/>
              <w:right w:val="single" w:sz="4" w:space="0" w:color="000000"/>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完善涡轮增压器、轿车车锁、车用电子等特色产业链条。</w:t>
            </w:r>
          </w:p>
        </w:tc>
      </w:tr>
      <w:tr w:rsidR="00D92198">
        <w:trPr>
          <w:trHeight w:val="1456"/>
        </w:trPr>
        <w:tc>
          <w:tcPr>
            <w:tcW w:w="1004" w:type="dxa"/>
            <w:vMerge/>
            <w:tcBorders>
              <w:top w:val="nil"/>
              <w:left w:val="single" w:sz="4" w:space="0" w:color="auto"/>
              <w:bottom w:val="single" w:sz="4" w:space="0" w:color="000000"/>
              <w:right w:val="single" w:sz="4" w:space="0" w:color="auto"/>
            </w:tcBorders>
            <w:vAlign w:val="center"/>
          </w:tcPr>
          <w:p w:rsidR="00D92198" w:rsidRDefault="00D92198">
            <w:pPr>
              <w:widowControl/>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b/>
                <w:bCs/>
                <w:kern w:val="0"/>
                <w:szCs w:val="21"/>
              </w:rPr>
            </w:pPr>
            <w:r>
              <w:rPr>
                <w:rFonts w:ascii="仿宋_GB2312" w:eastAsia="仿宋_GB2312" w:hAnsi="宋体" w:cs="宋体" w:hint="eastAsia"/>
                <w:b/>
                <w:bCs/>
                <w:kern w:val="0"/>
                <w:szCs w:val="21"/>
              </w:rPr>
              <w:t>新兴产业</w:t>
            </w:r>
          </w:p>
        </w:tc>
        <w:tc>
          <w:tcPr>
            <w:tcW w:w="1134" w:type="dxa"/>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Cs w:val="21"/>
              </w:rPr>
            </w:pPr>
            <w:bookmarkStart w:id="9" w:name="RANGE!C4"/>
            <w:r>
              <w:rPr>
                <w:rFonts w:ascii="仿宋_GB2312" w:eastAsia="仿宋_GB2312" w:hAnsi="宋体" w:cs="宋体" w:hint="eastAsia"/>
                <w:kern w:val="0"/>
                <w:szCs w:val="21"/>
              </w:rPr>
              <w:t>生物基合成材料制造</w:t>
            </w:r>
            <w:bookmarkEnd w:id="9"/>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在建</w:t>
            </w:r>
          </w:p>
        </w:tc>
        <w:tc>
          <w:tcPr>
            <w:tcW w:w="992"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25亿</w:t>
            </w:r>
          </w:p>
        </w:tc>
        <w:tc>
          <w:tcPr>
            <w:tcW w:w="3260" w:type="dxa"/>
            <w:tcBorders>
              <w:top w:val="single" w:sz="4" w:space="0" w:color="auto"/>
              <w:left w:val="nil"/>
              <w:bottom w:val="single" w:sz="4" w:space="0" w:color="auto"/>
              <w:right w:val="single" w:sz="4" w:space="0" w:color="000000"/>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围绕“打造一个专业园区、引进10个关联项目、产值突破20亿元”目标,打造豫西南乃至河南省生物基合成材料产业基地。</w:t>
            </w:r>
          </w:p>
        </w:tc>
      </w:tr>
      <w:tr w:rsidR="00D92198">
        <w:trPr>
          <w:trHeight w:val="2015"/>
        </w:trPr>
        <w:tc>
          <w:tcPr>
            <w:tcW w:w="1004" w:type="dxa"/>
            <w:vMerge/>
            <w:tcBorders>
              <w:top w:val="nil"/>
              <w:left w:val="single" w:sz="4" w:space="0" w:color="auto"/>
              <w:bottom w:val="single" w:sz="4" w:space="0" w:color="000000"/>
              <w:right w:val="single" w:sz="4" w:space="0" w:color="auto"/>
            </w:tcBorders>
            <w:vAlign w:val="center"/>
          </w:tcPr>
          <w:p w:rsidR="00D92198" w:rsidRDefault="00D92198">
            <w:pPr>
              <w:widowControl/>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b/>
                <w:bCs/>
                <w:kern w:val="0"/>
                <w:szCs w:val="21"/>
              </w:rPr>
            </w:pPr>
            <w:r>
              <w:rPr>
                <w:rFonts w:ascii="仿宋_GB2312" w:eastAsia="仿宋_GB2312" w:hAnsi="宋体" w:cs="宋体" w:hint="eastAsia"/>
                <w:b/>
                <w:bCs/>
                <w:kern w:val="0"/>
                <w:szCs w:val="21"/>
              </w:rPr>
              <w:t>特色产业</w:t>
            </w:r>
          </w:p>
        </w:tc>
        <w:tc>
          <w:tcPr>
            <w:tcW w:w="1134" w:type="dxa"/>
            <w:tcBorders>
              <w:top w:val="nil"/>
              <w:left w:val="nil"/>
              <w:bottom w:val="nil"/>
              <w:right w:val="nil"/>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屠宰及肉类加工</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5亿</w:t>
            </w:r>
          </w:p>
        </w:tc>
        <w:tc>
          <w:tcPr>
            <w:tcW w:w="992"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30亿</w:t>
            </w:r>
          </w:p>
        </w:tc>
        <w:tc>
          <w:tcPr>
            <w:tcW w:w="3260" w:type="dxa"/>
            <w:tcBorders>
              <w:top w:val="single" w:sz="4" w:space="0" w:color="auto"/>
              <w:left w:val="nil"/>
              <w:bottom w:val="single" w:sz="4" w:space="0" w:color="auto"/>
              <w:right w:val="single" w:sz="4" w:space="0" w:color="000000"/>
            </w:tcBorders>
            <w:shd w:val="clear" w:color="auto" w:fill="auto"/>
            <w:vAlign w:val="center"/>
          </w:tcPr>
          <w:p w:rsidR="00D92198" w:rsidRDefault="00AE1128" w:rsidP="006D5585">
            <w:pPr>
              <w:widowControl/>
              <w:jc w:val="left"/>
              <w:rPr>
                <w:rFonts w:ascii="仿宋_GB2312" w:eastAsia="仿宋_GB2312" w:hAnsi="宋体" w:cs="宋体"/>
                <w:kern w:val="0"/>
                <w:szCs w:val="21"/>
              </w:rPr>
            </w:pPr>
            <w:r>
              <w:rPr>
                <w:rFonts w:ascii="仿宋_GB2312" w:eastAsia="仿宋_GB2312" w:hAnsi="宋体" w:cs="宋体" w:hint="eastAsia"/>
                <w:kern w:val="0"/>
                <w:szCs w:val="21"/>
              </w:rPr>
              <w:t>推进</w:t>
            </w:r>
            <w:bookmarkStart w:id="10" w:name="_GoBack"/>
            <w:bookmarkEnd w:id="10"/>
            <w:r>
              <w:rPr>
                <w:rFonts w:ascii="仿宋_GB2312" w:eastAsia="仿宋_GB2312" w:hAnsi="宋体" w:cs="宋体" w:hint="eastAsia"/>
                <w:kern w:val="0"/>
                <w:szCs w:val="21"/>
              </w:rPr>
              <w:t>御厨食品项目建设，深化与牧原合作。以黄志牧业和好想鹅等为龙头，形成绿色种（养）殖-屠宰-深加工-冷链物流-电商销售的产业链条。</w:t>
            </w:r>
          </w:p>
        </w:tc>
      </w:tr>
      <w:tr w:rsidR="00D92198">
        <w:trPr>
          <w:trHeight w:val="1736"/>
        </w:trPr>
        <w:tc>
          <w:tcPr>
            <w:tcW w:w="1004" w:type="dxa"/>
            <w:vMerge w:val="restart"/>
            <w:tcBorders>
              <w:top w:val="nil"/>
              <w:left w:val="single" w:sz="4" w:space="0" w:color="auto"/>
              <w:bottom w:val="single" w:sz="4" w:space="0" w:color="000000"/>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高新区</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b/>
                <w:bCs/>
                <w:kern w:val="0"/>
                <w:szCs w:val="21"/>
              </w:rPr>
            </w:pPr>
            <w:r>
              <w:rPr>
                <w:rFonts w:ascii="仿宋_GB2312" w:eastAsia="仿宋_GB2312" w:hAnsi="宋体" w:cs="宋体" w:hint="eastAsia"/>
                <w:b/>
                <w:bCs/>
                <w:kern w:val="0"/>
                <w:szCs w:val="21"/>
              </w:rPr>
              <w:t>主导产业</w:t>
            </w:r>
          </w:p>
        </w:tc>
        <w:tc>
          <w:tcPr>
            <w:tcW w:w="1134" w:type="dxa"/>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防爆装备制造</w:t>
            </w: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100亿</w:t>
            </w:r>
          </w:p>
        </w:tc>
        <w:tc>
          <w:tcPr>
            <w:tcW w:w="992"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300亿</w:t>
            </w:r>
          </w:p>
        </w:tc>
        <w:tc>
          <w:tcPr>
            <w:tcW w:w="3260" w:type="dxa"/>
            <w:tcBorders>
              <w:top w:val="single" w:sz="4" w:space="0" w:color="auto"/>
              <w:left w:val="nil"/>
              <w:bottom w:val="single" w:sz="4" w:space="0" w:color="auto"/>
              <w:right w:val="single" w:sz="4" w:space="0" w:color="000000"/>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围绕“延链、补链、强链”进行精心培育，形成联系紧密的水平生产系统和上中下游互动的完整垂直产业链。</w:t>
            </w:r>
          </w:p>
        </w:tc>
      </w:tr>
      <w:tr w:rsidR="00D92198">
        <w:trPr>
          <w:trHeight w:val="1975"/>
        </w:trPr>
        <w:tc>
          <w:tcPr>
            <w:tcW w:w="1004" w:type="dxa"/>
            <w:vMerge/>
            <w:tcBorders>
              <w:top w:val="nil"/>
              <w:left w:val="single" w:sz="4" w:space="0" w:color="auto"/>
              <w:bottom w:val="single" w:sz="4" w:space="0" w:color="000000"/>
              <w:right w:val="single" w:sz="4" w:space="0" w:color="auto"/>
            </w:tcBorders>
            <w:vAlign w:val="center"/>
          </w:tcPr>
          <w:p w:rsidR="00D92198" w:rsidRDefault="00D92198">
            <w:pPr>
              <w:widowControl/>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b/>
                <w:bCs/>
                <w:kern w:val="0"/>
                <w:szCs w:val="21"/>
              </w:rPr>
            </w:pPr>
            <w:r>
              <w:rPr>
                <w:rFonts w:ascii="仿宋_GB2312" w:eastAsia="仿宋_GB2312" w:hAnsi="宋体" w:cs="宋体" w:hint="eastAsia"/>
                <w:b/>
                <w:bCs/>
                <w:kern w:val="0"/>
                <w:szCs w:val="21"/>
              </w:rPr>
              <w:t>新兴产业</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光电信息</w:t>
            </w: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100亿</w:t>
            </w:r>
          </w:p>
        </w:tc>
        <w:tc>
          <w:tcPr>
            <w:tcW w:w="992"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500亿</w:t>
            </w:r>
          </w:p>
        </w:tc>
        <w:tc>
          <w:tcPr>
            <w:tcW w:w="3260" w:type="dxa"/>
            <w:tcBorders>
              <w:top w:val="single" w:sz="4" w:space="0" w:color="auto"/>
              <w:left w:val="nil"/>
              <w:bottom w:val="single" w:sz="4" w:space="0" w:color="auto"/>
              <w:right w:val="single" w:sz="4" w:space="0" w:color="000000"/>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做大做强中光学集团，规划建设镀邦产业园，实施“龙头带动、一园多点、高端布局、内扶外引”发展战略，打造“中原膜都、中国光城”。</w:t>
            </w:r>
          </w:p>
        </w:tc>
      </w:tr>
      <w:tr w:rsidR="00D92198">
        <w:trPr>
          <w:trHeight w:val="1999"/>
        </w:trPr>
        <w:tc>
          <w:tcPr>
            <w:tcW w:w="1004" w:type="dxa"/>
            <w:vMerge/>
            <w:tcBorders>
              <w:top w:val="nil"/>
              <w:left w:val="single" w:sz="4" w:space="0" w:color="auto"/>
              <w:bottom w:val="single" w:sz="4" w:space="0" w:color="000000"/>
              <w:right w:val="single" w:sz="4" w:space="0" w:color="auto"/>
            </w:tcBorders>
            <w:vAlign w:val="center"/>
          </w:tcPr>
          <w:p w:rsidR="00D92198" w:rsidRDefault="00D92198">
            <w:pPr>
              <w:widowControl/>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b/>
                <w:bCs/>
                <w:kern w:val="0"/>
                <w:szCs w:val="21"/>
              </w:rPr>
            </w:pPr>
            <w:r>
              <w:rPr>
                <w:rFonts w:ascii="仿宋_GB2312" w:eastAsia="仿宋_GB2312" w:hAnsi="宋体" w:cs="宋体" w:hint="eastAsia"/>
                <w:b/>
                <w:bCs/>
                <w:kern w:val="0"/>
                <w:szCs w:val="21"/>
              </w:rPr>
              <w:t>特色产业</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专用车制造</w:t>
            </w: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9.8亿</w:t>
            </w:r>
          </w:p>
        </w:tc>
        <w:tc>
          <w:tcPr>
            <w:tcW w:w="992"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50亿</w:t>
            </w:r>
          </w:p>
        </w:tc>
        <w:tc>
          <w:tcPr>
            <w:tcW w:w="3260" w:type="dxa"/>
            <w:tcBorders>
              <w:top w:val="single" w:sz="4" w:space="0" w:color="auto"/>
              <w:left w:val="nil"/>
              <w:bottom w:val="single" w:sz="4" w:space="0" w:color="auto"/>
              <w:right w:val="single" w:sz="4" w:space="0" w:color="000000"/>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依托防爆研究所国家特种性能质检中心，推进与牧原集团合作,建设畜禽运输专用车项目，拉伸链条，吸引配套产业集聚，培育新增长点和增长板块。</w:t>
            </w:r>
          </w:p>
        </w:tc>
      </w:tr>
      <w:tr w:rsidR="00D92198">
        <w:trPr>
          <w:trHeight w:val="840"/>
        </w:trPr>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lastRenderedPageBreak/>
              <w:t>单位</w:t>
            </w:r>
          </w:p>
        </w:tc>
        <w:tc>
          <w:tcPr>
            <w:tcW w:w="2268" w:type="dxa"/>
            <w:gridSpan w:val="2"/>
            <w:tcBorders>
              <w:top w:val="single" w:sz="4" w:space="0" w:color="auto"/>
              <w:left w:val="nil"/>
              <w:bottom w:val="single" w:sz="4" w:space="0" w:color="auto"/>
              <w:right w:val="single" w:sz="4" w:space="0" w:color="000000"/>
            </w:tcBorders>
            <w:shd w:val="clear" w:color="auto" w:fill="auto"/>
            <w:noWrap/>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t>谋划产业</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t>目前产值</w:t>
            </w:r>
          </w:p>
        </w:tc>
        <w:tc>
          <w:tcPr>
            <w:tcW w:w="992" w:type="dxa"/>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t>十四五末产值</w:t>
            </w:r>
          </w:p>
        </w:tc>
        <w:tc>
          <w:tcPr>
            <w:tcW w:w="3260" w:type="dxa"/>
            <w:tcBorders>
              <w:top w:val="single" w:sz="4" w:space="0" w:color="auto"/>
              <w:left w:val="nil"/>
              <w:bottom w:val="single" w:sz="4" w:space="0" w:color="auto"/>
              <w:right w:val="single" w:sz="4" w:space="0" w:color="000000"/>
            </w:tcBorders>
            <w:shd w:val="clear" w:color="auto" w:fill="auto"/>
            <w:noWrap/>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t>产业发展思路</w:t>
            </w:r>
          </w:p>
        </w:tc>
      </w:tr>
      <w:tr w:rsidR="00D92198">
        <w:trPr>
          <w:trHeight w:val="3247"/>
        </w:trPr>
        <w:tc>
          <w:tcPr>
            <w:tcW w:w="1004" w:type="dxa"/>
            <w:vMerge w:val="restart"/>
            <w:tcBorders>
              <w:top w:val="nil"/>
              <w:left w:val="single" w:sz="4" w:space="0" w:color="auto"/>
              <w:bottom w:val="single" w:sz="4" w:space="0" w:color="000000"/>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卧龙区</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b/>
                <w:bCs/>
                <w:kern w:val="0"/>
                <w:szCs w:val="21"/>
              </w:rPr>
            </w:pPr>
            <w:r>
              <w:rPr>
                <w:rFonts w:ascii="仿宋_GB2312" w:eastAsia="仿宋_GB2312" w:hAnsi="宋体" w:cs="宋体" w:hint="eastAsia"/>
                <w:b/>
                <w:bCs/>
                <w:kern w:val="0"/>
                <w:szCs w:val="21"/>
              </w:rPr>
              <w:t>主导产业</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新型显示和智能终端</w:t>
            </w: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25亿</w:t>
            </w:r>
          </w:p>
        </w:tc>
        <w:tc>
          <w:tcPr>
            <w:tcW w:w="992"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150亿</w:t>
            </w:r>
          </w:p>
        </w:tc>
        <w:tc>
          <w:tcPr>
            <w:tcW w:w="3260" w:type="dxa"/>
            <w:tcBorders>
              <w:top w:val="single" w:sz="4" w:space="0" w:color="auto"/>
              <w:left w:val="nil"/>
              <w:bottom w:val="single" w:sz="4" w:space="0" w:color="auto"/>
              <w:right w:val="single" w:sz="4" w:space="0" w:color="000000"/>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推进乐凯华光退城入园、中富康智能激光超短焦投影机和牧原农牧装备等项目建设，拓展上下游产品研发和生产，打造光、电显示材料-光学元件和电子配件研发生产-智能制造-新型显示和智能终端制造-销售运输-售后服务等完善产业链条。</w:t>
            </w:r>
          </w:p>
        </w:tc>
      </w:tr>
      <w:tr w:rsidR="00D92198">
        <w:trPr>
          <w:trHeight w:val="4243"/>
        </w:trPr>
        <w:tc>
          <w:tcPr>
            <w:tcW w:w="1004" w:type="dxa"/>
            <w:vMerge/>
            <w:tcBorders>
              <w:top w:val="nil"/>
              <w:left w:val="single" w:sz="4" w:space="0" w:color="auto"/>
              <w:bottom w:val="single" w:sz="4" w:space="0" w:color="000000"/>
              <w:right w:val="single" w:sz="4" w:space="0" w:color="auto"/>
            </w:tcBorders>
            <w:vAlign w:val="center"/>
          </w:tcPr>
          <w:p w:rsidR="00D92198" w:rsidRDefault="00D92198">
            <w:pPr>
              <w:widowControl/>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b/>
                <w:bCs/>
                <w:kern w:val="0"/>
                <w:szCs w:val="21"/>
              </w:rPr>
            </w:pPr>
            <w:r>
              <w:rPr>
                <w:rFonts w:ascii="仿宋_GB2312" w:eastAsia="仿宋_GB2312" w:hAnsi="宋体" w:cs="宋体" w:hint="eastAsia"/>
                <w:b/>
                <w:bCs/>
                <w:kern w:val="0"/>
                <w:szCs w:val="21"/>
              </w:rPr>
              <w:t>新兴产业</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生物兽用制品</w:t>
            </w: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1亿</w:t>
            </w:r>
          </w:p>
        </w:tc>
        <w:tc>
          <w:tcPr>
            <w:tcW w:w="992"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100亿</w:t>
            </w:r>
          </w:p>
        </w:tc>
        <w:tc>
          <w:tcPr>
            <w:tcW w:w="3260" w:type="dxa"/>
            <w:tcBorders>
              <w:top w:val="single" w:sz="4" w:space="0" w:color="auto"/>
              <w:left w:val="nil"/>
              <w:bottom w:val="single" w:sz="4" w:space="0" w:color="auto"/>
              <w:right w:val="single" w:sz="4" w:space="0" w:color="000000"/>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依托天华制药、兴华生物等龙头企业和科研平台，在生物兽用制品的研发、生产、销售、使用等链条上，加大招商引资力度，推进生物兽用制品产业跨越发展；积极推动正在洽谈的总投资30亿元的牧原兽药厂项目尽快签约落地建设，扩大产业规模，完善产业链条，打造豫西南重要的生物药品和生物兽药基地；鼓励支持西施兰、树铭药业等辖区传统医药企业转型升级，挖掘生物药品和生物兽药新经济增长点。</w:t>
            </w:r>
          </w:p>
        </w:tc>
      </w:tr>
      <w:tr w:rsidR="00D92198">
        <w:trPr>
          <w:trHeight w:val="3765"/>
        </w:trPr>
        <w:tc>
          <w:tcPr>
            <w:tcW w:w="1004" w:type="dxa"/>
            <w:vMerge/>
            <w:tcBorders>
              <w:top w:val="nil"/>
              <w:left w:val="single" w:sz="4" w:space="0" w:color="auto"/>
              <w:bottom w:val="single" w:sz="4" w:space="0" w:color="000000"/>
              <w:right w:val="single" w:sz="4" w:space="0" w:color="auto"/>
            </w:tcBorders>
            <w:vAlign w:val="center"/>
          </w:tcPr>
          <w:p w:rsidR="00D92198" w:rsidRDefault="00D92198">
            <w:pPr>
              <w:widowControl/>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b/>
                <w:bCs/>
                <w:kern w:val="0"/>
                <w:szCs w:val="21"/>
              </w:rPr>
            </w:pPr>
            <w:r>
              <w:rPr>
                <w:rFonts w:ascii="仿宋_GB2312" w:eastAsia="仿宋_GB2312" w:hAnsi="宋体" w:cs="宋体" w:hint="eastAsia"/>
                <w:b/>
                <w:bCs/>
                <w:kern w:val="0"/>
                <w:szCs w:val="21"/>
              </w:rPr>
              <w:t>特色产业</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工程装备制造</w:t>
            </w: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25亿</w:t>
            </w:r>
          </w:p>
        </w:tc>
        <w:tc>
          <w:tcPr>
            <w:tcW w:w="992"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100亿</w:t>
            </w:r>
          </w:p>
        </w:tc>
        <w:tc>
          <w:tcPr>
            <w:tcW w:w="3260" w:type="dxa"/>
            <w:tcBorders>
              <w:top w:val="single" w:sz="4" w:space="0" w:color="auto"/>
              <w:left w:val="nil"/>
              <w:bottom w:val="single" w:sz="4" w:space="0" w:color="auto"/>
              <w:right w:val="single" w:sz="4" w:space="0" w:color="000000"/>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依托科研平台和龙头企业的优势资源，做优做精做大工程装备制造业，形成研发设计-关键零部件制造（轴承、动力电池、电气元件等）-系统总成制造（智能控制、液压传动等）-工程装备整机装配的全产业链，加快推进亚龙智能装备产业园建设，把卧龙区建成具较强竞争力、影响力的工程装备制造基地。</w:t>
            </w:r>
          </w:p>
        </w:tc>
      </w:tr>
      <w:tr w:rsidR="00D92198">
        <w:trPr>
          <w:trHeight w:val="1137"/>
        </w:trPr>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lastRenderedPageBreak/>
              <w:t>单位</w:t>
            </w:r>
          </w:p>
        </w:tc>
        <w:tc>
          <w:tcPr>
            <w:tcW w:w="2268" w:type="dxa"/>
            <w:gridSpan w:val="2"/>
            <w:tcBorders>
              <w:top w:val="single" w:sz="4" w:space="0" w:color="auto"/>
              <w:left w:val="nil"/>
              <w:bottom w:val="single" w:sz="4" w:space="0" w:color="auto"/>
              <w:right w:val="single" w:sz="4" w:space="0" w:color="000000"/>
            </w:tcBorders>
            <w:shd w:val="clear" w:color="auto" w:fill="auto"/>
            <w:noWrap/>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t>谋划产业</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t>目前产值</w:t>
            </w:r>
          </w:p>
        </w:tc>
        <w:tc>
          <w:tcPr>
            <w:tcW w:w="992" w:type="dxa"/>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t>十四五末产值</w:t>
            </w:r>
          </w:p>
        </w:tc>
        <w:tc>
          <w:tcPr>
            <w:tcW w:w="3260" w:type="dxa"/>
            <w:tcBorders>
              <w:top w:val="single" w:sz="4" w:space="0" w:color="auto"/>
              <w:left w:val="nil"/>
              <w:bottom w:val="single" w:sz="4" w:space="0" w:color="auto"/>
              <w:right w:val="single" w:sz="4" w:space="0" w:color="000000"/>
            </w:tcBorders>
            <w:shd w:val="clear" w:color="auto" w:fill="auto"/>
            <w:noWrap/>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t>产业的发展思路</w:t>
            </w:r>
          </w:p>
        </w:tc>
      </w:tr>
      <w:tr w:rsidR="00D92198">
        <w:trPr>
          <w:trHeight w:val="1962"/>
        </w:trPr>
        <w:tc>
          <w:tcPr>
            <w:tcW w:w="1004" w:type="dxa"/>
            <w:vMerge w:val="restart"/>
            <w:tcBorders>
              <w:top w:val="nil"/>
              <w:left w:val="single" w:sz="4" w:space="0" w:color="auto"/>
              <w:bottom w:val="single" w:sz="4" w:space="0" w:color="000000"/>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宛城区</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b/>
                <w:bCs/>
                <w:kern w:val="0"/>
                <w:szCs w:val="21"/>
              </w:rPr>
            </w:pPr>
            <w:r>
              <w:rPr>
                <w:rFonts w:ascii="仿宋_GB2312" w:eastAsia="仿宋_GB2312" w:hAnsi="宋体" w:cs="宋体" w:hint="eastAsia"/>
                <w:b/>
                <w:bCs/>
                <w:kern w:val="0"/>
                <w:szCs w:val="21"/>
              </w:rPr>
              <w:t>主导产业</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输变电装备制造业</w:t>
            </w: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35.4亿</w:t>
            </w:r>
          </w:p>
        </w:tc>
        <w:tc>
          <w:tcPr>
            <w:tcW w:w="992"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60亿</w:t>
            </w:r>
          </w:p>
        </w:tc>
        <w:tc>
          <w:tcPr>
            <w:tcW w:w="3260" w:type="dxa"/>
            <w:tcBorders>
              <w:top w:val="single" w:sz="4" w:space="0" w:color="auto"/>
              <w:left w:val="nil"/>
              <w:bottom w:val="single" w:sz="4" w:space="0" w:color="auto"/>
              <w:right w:val="single" w:sz="4" w:space="0" w:color="000000"/>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围绕“原材料-基础配套产品-设备制造-安装交付”产业链，开发高端产品、强化配套产品，发展输变电、变配电控制、输变电保护与监控装备等设备。</w:t>
            </w:r>
          </w:p>
        </w:tc>
      </w:tr>
      <w:tr w:rsidR="00D92198">
        <w:trPr>
          <w:trHeight w:val="1905"/>
        </w:trPr>
        <w:tc>
          <w:tcPr>
            <w:tcW w:w="1004" w:type="dxa"/>
            <w:vMerge/>
            <w:tcBorders>
              <w:top w:val="nil"/>
              <w:left w:val="single" w:sz="4" w:space="0" w:color="auto"/>
              <w:bottom w:val="single" w:sz="4" w:space="0" w:color="000000"/>
              <w:right w:val="single" w:sz="4" w:space="0" w:color="auto"/>
            </w:tcBorders>
            <w:vAlign w:val="center"/>
          </w:tcPr>
          <w:p w:rsidR="00D92198" w:rsidRDefault="00D92198">
            <w:pPr>
              <w:widowControl/>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b/>
                <w:bCs/>
                <w:kern w:val="0"/>
                <w:szCs w:val="21"/>
              </w:rPr>
            </w:pPr>
            <w:r>
              <w:rPr>
                <w:rFonts w:ascii="仿宋_GB2312" w:eastAsia="仿宋_GB2312" w:hAnsi="宋体" w:cs="宋体" w:hint="eastAsia"/>
                <w:b/>
                <w:bCs/>
                <w:kern w:val="0"/>
                <w:szCs w:val="21"/>
              </w:rPr>
              <w:t>新兴产业</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光电印刷新材料</w:t>
            </w: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28.6亿</w:t>
            </w:r>
          </w:p>
        </w:tc>
        <w:tc>
          <w:tcPr>
            <w:tcW w:w="992"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50亿</w:t>
            </w:r>
          </w:p>
        </w:tc>
        <w:tc>
          <w:tcPr>
            <w:tcW w:w="3260" w:type="dxa"/>
            <w:tcBorders>
              <w:top w:val="single" w:sz="4" w:space="0" w:color="auto"/>
              <w:left w:val="nil"/>
              <w:bottom w:val="single" w:sz="4" w:space="0" w:color="auto"/>
              <w:right w:val="single" w:sz="4" w:space="0" w:color="000000"/>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完善“树脂生产-柔性板材生产-印刷制版输出-产品包装印刷”产业链;打通PET树脂生产-PCB胶片生产-PCB工作片生产-电子线路板生产-电子产品制造产业链。</w:t>
            </w:r>
          </w:p>
        </w:tc>
      </w:tr>
      <w:tr w:rsidR="00D92198">
        <w:trPr>
          <w:trHeight w:val="1710"/>
        </w:trPr>
        <w:tc>
          <w:tcPr>
            <w:tcW w:w="1004" w:type="dxa"/>
            <w:vMerge/>
            <w:tcBorders>
              <w:top w:val="nil"/>
              <w:left w:val="single" w:sz="4" w:space="0" w:color="auto"/>
              <w:bottom w:val="single" w:sz="4" w:space="0" w:color="000000"/>
              <w:right w:val="single" w:sz="4" w:space="0" w:color="auto"/>
            </w:tcBorders>
            <w:vAlign w:val="center"/>
          </w:tcPr>
          <w:p w:rsidR="00D92198" w:rsidRDefault="00D92198">
            <w:pPr>
              <w:widowControl/>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b/>
                <w:bCs/>
                <w:kern w:val="0"/>
                <w:szCs w:val="21"/>
              </w:rPr>
            </w:pPr>
            <w:r>
              <w:rPr>
                <w:rFonts w:ascii="仿宋_GB2312" w:eastAsia="仿宋_GB2312" w:hAnsi="宋体" w:cs="宋体" w:hint="eastAsia"/>
                <w:b/>
                <w:bCs/>
                <w:kern w:val="0"/>
                <w:szCs w:val="21"/>
              </w:rPr>
              <w:t>特色产业</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功能性食品</w:t>
            </w: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6.2亿</w:t>
            </w:r>
          </w:p>
        </w:tc>
        <w:tc>
          <w:tcPr>
            <w:tcW w:w="992"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15亿</w:t>
            </w:r>
          </w:p>
        </w:tc>
        <w:tc>
          <w:tcPr>
            <w:tcW w:w="3260" w:type="dxa"/>
            <w:tcBorders>
              <w:top w:val="single" w:sz="4" w:space="0" w:color="auto"/>
              <w:left w:val="nil"/>
              <w:bottom w:val="single" w:sz="4" w:space="0" w:color="auto"/>
              <w:right w:val="single" w:sz="4" w:space="0" w:color="000000"/>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依托现有康复保健食品、中医药食品、营养食品等产业基础，打造原料收储-现代工艺加工-分拣包装-上市流通产业链条，积极培育功能性食品产业。</w:t>
            </w:r>
          </w:p>
        </w:tc>
      </w:tr>
      <w:tr w:rsidR="00D92198">
        <w:trPr>
          <w:trHeight w:val="1881"/>
        </w:trPr>
        <w:tc>
          <w:tcPr>
            <w:tcW w:w="1004" w:type="dxa"/>
            <w:vMerge w:val="restart"/>
            <w:tcBorders>
              <w:top w:val="nil"/>
              <w:left w:val="single" w:sz="4" w:space="0" w:color="auto"/>
              <w:bottom w:val="single" w:sz="4" w:space="0" w:color="000000"/>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新野县</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b/>
                <w:bCs/>
                <w:kern w:val="0"/>
                <w:szCs w:val="21"/>
              </w:rPr>
            </w:pPr>
            <w:r>
              <w:rPr>
                <w:rFonts w:ascii="仿宋_GB2312" w:eastAsia="仿宋_GB2312" w:hAnsi="宋体" w:cs="宋体" w:hint="eastAsia"/>
                <w:b/>
                <w:bCs/>
                <w:kern w:val="0"/>
                <w:szCs w:val="21"/>
              </w:rPr>
              <w:t>主导产业</w:t>
            </w: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纺织服装</w:t>
            </w: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100亿</w:t>
            </w:r>
          </w:p>
        </w:tc>
        <w:tc>
          <w:tcPr>
            <w:tcW w:w="992"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200亿</w:t>
            </w:r>
          </w:p>
        </w:tc>
        <w:tc>
          <w:tcPr>
            <w:tcW w:w="3260" w:type="dxa"/>
            <w:tcBorders>
              <w:top w:val="single" w:sz="4" w:space="0" w:color="auto"/>
              <w:left w:val="nil"/>
              <w:bottom w:val="single" w:sz="4" w:space="0" w:color="auto"/>
              <w:right w:val="single" w:sz="4" w:space="0" w:color="000000"/>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以新纺公司为龙头，以华星科创、罗蒙服饰等为骨干，发展纺织业，引进染整印染项目，形成“原棉加工-纺纱-整浆-织布-面料-印染-服装”于一体的全产业链格局。</w:t>
            </w:r>
          </w:p>
        </w:tc>
      </w:tr>
      <w:tr w:rsidR="00D92198">
        <w:trPr>
          <w:trHeight w:val="1556"/>
        </w:trPr>
        <w:tc>
          <w:tcPr>
            <w:tcW w:w="1004" w:type="dxa"/>
            <w:vMerge/>
            <w:tcBorders>
              <w:top w:val="nil"/>
              <w:left w:val="single" w:sz="4" w:space="0" w:color="auto"/>
              <w:bottom w:val="single" w:sz="4" w:space="0" w:color="000000"/>
              <w:right w:val="single" w:sz="4" w:space="0" w:color="auto"/>
            </w:tcBorders>
            <w:vAlign w:val="center"/>
          </w:tcPr>
          <w:p w:rsidR="00D92198" w:rsidRDefault="00D92198">
            <w:pPr>
              <w:widowControl/>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b/>
                <w:bCs/>
                <w:kern w:val="0"/>
                <w:szCs w:val="21"/>
              </w:rPr>
            </w:pPr>
            <w:r>
              <w:rPr>
                <w:rFonts w:ascii="仿宋_GB2312" w:eastAsia="仿宋_GB2312" w:hAnsi="宋体" w:cs="宋体" w:hint="eastAsia"/>
                <w:b/>
                <w:bCs/>
                <w:kern w:val="0"/>
                <w:szCs w:val="21"/>
              </w:rPr>
              <w:t>新兴产业</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电子元器件</w:t>
            </w: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15亿</w:t>
            </w:r>
          </w:p>
        </w:tc>
        <w:tc>
          <w:tcPr>
            <w:tcW w:w="992"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100亿</w:t>
            </w:r>
          </w:p>
        </w:tc>
        <w:tc>
          <w:tcPr>
            <w:tcW w:w="3260" w:type="dxa"/>
            <w:tcBorders>
              <w:top w:val="single" w:sz="4" w:space="0" w:color="auto"/>
              <w:left w:val="nil"/>
              <w:bottom w:val="single" w:sz="4" w:space="0" w:color="auto"/>
              <w:right w:val="single" w:sz="4" w:space="0" w:color="000000"/>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以鼎泰高科、新正方电子、旭润光电、凯旋裕盛等企业为龙头，培育壮大电子元器件产业集群。</w:t>
            </w:r>
          </w:p>
        </w:tc>
      </w:tr>
      <w:tr w:rsidR="00D92198">
        <w:trPr>
          <w:trHeight w:val="2340"/>
        </w:trPr>
        <w:tc>
          <w:tcPr>
            <w:tcW w:w="1004" w:type="dxa"/>
            <w:vMerge/>
            <w:tcBorders>
              <w:top w:val="nil"/>
              <w:left w:val="single" w:sz="4" w:space="0" w:color="auto"/>
              <w:bottom w:val="single" w:sz="4" w:space="0" w:color="000000"/>
              <w:right w:val="single" w:sz="4" w:space="0" w:color="auto"/>
            </w:tcBorders>
            <w:vAlign w:val="center"/>
          </w:tcPr>
          <w:p w:rsidR="00D92198" w:rsidRDefault="00D92198">
            <w:pPr>
              <w:widowControl/>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b/>
                <w:bCs/>
                <w:kern w:val="0"/>
                <w:szCs w:val="21"/>
              </w:rPr>
            </w:pPr>
            <w:r>
              <w:rPr>
                <w:rFonts w:ascii="仿宋_GB2312" w:eastAsia="仿宋_GB2312" w:hAnsi="宋体" w:cs="宋体" w:hint="eastAsia"/>
                <w:b/>
                <w:bCs/>
                <w:kern w:val="0"/>
                <w:szCs w:val="21"/>
              </w:rPr>
              <w:t>特色产业</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智能玩具</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2亿</w:t>
            </w:r>
          </w:p>
        </w:tc>
        <w:tc>
          <w:tcPr>
            <w:tcW w:w="99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30亿</w:t>
            </w:r>
          </w:p>
        </w:tc>
        <w:tc>
          <w:tcPr>
            <w:tcW w:w="3260" w:type="dxa"/>
            <w:tcBorders>
              <w:top w:val="single" w:sz="4" w:space="0" w:color="auto"/>
              <w:left w:val="nil"/>
              <w:bottom w:val="single" w:sz="4" w:space="0" w:color="auto"/>
              <w:right w:val="single" w:sz="4" w:space="0" w:color="000000"/>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以打造“玩具之都”为目标，以明迪玩具、星梦科教等企业为龙头，积极引进玩具企业，带动配套相关企业落户新野，运用光学镜片、锂电等开发设计新型智能玩具，形成“设计-模具-注塑-组合-移印-包装-销售”的产业链条。</w:t>
            </w:r>
          </w:p>
        </w:tc>
      </w:tr>
      <w:tr w:rsidR="00D92198">
        <w:trPr>
          <w:trHeight w:val="698"/>
        </w:trPr>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lastRenderedPageBreak/>
              <w:t>单位</w:t>
            </w:r>
          </w:p>
        </w:tc>
        <w:tc>
          <w:tcPr>
            <w:tcW w:w="2268" w:type="dxa"/>
            <w:gridSpan w:val="2"/>
            <w:tcBorders>
              <w:top w:val="single" w:sz="4" w:space="0" w:color="auto"/>
              <w:left w:val="nil"/>
              <w:bottom w:val="single" w:sz="4" w:space="0" w:color="auto"/>
              <w:right w:val="single" w:sz="4" w:space="0" w:color="000000"/>
            </w:tcBorders>
            <w:shd w:val="clear" w:color="auto" w:fill="auto"/>
            <w:noWrap/>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t>谋划产业</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t>目前产值</w:t>
            </w:r>
          </w:p>
        </w:tc>
        <w:tc>
          <w:tcPr>
            <w:tcW w:w="992" w:type="dxa"/>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t>十四五末产值</w:t>
            </w:r>
          </w:p>
        </w:tc>
        <w:tc>
          <w:tcPr>
            <w:tcW w:w="3260" w:type="dxa"/>
            <w:tcBorders>
              <w:top w:val="single" w:sz="4" w:space="0" w:color="auto"/>
              <w:left w:val="nil"/>
              <w:bottom w:val="single" w:sz="4" w:space="0" w:color="auto"/>
              <w:right w:val="single" w:sz="4" w:space="0" w:color="000000"/>
            </w:tcBorders>
            <w:shd w:val="clear" w:color="auto" w:fill="auto"/>
            <w:noWrap/>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t>产业的发展思路</w:t>
            </w:r>
          </w:p>
        </w:tc>
      </w:tr>
      <w:tr w:rsidR="00D92198">
        <w:trPr>
          <w:trHeight w:val="2269"/>
        </w:trPr>
        <w:tc>
          <w:tcPr>
            <w:tcW w:w="1004" w:type="dxa"/>
            <w:vMerge w:val="restart"/>
            <w:tcBorders>
              <w:top w:val="nil"/>
              <w:left w:val="single" w:sz="4" w:space="0" w:color="auto"/>
              <w:bottom w:val="single" w:sz="4" w:space="0" w:color="000000"/>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桐柏县</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b/>
                <w:bCs/>
                <w:kern w:val="0"/>
                <w:szCs w:val="21"/>
              </w:rPr>
            </w:pPr>
            <w:r>
              <w:rPr>
                <w:rFonts w:ascii="仿宋_GB2312" w:eastAsia="仿宋_GB2312" w:hAnsi="宋体" w:cs="宋体" w:hint="eastAsia"/>
                <w:b/>
                <w:bCs/>
                <w:kern w:val="0"/>
                <w:szCs w:val="21"/>
              </w:rPr>
              <w:t>主导产业</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以碱硝为主的化工产业</w:t>
            </w: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65亿</w:t>
            </w:r>
          </w:p>
        </w:tc>
        <w:tc>
          <w:tcPr>
            <w:tcW w:w="992"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130亿</w:t>
            </w:r>
          </w:p>
        </w:tc>
        <w:tc>
          <w:tcPr>
            <w:tcW w:w="3260" w:type="dxa"/>
            <w:tcBorders>
              <w:top w:val="single" w:sz="4" w:space="0" w:color="auto"/>
              <w:left w:val="nil"/>
              <w:bottom w:val="single" w:sz="4" w:space="0" w:color="auto"/>
              <w:right w:val="single" w:sz="4" w:space="0" w:color="000000"/>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依托优势碱硝资源和现有产业基础，做大做强“天然碱卤</w:t>
            </w:r>
            <w:r w:rsidR="00A61652">
              <w:rPr>
                <w:rFonts w:ascii="仿宋_GB2312" w:eastAsia="仿宋_GB2312" w:hAnsi="宋体" w:cs="宋体" w:hint="eastAsia"/>
                <w:kern w:val="0"/>
                <w:szCs w:val="21"/>
              </w:rPr>
              <w:t>—</w:t>
            </w:r>
            <w:r>
              <w:rPr>
                <w:rFonts w:ascii="仿宋_GB2312" w:eastAsia="仿宋_GB2312" w:hAnsi="宋体" w:cs="宋体" w:hint="eastAsia"/>
                <w:kern w:val="0"/>
                <w:szCs w:val="21"/>
              </w:rPr>
              <w:t>纯碱</w:t>
            </w:r>
            <w:r w:rsidR="00A61652">
              <w:rPr>
                <w:rFonts w:ascii="仿宋_GB2312" w:eastAsia="仿宋_GB2312" w:hAnsi="宋体" w:cs="宋体" w:hint="eastAsia"/>
                <w:kern w:val="0"/>
                <w:szCs w:val="21"/>
              </w:rPr>
              <w:t>—</w:t>
            </w:r>
            <w:r>
              <w:rPr>
                <w:rFonts w:ascii="仿宋_GB2312" w:eastAsia="仿宋_GB2312" w:hAnsi="宋体" w:cs="宋体" w:hint="eastAsia"/>
                <w:kern w:val="0"/>
                <w:szCs w:val="21"/>
              </w:rPr>
              <w:t>精细化工</w:t>
            </w:r>
            <w:r w:rsidR="00A61652">
              <w:rPr>
                <w:rFonts w:ascii="仿宋_GB2312" w:eastAsia="仿宋_GB2312" w:hAnsi="宋体" w:cs="宋体" w:hint="eastAsia"/>
                <w:kern w:val="0"/>
                <w:szCs w:val="21"/>
              </w:rPr>
              <w:t>—</w:t>
            </w:r>
            <w:r>
              <w:rPr>
                <w:rFonts w:ascii="仿宋_GB2312" w:eastAsia="仿宋_GB2312" w:hAnsi="宋体" w:cs="宋体" w:hint="eastAsia"/>
                <w:kern w:val="0"/>
                <w:szCs w:val="21"/>
              </w:rPr>
              <w:t>新型化工”“芒硝矿</w:t>
            </w:r>
            <w:r w:rsidR="00A61652">
              <w:rPr>
                <w:rFonts w:ascii="仿宋_GB2312" w:eastAsia="仿宋_GB2312" w:hAnsi="宋体" w:cs="宋体" w:hint="eastAsia"/>
                <w:kern w:val="0"/>
                <w:szCs w:val="21"/>
              </w:rPr>
              <w:t>—</w:t>
            </w:r>
            <w:r>
              <w:rPr>
                <w:rFonts w:ascii="仿宋_GB2312" w:eastAsia="仿宋_GB2312" w:hAnsi="宋体" w:cs="宋体" w:hint="eastAsia"/>
                <w:kern w:val="0"/>
                <w:szCs w:val="21"/>
              </w:rPr>
              <w:t>元明粉</w:t>
            </w:r>
            <w:r w:rsidR="00A61652">
              <w:rPr>
                <w:rFonts w:ascii="仿宋_GB2312" w:eastAsia="仿宋_GB2312" w:hAnsi="宋体" w:cs="宋体" w:hint="eastAsia"/>
                <w:kern w:val="0"/>
                <w:szCs w:val="21"/>
              </w:rPr>
              <w:t>—</w:t>
            </w:r>
            <w:r>
              <w:rPr>
                <w:rFonts w:ascii="仿宋_GB2312" w:eastAsia="仿宋_GB2312" w:hAnsi="宋体" w:cs="宋体" w:hint="eastAsia"/>
                <w:kern w:val="0"/>
                <w:szCs w:val="21"/>
              </w:rPr>
              <w:t>精细化工</w:t>
            </w:r>
            <w:r w:rsidR="00A61652">
              <w:rPr>
                <w:rFonts w:ascii="仿宋_GB2312" w:eastAsia="仿宋_GB2312" w:hAnsi="宋体" w:cs="宋体" w:hint="eastAsia"/>
                <w:kern w:val="0"/>
                <w:szCs w:val="21"/>
              </w:rPr>
              <w:t>—</w:t>
            </w:r>
            <w:r>
              <w:rPr>
                <w:rFonts w:ascii="仿宋_GB2312" w:eastAsia="仿宋_GB2312" w:hAnsi="宋体" w:cs="宋体" w:hint="eastAsia"/>
                <w:kern w:val="0"/>
                <w:szCs w:val="21"/>
              </w:rPr>
              <w:t>新型化工”“感光材料</w:t>
            </w:r>
            <w:r w:rsidR="00A61652">
              <w:rPr>
                <w:rFonts w:ascii="仿宋_GB2312" w:eastAsia="仿宋_GB2312" w:hAnsi="宋体" w:cs="宋体" w:hint="eastAsia"/>
                <w:kern w:val="0"/>
                <w:szCs w:val="21"/>
              </w:rPr>
              <w:t>—</w:t>
            </w:r>
            <w:r>
              <w:rPr>
                <w:rFonts w:ascii="仿宋_GB2312" w:eastAsia="仿宋_GB2312" w:hAnsi="宋体" w:cs="宋体" w:hint="eastAsia"/>
                <w:kern w:val="0"/>
                <w:szCs w:val="21"/>
              </w:rPr>
              <w:t>光磁记录材料</w:t>
            </w:r>
            <w:r w:rsidR="00A61652">
              <w:rPr>
                <w:rFonts w:ascii="仿宋_GB2312" w:eastAsia="仿宋_GB2312" w:hAnsi="宋体" w:cs="宋体" w:hint="eastAsia"/>
                <w:kern w:val="0"/>
                <w:szCs w:val="21"/>
              </w:rPr>
              <w:t>—</w:t>
            </w:r>
            <w:r>
              <w:rPr>
                <w:rFonts w:ascii="仿宋_GB2312" w:eastAsia="仿宋_GB2312" w:hAnsi="宋体" w:cs="宋体" w:hint="eastAsia"/>
                <w:kern w:val="0"/>
                <w:szCs w:val="21"/>
              </w:rPr>
              <w:t>电子化学品”三个产业链条。</w:t>
            </w:r>
          </w:p>
        </w:tc>
      </w:tr>
      <w:tr w:rsidR="00D92198">
        <w:trPr>
          <w:trHeight w:val="1983"/>
        </w:trPr>
        <w:tc>
          <w:tcPr>
            <w:tcW w:w="1004" w:type="dxa"/>
            <w:vMerge/>
            <w:tcBorders>
              <w:top w:val="nil"/>
              <w:left w:val="single" w:sz="4" w:space="0" w:color="auto"/>
              <w:bottom w:val="single" w:sz="4" w:space="0" w:color="000000"/>
              <w:right w:val="single" w:sz="4" w:space="0" w:color="auto"/>
            </w:tcBorders>
            <w:vAlign w:val="center"/>
          </w:tcPr>
          <w:p w:rsidR="00D92198" w:rsidRDefault="00D92198">
            <w:pPr>
              <w:widowControl/>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b/>
                <w:bCs/>
                <w:kern w:val="0"/>
                <w:szCs w:val="21"/>
              </w:rPr>
            </w:pPr>
            <w:r>
              <w:rPr>
                <w:rFonts w:ascii="仿宋_GB2312" w:eastAsia="仿宋_GB2312" w:hAnsi="宋体" w:cs="宋体" w:hint="eastAsia"/>
                <w:b/>
                <w:bCs/>
                <w:kern w:val="0"/>
                <w:szCs w:val="21"/>
              </w:rPr>
              <w:t>新兴产业</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医药中间体</w:t>
            </w: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20亿</w:t>
            </w:r>
          </w:p>
        </w:tc>
        <w:tc>
          <w:tcPr>
            <w:tcW w:w="992"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250亿</w:t>
            </w:r>
          </w:p>
        </w:tc>
        <w:tc>
          <w:tcPr>
            <w:tcW w:w="3260" w:type="dxa"/>
            <w:tcBorders>
              <w:top w:val="single" w:sz="4" w:space="0" w:color="auto"/>
              <w:left w:val="nil"/>
              <w:bottom w:val="single" w:sz="4" w:space="0" w:color="auto"/>
              <w:right w:val="single" w:sz="4" w:space="0" w:color="000000"/>
            </w:tcBorders>
            <w:shd w:val="clear" w:color="auto" w:fill="auto"/>
            <w:vAlign w:val="center"/>
          </w:tcPr>
          <w:p w:rsidR="00D92198" w:rsidRDefault="00AE1128">
            <w:pPr>
              <w:widowControl/>
              <w:rPr>
                <w:rFonts w:ascii="仿宋_GB2312" w:eastAsia="仿宋_GB2312" w:hAnsi="宋体" w:cs="宋体"/>
                <w:kern w:val="0"/>
                <w:szCs w:val="21"/>
              </w:rPr>
            </w:pPr>
            <w:r>
              <w:rPr>
                <w:rFonts w:ascii="仿宋_GB2312" w:eastAsia="仿宋_GB2312" w:hAnsi="宋体" w:cs="宋体" w:hint="eastAsia"/>
                <w:kern w:val="0"/>
                <w:szCs w:val="21"/>
              </w:rPr>
              <w:t>重点发展医药类高端原料药产品、农药中间体产品、生物发酵（酶法）产品等高科技、高附加值、低耗能的产品，做大做强“医药中间体</w:t>
            </w:r>
            <w:r w:rsidR="00A61652">
              <w:rPr>
                <w:rFonts w:ascii="仿宋_GB2312" w:eastAsia="仿宋_GB2312" w:hAnsi="宋体" w:cs="宋体" w:hint="eastAsia"/>
                <w:kern w:val="0"/>
                <w:szCs w:val="21"/>
              </w:rPr>
              <w:t>—</w:t>
            </w:r>
            <w:r>
              <w:rPr>
                <w:rFonts w:ascii="仿宋_GB2312" w:eastAsia="仿宋_GB2312" w:hAnsi="宋体" w:cs="宋体" w:hint="eastAsia"/>
                <w:kern w:val="0"/>
                <w:szCs w:val="21"/>
              </w:rPr>
              <w:t>废硫酸/盐酸</w:t>
            </w:r>
            <w:r w:rsidR="00A61652">
              <w:rPr>
                <w:rFonts w:ascii="仿宋_GB2312" w:eastAsia="仿宋_GB2312" w:hAnsi="宋体" w:cs="宋体" w:hint="eastAsia"/>
                <w:kern w:val="0"/>
                <w:szCs w:val="21"/>
              </w:rPr>
              <w:t>—</w:t>
            </w:r>
            <w:r>
              <w:rPr>
                <w:rFonts w:ascii="仿宋_GB2312" w:eastAsia="仿宋_GB2312" w:hAnsi="宋体" w:cs="宋体" w:hint="eastAsia"/>
                <w:kern w:val="0"/>
                <w:szCs w:val="21"/>
              </w:rPr>
              <w:t>新型化工产品”产业链。</w:t>
            </w:r>
          </w:p>
        </w:tc>
      </w:tr>
      <w:tr w:rsidR="00D92198">
        <w:trPr>
          <w:trHeight w:val="1242"/>
        </w:trPr>
        <w:tc>
          <w:tcPr>
            <w:tcW w:w="1004" w:type="dxa"/>
            <w:vMerge/>
            <w:tcBorders>
              <w:top w:val="nil"/>
              <w:left w:val="single" w:sz="4" w:space="0" w:color="auto"/>
              <w:bottom w:val="single" w:sz="4" w:space="0" w:color="000000"/>
              <w:right w:val="single" w:sz="4" w:space="0" w:color="auto"/>
            </w:tcBorders>
            <w:vAlign w:val="center"/>
          </w:tcPr>
          <w:p w:rsidR="00D92198" w:rsidRDefault="00D92198">
            <w:pPr>
              <w:widowControl/>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b/>
                <w:bCs/>
                <w:kern w:val="0"/>
                <w:szCs w:val="21"/>
              </w:rPr>
            </w:pPr>
            <w:r>
              <w:rPr>
                <w:rFonts w:ascii="仿宋_GB2312" w:eastAsia="仿宋_GB2312" w:hAnsi="宋体" w:cs="宋体" w:hint="eastAsia"/>
                <w:b/>
                <w:bCs/>
                <w:kern w:val="0"/>
                <w:szCs w:val="21"/>
              </w:rPr>
              <w:t>特色产业</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以茶、油为主的农副产品加工业</w:t>
            </w: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20亿</w:t>
            </w:r>
          </w:p>
        </w:tc>
        <w:tc>
          <w:tcPr>
            <w:tcW w:w="992"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200亿</w:t>
            </w:r>
          </w:p>
        </w:tc>
        <w:tc>
          <w:tcPr>
            <w:tcW w:w="3260" w:type="dxa"/>
            <w:tcBorders>
              <w:top w:val="single" w:sz="4" w:space="0" w:color="auto"/>
              <w:left w:val="nil"/>
              <w:bottom w:val="single" w:sz="4" w:space="0" w:color="auto"/>
              <w:right w:val="single" w:sz="4" w:space="0" w:color="000000"/>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依托现有龙头企业，聚焦茶叶、粮油等农副产品，不断完善产业链条，强化产业链的横向集聚。</w:t>
            </w:r>
          </w:p>
        </w:tc>
      </w:tr>
      <w:tr w:rsidR="00D92198">
        <w:trPr>
          <w:trHeight w:val="2100"/>
        </w:trPr>
        <w:tc>
          <w:tcPr>
            <w:tcW w:w="1004" w:type="dxa"/>
            <w:vMerge w:val="restart"/>
            <w:tcBorders>
              <w:top w:val="nil"/>
              <w:left w:val="single" w:sz="4" w:space="0" w:color="auto"/>
              <w:bottom w:val="single" w:sz="4" w:space="0" w:color="000000"/>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方城县</w:t>
            </w: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b/>
                <w:bCs/>
                <w:kern w:val="0"/>
                <w:szCs w:val="21"/>
              </w:rPr>
            </w:pPr>
            <w:r>
              <w:rPr>
                <w:rFonts w:ascii="仿宋_GB2312" w:eastAsia="仿宋_GB2312" w:hAnsi="宋体" w:cs="宋体" w:hint="eastAsia"/>
                <w:b/>
                <w:bCs/>
                <w:kern w:val="0"/>
                <w:szCs w:val="21"/>
              </w:rPr>
              <w:t>主导产业</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轴承制造</w:t>
            </w: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40亿</w:t>
            </w:r>
          </w:p>
        </w:tc>
        <w:tc>
          <w:tcPr>
            <w:tcW w:w="99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100亿</w:t>
            </w:r>
          </w:p>
        </w:tc>
        <w:tc>
          <w:tcPr>
            <w:tcW w:w="3260" w:type="dxa"/>
            <w:tcBorders>
              <w:top w:val="single" w:sz="4" w:space="0" w:color="auto"/>
              <w:left w:val="nil"/>
              <w:bottom w:val="single" w:sz="4" w:space="0" w:color="auto"/>
              <w:right w:val="single" w:sz="4" w:space="0" w:color="000000"/>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以高端、精密轴承为重点，用成品轴承带动轴承套圈、滚动体等高端、精密下游产业发展。以轴承为中心，向上游发展轴承原材料环节，向下游延伸发展机械设备制造环节。</w:t>
            </w:r>
          </w:p>
        </w:tc>
      </w:tr>
      <w:tr w:rsidR="00D92198">
        <w:trPr>
          <w:trHeight w:val="2265"/>
        </w:trPr>
        <w:tc>
          <w:tcPr>
            <w:tcW w:w="1004" w:type="dxa"/>
            <w:vMerge/>
            <w:tcBorders>
              <w:top w:val="nil"/>
              <w:left w:val="single" w:sz="4" w:space="0" w:color="auto"/>
              <w:bottom w:val="single" w:sz="4" w:space="0" w:color="000000"/>
              <w:right w:val="single" w:sz="4" w:space="0" w:color="auto"/>
            </w:tcBorders>
            <w:vAlign w:val="center"/>
          </w:tcPr>
          <w:p w:rsidR="00D92198" w:rsidRDefault="00D92198">
            <w:pPr>
              <w:widowControl/>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b/>
                <w:bCs/>
                <w:kern w:val="0"/>
                <w:szCs w:val="21"/>
              </w:rPr>
            </w:pPr>
            <w:r>
              <w:rPr>
                <w:rFonts w:ascii="仿宋_GB2312" w:eastAsia="仿宋_GB2312" w:hAnsi="宋体" w:cs="宋体" w:hint="eastAsia"/>
                <w:b/>
                <w:bCs/>
                <w:kern w:val="0"/>
                <w:szCs w:val="21"/>
              </w:rPr>
              <w:t>新兴产业</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超硬材料</w:t>
            </w: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30亿</w:t>
            </w:r>
          </w:p>
        </w:tc>
        <w:tc>
          <w:tcPr>
            <w:tcW w:w="99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100亿</w:t>
            </w:r>
          </w:p>
        </w:tc>
        <w:tc>
          <w:tcPr>
            <w:tcW w:w="3260" w:type="dxa"/>
            <w:tcBorders>
              <w:top w:val="single" w:sz="4" w:space="0" w:color="auto"/>
              <w:left w:val="nil"/>
              <w:bottom w:val="single" w:sz="4" w:space="0" w:color="auto"/>
              <w:right w:val="single" w:sz="4" w:space="0" w:color="000000"/>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围绕“超硬设备机械</w:t>
            </w:r>
            <w:r w:rsidR="00A61652">
              <w:rPr>
                <w:rFonts w:ascii="仿宋_GB2312" w:eastAsia="仿宋_GB2312" w:hAnsi="宋体" w:cs="宋体" w:hint="eastAsia"/>
                <w:kern w:val="0"/>
                <w:szCs w:val="21"/>
              </w:rPr>
              <w:t>—</w:t>
            </w:r>
            <w:r>
              <w:rPr>
                <w:rFonts w:ascii="仿宋_GB2312" w:eastAsia="仿宋_GB2312" w:hAnsi="宋体" w:cs="宋体" w:hint="eastAsia"/>
                <w:kern w:val="0"/>
                <w:szCs w:val="21"/>
              </w:rPr>
              <w:t>金属触媒粉</w:t>
            </w:r>
            <w:r w:rsidR="00A61652">
              <w:rPr>
                <w:rFonts w:ascii="仿宋_GB2312" w:eastAsia="仿宋_GB2312" w:hAnsi="宋体" w:cs="宋体" w:hint="eastAsia"/>
                <w:kern w:val="0"/>
                <w:szCs w:val="21"/>
              </w:rPr>
              <w:t>—</w:t>
            </w:r>
            <w:r>
              <w:rPr>
                <w:rFonts w:ascii="仿宋_GB2312" w:eastAsia="仿宋_GB2312" w:hAnsi="宋体" w:cs="宋体" w:hint="eastAsia"/>
                <w:kern w:val="0"/>
                <w:szCs w:val="21"/>
              </w:rPr>
              <w:t>人造金刚石</w:t>
            </w:r>
            <w:r w:rsidR="00A61652">
              <w:rPr>
                <w:rFonts w:ascii="仿宋_GB2312" w:eastAsia="仿宋_GB2312" w:hAnsi="宋体" w:cs="宋体" w:hint="eastAsia"/>
                <w:kern w:val="0"/>
                <w:szCs w:val="21"/>
              </w:rPr>
              <w:t>—</w:t>
            </w:r>
            <w:r>
              <w:rPr>
                <w:rFonts w:ascii="仿宋_GB2312" w:eastAsia="仿宋_GB2312" w:hAnsi="宋体" w:cs="宋体" w:hint="eastAsia"/>
                <w:kern w:val="0"/>
                <w:szCs w:val="21"/>
              </w:rPr>
              <w:t>金刚石刀具磨具”产业链条，壮大龙头，扩大人造金刚石生产规模，膨胀下游企业规模，延伸发展其他非金属矿物制造业，建成国内以人造金刚石为主的超硬材料最大新兴产业集群。</w:t>
            </w:r>
          </w:p>
        </w:tc>
      </w:tr>
      <w:tr w:rsidR="00D92198">
        <w:trPr>
          <w:trHeight w:val="1832"/>
        </w:trPr>
        <w:tc>
          <w:tcPr>
            <w:tcW w:w="1004" w:type="dxa"/>
            <w:vMerge/>
            <w:tcBorders>
              <w:top w:val="nil"/>
              <w:left w:val="single" w:sz="4" w:space="0" w:color="auto"/>
              <w:bottom w:val="single" w:sz="4" w:space="0" w:color="000000"/>
              <w:right w:val="single" w:sz="4" w:space="0" w:color="auto"/>
            </w:tcBorders>
            <w:vAlign w:val="center"/>
          </w:tcPr>
          <w:p w:rsidR="00D92198" w:rsidRDefault="00D92198">
            <w:pPr>
              <w:widowControl/>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b/>
                <w:bCs/>
                <w:kern w:val="0"/>
                <w:szCs w:val="21"/>
              </w:rPr>
            </w:pPr>
            <w:r>
              <w:rPr>
                <w:rFonts w:ascii="仿宋_GB2312" w:eastAsia="仿宋_GB2312" w:hAnsi="宋体" w:cs="宋体" w:hint="eastAsia"/>
                <w:b/>
                <w:bCs/>
                <w:kern w:val="0"/>
                <w:szCs w:val="21"/>
              </w:rPr>
              <w:t>特色产业</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生物动保</w:t>
            </w: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5亿</w:t>
            </w:r>
          </w:p>
        </w:tc>
        <w:tc>
          <w:tcPr>
            <w:tcW w:w="99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50亿</w:t>
            </w:r>
          </w:p>
        </w:tc>
        <w:tc>
          <w:tcPr>
            <w:tcW w:w="3260" w:type="dxa"/>
            <w:tcBorders>
              <w:top w:val="single" w:sz="4" w:space="0" w:color="auto"/>
              <w:left w:val="nil"/>
              <w:bottom w:val="single" w:sz="4" w:space="0" w:color="auto"/>
              <w:right w:val="single" w:sz="4" w:space="0" w:color="000000"/>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规划建设生物动保产业园，重点发展动物用中草药、抗生素、疫苗、饲料药物等动保产品。抓住郑州周边兽药生产企业产业转移机遇，围绕兽用药品制造招引项目。</w:t>
            </w:r>
          </w:p>
        </w:tc>
      </w:tr>
      <w:tr w:rsidR="00D92198">
        <w:trPr>
          <w:trHeight w:val="780"/>
        </w:trPr>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lastRenderedPageBreak/>
              <w:t>单位</w:t>
            </w:r>
          </w:p>
        </w:tc>
        <w:tc>
          <w:tcPr>
            <w:tcW w:w="2268" w:type="dxa"/>
            <w:gridSpan w:val="2"/>
            <w:tcBorders>
              <w:top w:val="single" w:sz="4" w:space="0" w:color="auto"/>
              <w:left w:val="nil"/>
              <w:bottom w:val="single" w:sz="4" w:space="0" w:color="auto"/>
              <w:right w:val="single" w:sz="4" w:space="0" w:color="000000"/>
            </w:tcBorders>
            <w:shd w:val="clear" w:color="auto" w:fill="auto"/>
            <w:noWrap/>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t>谋划产业</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t>目前产值</w:t>
            </w:r>
          </w:p>
        </w:tc>
        <w:tc>
          <w:tcPr>
            <w:tcW w:w="992" w:type="dxa"/>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t>十四五末产值</w:t>
            </w:r>
          </w:p>
        </w:tc>
        <w:tc>
          <w:tcPr>
            <w:tcW w:w="3260" w:type="dxa"/>
            <w:tcBorders>
              <w:top w:val="single" w:sz="4" w:space="0" w:color="auto"/>
              <w:left w:val="nil"/>
              <w:bottom w:val="single" w:sz="4" w:space="0" w:color="auto"/>
              <w:right w:val="single" w:sz="4" w:space="0" w:color="000000"/>
            </w:tcBorders>
            <w:shd w:val="clear" w:color="auto" w:fill="auto"/>
            <w:noWrap/>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t>产业的发展思路</w:t>
            </w:r>
          </w:p>
        </w:tc>
      </w:tr>
      <w:tr w:rsidR="00D92198">
        <w:trPr>
          <w:trHeight w:val="2027"/>
        </w:trPr>
        <w:tc>
          <w:tcPr>
            <w:tcW w:w="1004" w:type="dxa"/>
            <w:vMerge w:val="restart"/>
            <w:tcBorders>
              <w:top w:val="nil"/>
              <w:left w:val="single" w:sz="4" w:space="0" w:color="auto"/>
              <w:bottom w:val="single" w:sz="4" w:space="0" w:color="000000"/>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唐河县</w:t>
            </w: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b/>
                <w:bCs/>
                <w:kern w:val="0"/>
                <w:szCs w:val="21"/>
              </w:rPr>
            </w:pPr>
            <w:r>
              <w:rPr>
                <w:rFonts w:ascii="仿宋_GB2312" w:eastAsia="仿宋_GB2312" w:hAnsi="宋体" w:cs="宋体" w:hint="eastAsia"/>
                <w:b/>
                <w:bCs/>
                <w:kern w:val="0"/>
                <w:szCs w:val="21"/>
              </w:rPr>
              <w:t>主导产业</w:t>
            </w:r>
          </w:p>
        </w:tc>
        <w:tc>
          <w:tcPr>
            <w:tcW w:w="1134" w:type="dxa"/>
            <w:tcBorders>
              <w:top w:val="nil"/>
              <w:left w:val="nil"/>
              <w:bottom w:val="nil"/>
              <w:right w:val="nil"/>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农牧机械为主的专用机械制造</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100亿</w:t>
            </w:r>
          </w:p>
        </w:tc>
        <w:tc>
          <w:tcPr>
            <w:tcW w:w="99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200亿</w:t>
            </w:r>
          </w:p>
        </w:tc>
        <w:tc>
          <w:tcPr>
            <w:tcW w:w="3260" w:type="dxa"/>
            <w:tcBorders>
              <w:top w:val="single" w:sz="4" w:space="0" w:color="auto"/>
              <w:left w:val="nil"/>
              <w:bottom w:val="single" w:sz="4" w:space="0" w:color="auto"/>
              <w:right w:val="single" w:sz="4" w:space="0" w:color="000000"/>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依托现有“装备零部件</w:t>
            </w:r>
            <w:r w:rsidR="00A61652">
              <w:rPr>
                <w:rFonts w:ascii="仿宋_GB2312" w:eastAsia="仿宋_GB2312" w:hAnsi="宋体" w:cs="宋体" w:hint="eastAsia"/>
                <w:kern w:val="0"/>
                <w:szCs w:val="21"/>
              </w:rPr>
              <w:t>—</w:t>
            </w:r>
            <w:r>
              <w:rPr>
                <w:rFonts w:ascii="仿宋_GB2312" w:eastAsia="仿宋_GB2312" w:hAnsi="宋体" w:cs="宋体" w:hint="eastAsia"/>
                <w:kern w:val="0"/>
                <w:szCs w:val="21"/>
              </w:rPr>
              <w:t>关键配件</w:t>
            </w:r>
            <w:r w:rsidR="00A61652">
              <w:rPr>
                <w:rFonts w:ascii="仿宋_GB2312" w:eastAsia="仿宋_GB2312" w:hAnsi="宋体" w:cs="宋体" w:hint="eastAsia"/>
                <w:kern w:val="0"/>
                <w:szCs w:val="21"/>
              </w:rPr>
              <w:t>—</w:t>
            </w:r>
            <w:r>
              <w:rPr>
                <w:rFonts w:ascii="仿宋_GB2312" w:eastAsia="仿宋_GB2312" w:hAnsi="宋体" w:cs="宋体" w:hint="eastAsia"/>
                <w:kern w:val="0"/>
                <w:szCs w:val="21"/>
              </w:rPr>
              <w:t>整体设备制造”产业链，大力引进农、牧专用机械制造入驻企业，形成高性能化、智能化、集成化的高端农、牧专用机械制造链。</w:t>
            </w:r>
          </w:p>
        </w:tc>
      </w:tr>
      <w:tr w:rsidR="00D92198">
        <w:trPr>
          <w:trHeight w:val="1560"/>
        </w:trPr>
        <w:tc>
          <w:tcPr>
            <w:tcW w:w="1004" w:type="dxa"/>
            <w:vMerge/>
            <w:tcBorders>
              <w:top w:val="nil"/>
              <w:left w:val="single" w:sz="4" w:space="0" w:color="auto"/>
              <w:bottom w:val="single" w:sz="4" w:space="0" w:color="000000"/>
              <w:right w:val="single" w:sz="4" w:space="0" w:color="auto"/>
            </w:tcBorders>
            <w:vAlign w:val="center"/>
          </w:tcPr>
          <w:p w:rsidR="00D92198" w:rsidRDefault="00D92198">
            <w:pPr>
              <w:widowControl/>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b/>
                <w:bCs/>
                <w:kern w:val="0"/>
                <w:szCs w:val="21"/>
              </w:rPr>
            </w:pPr>
            <w:r>
              <w:rPr>
                <w:rFonts w:ascii="仿宋_GB2312" w:eastAsia="仿宋_GB2312" w:hAnsi="宋体" w:cs="宋体" w:hint="eastAsia"/>
                <w:b/>
                <w:bCs/>
                <w:kern w:val="0"/>
                <w:szCs w:val="21"/>
              </w:rPr>
              <w:t>新兴产业</w:t>
            </w:r>
          </w:p>
        </w:tc>
        <w:tc>
          <w:tcPr>
            <w:tcW w:w="1134" w:type="dxa"/>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新型电子元器件</w:t>
            </w: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27亿</w:t>
            </w:r>
          </w:p>
        </w:tc>
        <w:tc>
          <w:tcPr>
            <w:tcW w:w="99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200亿</w:t>
            </w:r>
          </w:p>
        </w:tc>
        <w:tc>
          <w:tcPr>
            <w:tcW w:w="3260" w:type="dxa"/>
            <w:tcBorders>
              <w:top w:val="single" w:sz="4" w:space="0" w:color="auto"/>
              <w:left w:val="nil"/>
              <w:bottom w:val="single" w:sz="4" w:space="0" w:color="auto"/>
              <w:right w:val="single" w:sz="4" w:space="0" w:color="000000"/>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到2025年，产业集聚区新型电子元器件及设备制造企业达到70家，力争实现由电子元器件配件到成品的完备产业链。</w:t>
            </w:r>
          </w:p>
        </w:tc>
      </w:tr>
      <w:tr w:rsidR="00D92198">
        <w:trPr>
          <w:trHeight w:val="1475"/>
        </w:trPr>
        <w:tc>
          <w:tcPr>
            <w:tcW w:w="1004" w:type="dxa"/>
            <w:vMerge/>
            <w:tcBorders>
              <w:top w:val="nil"/>
              <w:left w:val="single" w:sz="4" w:space="0" w:color="auto"/>
              <w:bottom w:val="single" w:sz="4" w:space="0" w:color="000000"/>
              <w:right w:val="single" w:sz="4" w:space="0" w:color="auto"/>
            </w:tcBorders>
            <w:vAlign w:val="center"/>
          </w:tcPr>
          <w:p w:rsidR="00D92198" w:rsidRDefault="00D92198">
            <w:pPr>
              <w:widowControl/>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b/>
                <w:bCs/>
                <w:kern w:val="0"/>
                <w:szCs w:val="21"/>
              </w:rPr>
            </w:pPr>
            <w:r>
              <w:rPr>
                <w:rFonts w:ascii="仿宋_GB2312" w:eastAsia="仿宋_GB2312" w:hAnsi="宋体" w:cs="宋体" w:hint="eastAsia"/>
                <w:b/>
                <w:bCs/>
                <w:kern w:val="0"/>
                <w:szCs w:val="21"/>
              </w:rPr>
              <w:t>特色产业</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粮油加工</w:t>
            </w: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11亿</w:t>
            </w:r>
          </w:p>
        </w:tc>
        <w:tc>
          <w:tcPr>
            <w:tcW w:w="99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20亿</w:t>
            </w:r>
          </w:p>
        </w:tc>
        <w:tc>
          <w:tcPr>
            <w:tcW w:w="3260" w:type="dxa"/>
            <w:tcBorders>
              <w:top w:val="single" w:sz="4" w:space="0" w:color="auto"/>
              <w:left w:val="nil"/>
              <w:bottom w:val="single" w:sz="4" w:space="0" w:color="auto"/>
              <w:right w:val="single" w:sz="4" w:space="0" w:color="000000"/>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依托唐河农业大县、产粮大县优势，进一步完善“原料生产</w:t>
            </w:r>
            <w:r w:rsidR="00A61652">
              <w:rPr>
                <w:rFonts w:ascii="仿宋_GB2312" w:eastAsia="仿宋_GB2312" w:hAnsi="宋体" w:cs="宋体" w:hint="eastAsia"/>
                <w:kern w:val="0"/>
                <w:szCs w:val="21"/>
              </w:rPr>
              <w:t>—</w:t>
            </w:r>
            <w:r>
              <w:rPr>
                <w:rFonts w:ascii="仿宋_GB2312" w:eastAsia="仿宋_GB2312" w:hAnsi="宋体" w:cs="宋体" w:hint="eastAsia"/>
                <w:kern w:val="0"/>
                <w:szCs w:val="21"/>
              </w:rPr>
              <w:t>初加工-深加工”的粮油加工产业链条。</w:t>
            </w:r>
          </w:p>
        </w:tc>
      </w:tr>
      <w:tr w:rsidR="00D92198">
        <w:trPr>
          <w:trHeight w:val="2640"/>
        </w:trPr>
        <w:tc>
          <w:tcPr>
            <w:tcW w:w="1004" w:type="dxa"/>
            <w:vMerge w:val="restart"/>
            <w:tcBorders>
              <w:top w:val="nil"/>
              <w:left w:val="single" w:sz="4" w:space="0" w:color="auto"/>
              <w:bottom w:val="single" w:sz="4" w:space="0" w:color="000000"/>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内乡县</w:t>
            </w: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left"/>
              <w:rPr>
                <w:rFonts w:ascii="仿宋_GB2312" w:eastAsia="仿宋_GB2312" w:hAnsi="宋体" w:cs="宋体"/>
                <w:b/>
                <w:bCs/>
                <w:kern w:val="0"/>
                <w:szCs w:val="21"/>
              </w:rPr>
            </w:pPr>
            <w:r>
              <w:rPr>
                <w:rFonts w:ascii="仿宋_GB2312" w:eastAsia="仿宋_GB2312" w:hAnsi="宋体" w:cs="宋体" w:hint="eastAsia"/>
                <w:b/>
                <w:bCs/>
                <w:kern w:val="0"/>
                <w:szCs w:val="21"/>
              </w:rPr>
              <w:t>主导产业</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农牧装备制造</w:t>
            </w: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14亿</w:t>
            </w:r>
          </w:p>
        </w:tc>
        <w:tc>
          <w:tcPr>
            <w:tcW w:w="99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300亿</w:t>
            </w:r>
          </w:p>
        </w:tc>
        <w:tc>
          <w:tcPr>
            <w:tcW w:w="3260" w:type="dxa"/>
            <w:tcBorders>
              <w:top w:val="single" w:sz="4" w:space="0" w:color="auto"/>
              <w:left w:val="nil"/>
              <w:bottom w:val="single" w:sz="4" w:space="0" w:color="auto"/>
              <w:right w:val="single" w:sz="4" w:space="0" w:color="000000"/>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利用牧原集团已成为全国养殖行业的头部企业优势，大力培育农牧装备制造产业，主要生产空气过滤器、饲喂系统、智能控制系统、畜禽特种运输车辆、饲料车、冷藏车、电动无人小车等智能化农牧装备，把内乡建成全国知名的农牧装备产业基地。</w:t>
            </w:r>
          </w:p>
        </w:tc>
      </w:tr>
      <w:tr w:rsidR="00D92198">
        <w:trPr>
          <w:trHeight w:val="1830"/>
        </w:trPr>
        <w:tc>
          <w:tcPr>
            <w:tcW w:w="1004" w:type="dxa"/>
            <w:vMerge/>
            <w:tcBorders>
              <w:top w:val="nil"/>
              <w:left w:val="single" w:sz="4" w:space="0" w:color="auto"/>
              <w:bottom w:val="single" w:sz="4" w:space="0" w:color="000000"/>
              <w:right w:val="single" w:sz="4" w:space="0" w:color="auto"/>
            </w:tcBorders>
            <w:vAlign w:val="center"/>
          </w:tcPr>
          <w:p w:rsidR="00D92198" w:rsidRDefault="00D92198">
            <w:pPr>
              <w:widowControl/>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left"/>
              <w:rPr>
                <w:rFonts w:ascii="仿宋_GB2312" w:eastAsia="仿宋_GB2312" w:hAnsi="宋体" w:cs="宋体"/>
                <w:b/>
                <w:bCs/>
                <w:kern w:val="0"/>
                <w:szCs w:val="21"/>
              </w:rPr>
            </w:pPr>
            <w:r>
              <w:rPr>
                <w:rFonts w:ascii="仿宋_GB2312" w:eastAsia="仿宋_GB2312" w:hAnsi="宋体" w:cs="宋体" w:hint="eastAsia"/>
                <w:b/>
                <w:bCs/>
                <w:kern w:val="0"/>
                <w:szCs w:val="21"/>
              </w:rPr>
              <w:t>新兴产业</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绿色印刷包装新材料</w:t>
            </w: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在建</w:t>
            </w:r>
          </w:p>
        </w:tc>
        <w:tc>
          <w:tcPr>
            <w:tcW w:w="99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15亿</w:t>
            </w:r>
          </w:p>
        </w:tc>
        <w:tc>
          <w:tcPr>
            <w:tcW w:w="3260" w:type="dxa"/>
            <w:tcBorders>
              <w:top w:val="single" w:sz="4" w:space="0" w:color="auto"/>
              <w:left w:val="nil"/>
              <w:bottom w:val="single" w:sz="4" w:space="0" w:color="auto"/>
              <w:right w:val="single" w:sz="4" w:space="0" w:color="000000"/>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抓住央企混改重组机遇，促成东福印务与乐凯华光合资成立华福包装科技公司，建设华福包装科技产业园，主要生产绿色印刷包装材料。</w:t>
            </w:r>
          </w:p>
        </w:tc>
      </w:tr>
      <w:tr w:rsidR="00D92198">
        <w:trPr>
          <w:trHeight w:val="2040"/>
        </w:trPr>
        <w:tc>
          <w:tcPr>
            <w:tcW w:w="1004" w:type="dxa"/>
            <w:vMerge/>
            <w:tcBorders>
              <w:top w:val="nil"/>
              <w:left w:val="single" w:sz="4" w:space="0" w:color="auto"/>
              <w:bottom w:val="single" w:sz="4" w:space="0" w:color="000000"/>
              <w:right w:val="single" w:sz="4" w:space="0" w:color="auto"/>
            </w:tcBorders>
            <w:vAlign w:val="center"/>
          </w:tcPr>
          <w:p w:rsidR="00D92198" w:rsidRDefault="00D92198">
            <w:pPr>
              <w:widowControl/>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b/>
                <w:bCs/>
                <w:kern w:val="0"/>
                <w:szCs w:val="21"/>
              </w:rPr>
            </w:pPr>
            <w:r>
              <w:rPr>
                <w:rFonts w:ascii="仿宋_GB2312" w:eastAsia="仿宋_GB2312" w:hAnsi="宋体" w:cs="宋体" w:hint="eastAsia"/>
                <w:b/>
                <w:bCs/>
                <w:kern w:val="0"/>
                <w:szCs w:val="21"/>
              </w:rPr>
              <w:t>特色产业</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农副食品加工</w:t>
            </w: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54 亿</w:t>
            </w:r>
          </w:p>
        </w:tc>
        <w:tc>
          <w:tcPr>
            <w:tcW w:w="99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400亿</w:t>
            </w:r>
          </w:p>
        </w:tc>
        <w:tc>
          <w:tcPr>
            <w:tcW w:w="3260" w:type="dxa"/>
            <w:tcBorders>
              <w:top w:val="single" w:sz="4" w:space="0" w:color="auto"/>
              <w:left w:val="nil"/>
              <w:bottom w:val="single" w:sz="4" w:space="0" w:color="auto"/>
              <w:right w:val="single" w:sz="4" w:space="0" w:color="000000"/>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规划占地2500亩的牧原国际食品产业园，吸引一批高低温肉食、中央厨房等肉食品加工和肝素钠提取等企业入驻。</w:t>
            </w:r>
          </w:p>
        </w:tc>
      </w:tr>
      <w:tr w:rsidR="00D92198">
        <w:trPr>
          <w:trHeight w:val="1155"/>
        </w:trPr>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lastRenderedPageBreak/>
              <w:t>单位</w:t>
            </w:r>
          </w:p>
        </w:tc>
        <w:tc>
          <w:tcPr>
            <w:tcW w:w="2268" w:type="dxa"/>
            <w:gridSpan w:val="2"/>
            <w:tcBorders>
              <w:top w:val="single" w:sz="4" w:space="0" w:color="auto"/>
              <w:left w:val="nil"/>
              <w:bottom w:val="single" w:sz="4" w:space="0" w:color="auto"/>
              <w:right w:val="single" w:sz="4" w:space="0" w:color="000000"/>
            </w:tcBorders>
            <w:shd w:val="clear" w:color="auto" w:fill="auto"/>
            <w:noWrap/>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t>谋划产业</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t>目前产值</w:t>
            </w:r>
          </w:p>
        </w:tc>
        <w:tc>
          <w:tcPr>
            <w:tcW w:w="992" w:type="dxa"/>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t>十四五末产值</w:t>
            </w:r>
          </w:p>
        </w:tc>
        <w:tc>
          <w:tcPr>
            <w:tcW w:w="3260" w:type="dxa"/>
            <w:tcBorders>
              <w:top w:val="single" w:sz="4" w:space="0" w:color="auto"/>
              <w:left w:val="nil"/>
              <w:bottom w:val="single" w:sz="4" w:space="0" w:color="auto"/>
              <w:right w:val="single" w:sz="4" w:space="0" w:color="000000"/>
            </w:tcBorders>
            <w:shd w:val="clear" w:color="auto" w:fill="auto"/>
            <w:noWrap/>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t>产业的发展思路</w:t>
            </w:r>
          </w:p>
        </w:tc>
      </w:tr>
      <w:tr w:rsidR="00D92198">
        <w:trPr>
          <w:trHeight w:val="1698"/>
        </w:trPr>
        <w:tc>
          <w:tcPr>
            <w:tcW w:w="1004" w:type="dxa"/>
            <w:vMerge w:val="restart"/>
            <w:tcBorders>
              <w:top w:val="nil"/>
              <w:left w:val="single" w:sz="4" w:space="0" w:color="auto"/>
              <w:bottom w:val="single" w:sz="4" w:space="0" w:color="000000"/>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淅川县</w:t>
            </w: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left"/>
              <w:rPr>
                <w:rFonts w:ascii="仿宋_GB2312" w:eastAsia="仿宋_GB2312" w:hAnsi="宋体" w:cs="宋体"/>
                <w:b/>
                <w:bCs/>
                <w:kern w:val="0"/>
                <w:szCs w:val="21"/>
              </w:rPr>
            </w:pPr>
            <w:r>
              <w:rPr>
                <w:rFonts w:ascii="仿宋_GB2312" w:eastAsia="仿宋_GB2312" w:hAnsi="宋体" w:cs="宋体" w:hint="eastAsia"/>
                <w:b/>
                <w:bCs/>
                <w:kern w:val="0"/>
                <w:szCs w:val="21"/>
              </w:rPr>
              <w:t>主导产业</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汽车零配件</w:t>
            </w: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31.5亿</w:t>
            </w:r>
          </w:p>
        </w:tc>
        <w:tc>
          <w:tcPr>
            <w:tcW w:w="99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63亿</w:t>
            </w:r>
          </w:p>
        </w:tc>
        <w:tc>
          <w:tcPr>
            <w:tcW w:w="3260" w:type="dxa"/>
            <w:tcBorders>
              <w:top w:val="single" w:sz="4" w:space="0" w:color="auto"/>
              <w:left w:val="nil"/>
              <w:bottom w:val="single" w:sz="4" w:space="0" w:color="auto"/>
              <w:right w:val="single" w:sz="4" w:space="0" w:color="000000"/>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以淅减公司为龙头，以补齐汽车“智能悬架”系统核心供应链为中期目标，以形成整车“智能底盘系统”为长期目标，加大汽车零配件制造业引进力度，补齐产业链。</w:t>
            </w:r>
          </w:p>
        </w:tc>
      </w:tr>
      <w:tr w:rsidR="00D92198">
        <w:trPr>
          <w:trHeight w:val="1665"/>
        </w:trPr>
        <w:tc>
          <w:tcPr>
            <w:tcW w:w="1004" w:type="dxa"/>
            <w:vMerge/>
            <w:tcBorders>
              <w:top w:val="nil"/>
              <w:left w:val="single" w:sz="4" w:space="0" w:color="auto"/>
              <w:bottom w:val="single" w:sz="4" w:space="0" w:color="000000"/>
              <w:right w:val="single" w:sz="4" w:space="0" w:color="auto"/>
            </w:tcBorders>
            <w:vAlign w:val="center"/>
          </w:tcPr>
          <w:p w:rsidR="00D92198" w:rsidRDefault="00D92198">
            <w:pPr>
              <w:widowControl/>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left"/>
              <w:rPr>
                <w:rFonts w:ascii="仿宋_GB2312" w:eastAsia="仿宋_GB2312" w:hAnsi="宋体" w:cs="宋体"/>
                <w:b/>
                <w:bCs/>
                <w:kern w:val="0"/>
                <w:szCs w:val="21"/>
              </w:rPr>
            </w:pPr>
            <w:r>
              <w:rPr>
                <w:rFonts w:ascii="仿宋_GB2312" w:eastAsia="仿宋_GB2312" w:hAnsi="宋体" w:cs="宋体" w:hint="eastAsia"/>
                <w:b/>
                <w:bCs/>
                <w:kern w:val="0"/>
                <w:szCs w:val="21"/>
              </w:rPr>
              <w:t>新兴产业</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现代中药</w:t>
            </w: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19.5亿</w:t>
            </w:r>
          </w:p>
        </w:tc>
        <w:tc>
          <w:tcPr>
            <w:tcW w:w="99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39亿</w:t>
            </w:r>
          </w:p>
        </w:tc>
        <w:tc>
          <w:tcPr>
            <w:tcW w:w="3260" w:type="dxa"/>
            <w:tcBorders>
              <w:top w:val="single" w:sz="4" w:space="0" w:color="auto"/>
              <w:left w:val="nil"/>
              <w:bottom w:val="single" w:sz="4" w:space="0" w:color="auto"/>
              <w:right w:val="single" w:sz="4" w:space="0" w:color="000000"/>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加快推进福森医药健康文化产业园项目建设。以福森医药有限公司为龙头，通过现代中药研发，延链、补链，不断做大做强现代中药产业。</w:t>
            </w:r>
          </w:p>
        </w:tc>
      </w:tr>
      <w:tr w:rsidR="00D92198">
        <w:trPr>
          <w:trHeight w:val="1693"/>
        </w:trPr>
        <w:tc>
          <w:tcPr>
            <w:tcW w:w="1004" w:type="dxa"/>
            <w:vMerge/>
            <w:tcBorders>
              <w:top w:val="nil"/>
              <w:left w:val="single" w:sz="4" w:space="0" w:color="auto"/>
              <w:bottom w:val="single" w:sz="4" w:space="0" w:color="000000"/>
              <w:right w:val="single" w:sz="4" w:space="0" w:color="auto"/>
            </w:tcBorders>
            <w:vAlign w:val="center"/>
          </w:tcPr>
          <w:p w:rsidR="00D92198" w:rsidRDefault="00D92198">
            <w:pPr>
              <w:widowControl/>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left"/>
              <w:rPr>
                <w:rFonts w:ascii="仿宋_GB2312" w:eastAsia="仿宋_GB2312" w:hAnsi="宋体" w:cs="宋体"/>
                <w:b/>
                <w:bCs/>
                <w:kern w:val="0"/>
                <w:szCs w:val="21"/>
              </w:rPr>
            </w:pPr>
            <w:r>
              <w:rPr>
                <w:rFonts w:ascii="仿宋_GB2312" w:eastAsia="仿宋_GB2312" w:hAnsi="宋体" w:cs="宋体" w:hint="eastAsia"/>
                <w:b/>
                <w:bCs/>
                <w:kern w:val="0"/>
                <w:szCs w:val="21"/>
              </w:rPr>
              <w:t>特色产业</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新型建材</w:t>
            </w: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10亿</w:t>
            </w:r>
          </w:p>
        </w:tc>
        <w:tc>
          <w:tcPr>
            <w:tcW w:w="99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20亿</w:t>
            </w:r>
          </w:p>
        </w:tc>
        <w:tc>
          <w:tcPr>
            <w:tcW w:w="3260" w:type="dxa"/>
            <w:tcBorders>
              <w:top w:val="single" w:sz="4" w:space="0" w:color="auto"/>
              <w:left w:val="nil"/>
              <w:bottom w:val="single" w:sz="4" w:space="0" w:color="auto"/>
              <w:right w:val="single" w:sz="4" w:space="0" w:color="000000"/>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推进淅水新型建材产业园项目建设，按照“做大骨料、做细熟料、做优水泥、做强商混，拓展水泥+项目”发展思路，拉长拉宽产业链条。</w:t>
            </w:r>
          </w:p>
        </w:tc>
      </w:tr>
      <w:tr w:rsidR="00D92198">
        <w:trPr>
          <w:trHeight w:val="1689"/>
        </w:trPr>
        <w:tc>
          <w:tcPr>
            <w:tcW w:w="1004" w:type="dxa"/>
            <w:vMerge w:val="restart"/>
            <w:tcBorders>
              <w:top w:val="nil"/>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镇平县</w:t>
            </w: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left"/>
              <w:rPr>
                <w:rFonts w:ascii="仿宋_GB2312" w:eastAsia="仿宋_GB2312" w:hAnsi="宋体" w:cs="宋体"/>
                <w:b/>
                <w:bCs/>
                <w:kern w:val="0"/>
                <w:szCs w:val="21"/>
              </w:rPr>
            </w:pPr>
            <w:r>
              <w:rPr>
                <w:rFonts w:ascii="仿宋_GB2312" w:eastAsia="仿宋_GB2312" w:hAnsi="宋体" w:cs="宋体" w:hint="eastAsia"/>
                <w:b/>
                <w:bCs/>
                <w:kern w:val="0"/>
                <w:szCs w:val="21"/>
              </w:rPr>
              <w:t>主导产业</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新型建材</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17.7亿</w:t>
            </w:r>
          </w:p>
        </w:tc>
        <w:tc>
          <w:tcPr>
            <w:tcW w:w="99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80亿</w:t>
            </w:r>
          </w:p>
        </w:tc>
        <w:tc>
          <w:tcPr>
            <w:tcW w:w="3260" w:type="dxa"/>
            <w:tcBorders>
              <w:top w:val="single" w:sz="4" w:space="0" w:color="auto"/>
              <w:left w:val="nil"/>
              <w:bottom w:val="single" w:sz="4" w:space="0" w:color="auto"/>
              <w:right w:val="single" w:sz="4" w:space="0" w:color="000000"/>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以建筑装配装饰一体化为发展方向，以绿色建材、装配建筑、智能卫浴、功能涂料等四类产品为支撑，加快形成水泥、涂料新型建材产业集群。</w:t>
            </w:r>
          </w:p>
        </w:tc>
      </w:tr>
      <w:tr w:rsidR="00D92198">
        <w:trPr>
          <w:trHeight w:val="2550"/>
        </w:trPr>
        <w:tc>
          <w:tcPr>
            <w:tcW w:w="1004" w:type="dxa"/>
            <w:vMerge/>
            <w:tcBorders>
              <w:top w:val="nil"/>
              <w:left w:val="single" w:sz="4" w:space="0" w:color="auto"/>
              <w:bottom w:val="single" w:sz="4" w:space="0" w:color="auto"/>
              <w:right w:val="single" w:sz="4" w:space="0" w:color="auto"/>
            </w:tcBorders>
            <w:vAlign w:val="center"/>
          </w:tcPr>
          <w:p w:rsidR="00D92198" w:rsidRDefault="00D92198">
            <w:pPr>
              <w:widowControl/>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left"/>
              <w:rPr>
                <w:rFonts w:ascii="仿宋_GB2312" w:eastAsia="仿宋_GB2312" w:hAnsi="宋体" w:cs="宋体"/>
                <w:b/>
                <w:bCs/>
                <w:kern w:val="0"/>
                <w:szCs w:val="21"/>
              </w:rPr>
            </w:pPr>
            <w:r>
              <w:rPr>
                <w:rFonts w:ascii="仿宋_GB2312" w:eastAsia="仿宋_GB2312" w:hAnsi="宋体" w:cs="宋体" w:hint="eastAsia"/>
                <w:b/>
                <w:bCs/>
                <w:kern w:val="0"/>
                <w:szCs w:val="21"/>
              </w:rPr>
              <w:t>新兴产业</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新型电子元器件及设备制造</w:t>
            </w: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15.2亿</w:t>
            </w:r>
          </w:p>
        </w:tc>
        <w:tc>
          <w:tcPr>
            <w:tcW w:w="99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60亿</w:t>
            </w:r>
          </w:p>
        </w:tc>
        <w:tc>
          <w:tcPr>
            <w:tcW w:w="3260" w:type="dxa"/>
            <w:tcBorders>
              <w:top w:val="single" w:sz="4" w:space="0" w:color="auto"/>
              <w:left w:val="nil"/>
              <w:bottom w:val="single" w:sz="4" w:space="0" w:color="auto"/>
              <w:right w:val="single" w:sz="4" w:space="0" w:color="000000"/>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抢抓南阳光电产业有光缺电的“迎风口”以及湖北“汉襄随十”打造汽车产业集群的战略机遇，尽快形成“周边区域大产业”带动“镇平小产业”，以孵化器、加速器、标准化厂房为载体，大力引进高新技术企业，实现弯道超车。</w:t>
            </w:r>
          </w:p>
        </w:tc>
      </w:tr>
      <w:tr w:rsidR="00D92198">
        <w:trPr>
          <w:trHeight w:val="1365"/>
        </w:trPr>
        <w:tc>
          <w:tcPr>
            <w:tcW w:w="1004" w:type="dxa"/>
            <w:vMerge/>
            <w:tcBorders>
              <w:top w:val="nil"/>
              <w:left w:val="single" w:sz="4" w:space="0" w:color="auto"/>
              <w:bottom w:val="single" w:sz="4" w:space="0" w:color="auto"/>
              <w:right w:val="single" w:sz="4" w:space="0" w:color="auto"/>
            </w:tcBorders>
            <w:vAlign w:val="center"/>
          </w:tcPr>
          <w:p w:rsidR="00D92198" w:rsidRDefault="00D92198">
            <w:pPr>
              <w:widowControl/>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left"/>
              <w:rPr>
                <w:rFonts w:ascii="仿宋_GB2312" w:eastAsia="仿宋_GB2312" w:hAnsi="宋体" w:cs="宋体"/>
                <w:b/>
                <w:bCs/>
                <w:kern w:val="0"/>
                <w:szCs w:val="21"/>
              </w:rPr>
            </w:pPr>
            <w:r>
              <w:rPr>
                <w:rFonts w:ascii="仿宋_GB2312" w:eastAsia="仿宋_GB2312" w:hAnsi="宋体" w:cs="宋体" w:hint="eastAsia"/>
                <w:b/>
                <w:bCs/>
                <w:kern w:val="0"/>
                <w:szCs w:val="21"/>
              </w:rPr>
              <w:t>特色产业</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面制品加工</w:t>
            </w: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12.6亿</w:t>
            </w:r>
          </w:p>
        </w:tc>
        <w:tc>
          <w:tcPr>
            <w:tcW w:w="99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60亿</w:t>
            </w:r>
          </w:p>
        </w:tc>
        <w:tc>
          <w:tcPr>
            <w:tcW w:w="3260" w:type="dxa"/>
            <w:tcBorders>
              <w:top w:val="single" w:sz="4" w:space="0" w:color="auto"/>
              <w:left w:val="nil"/>
              <w:bottom w:val="single" w:sz="4" w:space="0" w:color="auto"/>
              <w:right w:val="single" w:sz="4" w:space="0" w:color="000000"/>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以想念食品为龙头，以创建国家级三产融合发展示范园为契机，以“一园、一区、八基地”为依托，打造豫西南最大的粮食加工及食品生产加工基地，形成从农田到餐桌全产业链。</w:t>
            </w:r>
          </w:p>
        </w:tc>
      </w:tr>
      <w:tr w:rsidR="00D92198">
        <w:trPr>
          <w:trHeight w:val="698"/>
        </w:trPr>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lastRenderedPageBreak/>
              <w:t>单位</w:t>
            </w:r>
          </w:p>
        </w:tc>
        <w:tc>
          <w:tcPr>
            <w:tcW w:w="2268" w:type="dxa"/>
            <w:gridSpan w:val="2"/>
            <w:tcBorders>
              <w:top w:val="single" w:sz="4" w:space="0" w:color="auto"/>
              <w:left w:val="nil"/>
              <w:bottom w:val="single" w:sz="4" w:space="0" w:color="auto"/>
              <w:right w:val="single" w:sz="4" w:space="0" w:color="000000"/>
            </w:tcBorders>
            <w:shd w:val="clear" w:color="auto" w:fill="auto"/>
            <w:noWrap/>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t>谋划产业</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t>目前产值</w:t>
            </w:r>
          </w:p>
        </w:tc>
        <w:tc>
          <w:tcPr>
            <w:tcW w:w="992" w:type="dxa"/>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t>十四五末产值</w:t>
            </w:r>
          </w:p>
        </w:tc>
        <w:tc>
          <w:tcPr>
            <w:tcW w:w="3260" w:type="dxa"/>
            <w:tcBorders>
              <w:top w:val="single" w:sz="4" w:space="0" w:color="auto"/>
              <w:left w:val="nil"/>
              <w:bottom w:val="single" w:sz="4" w:space="0" w:color="auto"/>
              <w:right w:val="single" w:sz="4" w:space="0" w:color="000000"/>
            </w:tcBorders>
            <w:shd w:val="clear" w:color="auto" w:fill="auto"/>
            <w:noWrap/>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t>产业的发展思路</w:t>
            </w:r>
          </w:p>
        </w:tc>
      </w:tr>
      <w:tr w:rsidR="00D92198">
        <w:trPr>
          <w:trHeight w:val="1986"/>
        </w:trPr>
        <w:tc>
          <w:tcPr>
            <w:tcW w:w="1004" w:type="dxa"/>
            <w:vMerge w:val="restart"/>
            <w:tcBorders>
              <w:top w:val="nil"/>
              <w:left w:val="single" w:sz="4" w:space="0" w:color="auto"/>
              <w:bottom w:val="single" w:sz="4" w:space="0" w:color="000000"/>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西峡县</w:t>
            </w: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left"/>
              <w:rPr>
                <w:rFonts w:ascii="仿宋_GB2312" w:eastAsia="仿宋_GB2312" w:hAnsi="宋体" w:cs="宋体"/>
                <w:b/>
                <w:bCs/>
                <w:kern w:val="0"/>
                <w:szCs w:val="21"/>
              </w:rPr>
            </w:pPr>
            <w:r>
              <w:rPr>
                <w:rFonts w:ascii="仿宋_GB2312" w:eastAsia="仿宋_GB2312" w:hAnsi="宋体" w:cs="宋体" w:hint="eastAsia"/>
                <w:b/>
                <w:bCs/>
                <w:kern w:val="0"/>
                <w:szCs w:val="21"/>
              </w:rPr>
              <w:t>主导产业</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汽车零部件</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106.4亿</w:t>
            </w:r>
          </w:p>
        </w:tc>
        <w:tc>
          <w:tcPr>
            <w:tcW w:w="99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180亿</w:t>
            </w:r>
          </w:p>
        </w:tc>
        <w:tc>
          <w:tcPr>
            <w:tcW w:w="3260" w:type="dxa"/>
            <w:tcBorders>
              <w:top w:val="single" w:sz="4" w:space="0" w:color="auto"/>
              <w:left w:val="nil"/>
              <w:bottom w:val="single" w:sz="4" w:space="0" w:color="auto"/>
              <w:right w:val="single" w:sz="4" w:space="0" w:color="000000"/>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做深做强汽车水泵、进排气管、涡轮增压器壳体、新能源汽车电机等产品基础上，加大新能源汽车配套产品研发生产，使新能源汽车及配套产品成为汽车零部件产业新的增长点。</w:t>
            </w:r>
          </w:p>
        </w:tc>
      </w:tr>
      <w:tr w:rsidR="00D92198">
        <w:trPr>
          <w:trHeight w:val="2250"/>
        </w:trPr>
        <w:tc>
          <w:tcPr>
            <w:tcW w:w="1004" w:type="dxa"/>
            <w:vMerge/>
            <w:tcBorders>
              <w:top w:val="nil"/>
              <w:left w:val="single" w:sz="4" w:space="0" w:color="auto"/>
              <w:bottom w:val="single" w:sz="4" w:space="0" w:color="000000"/>
              <w:right w:val="single" w:sz="4" w:space="0" w:color="auto"/>
            </w:tcBorders>
            <w:vAlign w:val="center"/>
          </w:tcPr>
          <w:p w:rsidR="00D92198" w:rsidRDefault="00D92198">
            <w:pPr>
              <w:widowControl/>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left"/>
              <w:rPr>
                <w:rFonts w:ascii="仿宋_GB2312" w:eastAsia="仿宋_GB2312" w:hAnsi="宋体" w:cs="宋体"/>
                <w:b/>
                <w:bCs/>
                <w:kern w:val="0"/>
                <w:szCs w:val="21"/>
              </w:rPr>
            </w:pPr>
            <w:r>
              <w:rPr>
                <w:rFonts w:ascii="仿宋_GB2312" w:eastAsia="仿宋_GB2312" w:hAnsi="宋体" w:cs="宋体" w:hint="eastAsia"/>
                <w:b/>
                <w:bCs/>
                <w:kern w:val="0"/>
                <w:szCs w:val="21"/>
              </w:rPr>
              <w:t>新兴产业</w:t>
            </w: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特钢产业</w:t>
            </w: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240.25亿</w:t>
            </w:r>
          </w:p>
        </w:tc>
        <w:tc>
          <w:tcPr>
            <w:tcW w:w="99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400亿</w:t>
            </w:r>
          </w:p>
        </w:tc>
        <w:tc>
          <w:tcPr>
            <w:tcW w:w="3260" w:type="dxa"/>
            <w:tcBorders>
              <w:top w:val="single" w:sz="4" w:space="0" w:color="auto"/>
              <w:left w:val="nil"/>
              <w:bottom w:val="single" w:sz="4" w:space="0" w:color="auto"/>
              <w:right w:val="single" w:sz="4" w:space="0" w:color="000000"/>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上游产业：冶金辅助材料、炼钢装备、清洁煤生产、废钢回收利用；下游产业：特钢切割配送、钢构加工、高炉富余煤气发电、炼钢余热利用。“十四五”拉长特钢及上下游产业链条，发展壮大相关配套企业。</w:t>
            </w:r>
          </w:p>
        </w:tc>
      </w:tr>
      <w:tr w:rsidR="00D92198">
        <w:trPr>
          <w:trHeight w:val="1709"/>
        </w:trPr>
        <w:tc>
          <w:tcPr>
            <w:tcW w:w="1004" w:type="dxa"/>
            <w:vMerge/>
            <w:tcBorders>
              <w:top w:val="nil"/>
              <w:left w:val="single" w:sz="4" w:space="0" w:color="auto"/>
              <w:bottom w:val="single" w:sz="4" w:space="0" w:color="000000"/>
              <w:right w:val="single" w:sz="4" w:space="0" w:color="auto"/>
            </w:tcBorders>
            <w:vAlign w:val="center"/>
          </w:tcPr>
          <w:p w:rsidR="00D92198" w:rsidRDefault="00D92198">
            <w:pPr>
              <w:widowControl/>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left"/>
              <w:rPr>
                <w:rFonts w:ascii="仿宋_GB2312" w:eastAsia="仿宋_GB2312" w:hAnsi="宋体" w:cs="宋体"/>
                <w:b/>
                <w:bCs/>
                <w:kern w:val="0"/>
                <w:szCs w:val="21"/>
              </w:rPr>
            </w:pPr>
            <w:r>
              <w:rPr>
                <w:rFonts w:ascii="仿宋_GB2312" w:eastAsia="仿宋_GB2312" w:hAnsi="宋体" w:cs="宋体" w:hint="eastAsia"/>
                <w:b/>
                <w:bCs/>
                <w:kern w:val="0"/>
                <w:szCs w:val="21"/>
              </w:rPr>
              <w:t>特色产业</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食用菌、猕猴桃、山茱萸等为主的特色农产品加工</w:t>
            </w: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90.6亿</w:t>
            </w:r>
          </w:p>
        </w:tc>
        <w:tc>
          <w:tcPr>
            <w:tcW w:w="992"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130亿</w:t>
            </w:r>
          </w:p>
        </w:tc>
        <w:tc>
          <w:tcPr>
            <w:tcW w:w="3260" w:type="dxa"/>
            <w:tcBorders>
              <w:top w:val="single" w:sz="4" w:space="0" w:color="auto"/>
              <w:left w:val="nil"/>
              <w:bottom w:val="single" w:sz="4" w:space="0" w:color="auto"/>
              <w:right w:val="single" w:sz="4" w:space="0" w:color="000000"/>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壮大以菌棒工厂化生产</w:t>
            </w:r>
            <w:r w:rsidR="00A61652">
              <w:rPr>
                <w:rFonts w:ascii="仿宋_GB2312" w:eastAsia="仿宋_GB2312" w:hAnsi="宋体" w:cs="宋体" w:hint="eastAsia"/>
                <w:kern w:val="0"/>
                <w:szCs w:val="21"/>
              </w:rPr>
              <w:t>—</w:t>
            </w:r>
            <w:r>
              <w:rPr>
                <w:rFonts w:ascii="仿宋_GB2312" w:eastAsia="仿宋_GB2312" w:hAnsi="宋体" w:cs="宋体" w:hint="eastAsia"/>
                <w:kern w:val="0"/>
                <w:szCs w:val="21"/>
              </w:rPr>
              <w:t>食用菌、特色农产品标准化种植</w:t>
            </w:r>
            <w:r w:rsidR="00A61652">
              <w:rPr>
                <w:rFonts w:ascii="仿宋_GB2312" w:eastAsia="仿宋_GB2312" w:hAnsi="宋体" w:cs="宋体" w:hint="eastAsia"/>
                <w:kern w:val="0"/>
                <w:szCs w:val="21"/>
              </w:rPr>
              <w:t>—</w:t>
            </w:r>
            <w:r>
              <w:rPr>
                <w:rFonts w:ascii="仿宋_GB2312" w:eastAsia="仿宋_GB2312" w:hAnsi="宋体" w:cs="宋体" w:hint="eastAsia"/>
                <w:kern w:val="0"/>
                <w:szCs w:val="21"/>
              </w:rPr>
              <w:t>精深加工</w:t>
            </w:r>
            <w:r w:rsidR="00A61652">
              <w:rPr>
                <w:rFonts w:ascii="仿宋_GB2312" w:eastAsia="仿宋_GB2312" w:hAnsi="宋体" w:cs="宋体" w:hint="eastAsia"/>
                <w:kern w:val="0"/>
                <w:szCs w:val="21"/>
              </w:rPr>
              <w:t>—</w:t>
            </w:r>
            <w:r>
              <w:rPr>
                <w:rFonts w:ascii="仿宋_GB2312" w:eastAsia="仿宋_GB2312" w:hAnsi="宋体" w:cs="宋体" w:hint="eastAsia"/>
                <w:kern w:val="0"/>
                <w:szCs w:val="21"/>
              </w:rPr>
              <w:t>包装</w:t>
            </w:r>
            <w:r w:rsidR="00A61652">
              <w:rPr>
                <w:rFonts w:ascii="仿宋_GB2312" w:eastAsia="仿宋_GB2312" w:hAnsi="宋体" w:cs="宋体" w:hint="eastAsia"/>
                <w:kern w:val="0"/>
                <w:szCs w:val="21"/>
              </w:rPr>
              <w:t>—</w:t>
            </w:r>
            <w:r>
              <w:rPr>
                <w:rFonts w:ascii="仿宋_GB2312" w:eastAsia="仿宋_GB2312" w:hAnsi="宋体" w:cs="宋体" w:hint="eastAsia"/>
                <w:kern w:val="0"/>
                <w:szCs w:val="21"/>
              </w:rPr>
              <w:t>电子商务、商贸流通为产业链的特色农产品产业。</w:t>
            </w:r>
          </w:p>
        </w:tc>
      </w:tr>
      <w:tr w:rsidR="00D92198">
        <w:trPr>
          <w:trHeight w:val="2445"/>
        </w:trPr>
        <w:tc>
          <w:tcPr>
            <w:tcW w:w="1004" w:type="dxa"/>
            <w:vMerge w:val="restart"/>
            <w:tcBorders>
              <w:top w:val="nil"/>
              <w:left w:val="single" w:sz="4" w:space="0" w:color="auto"/>
              <w:bottom w:val="single" w:sz="4" w:space="0" w:color="000000"/>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社旗县</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b/>
                <w:bCs/>
                <w:kern w:val="0"/>
                <w:szCs w:val="21"/>
              </w:rPr>
            </w:pPr>
            <w:r>
              <w:rPr>
                <w:rFonts w:ascii="仿宋_GB2312" w:eastAsia="仿宋_GB2312" w:hAnsi="宋体" w:cs="宋体" w:hint="eastAsia"/>
                <w:b/>
                <w:bCs/>
                <w:kern w:val="0"/>
                <w:szCs w:val="21"/>
              </w:rPr>
              <w:t>主导产业</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以杂粮和肉食品为主的农副产品加工</w:t>
            </w: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8亿</w:t>
            </w:r>
          </w:p>
        </w:tc>
        <w:tc>
          <w:tcPr>
            <w:tcW w:w="992"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130亿</w:t>
            </w:r>
          </w:p>
        </w:tc>
        <w:tc>
          <w:tcPr>
            <w:tcW w:w="3260" w:type="dxa"/>
            <w:tcBorders>
              <w:top w:val="single" w:sz="4" w:space="0" w:color="auto"/>
              <w:left w:val="nil"/>
              <w:bottom w:val="single" w:sz="4" w:space="0" w:color="auto"/>
              <w:right w:val="single" w:sz="4" w:space="0" w:color="000000"/>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以壮大赊店老酒为重点，加快发展白酒产业；以牧原、正大肉食加工为重点，培育以畜禽饲料、兽医兽药生产</w:t>
            </w:r>
            <w:r w:rsidR="00A61652">
              <w:rPr>
                <w:rFonts w:ascii="仿宋_GB2312" w:eastAsia="仿宋_GB2312" w:hAnsi="宋体" w:cs="宋体" w:hint="eastAsia"/>
                <w:kern w:val="0"/>
                <w:szCs w:val="21"/>
              </w:rPr>
              <w:t>—</w:t>
            </w:r>
            <w:r>
              <w:rPr>
                <w:rFonts w:ascii="仿宋_GB2312" w:eastAsia="仿宋_GB2312" w:hAnsi="宋体" w:cs="宋体" w:hint="eastAsia"/>
                <w:kern w:val="0"/>
                <w:szCs w:val="21"/>
              </w:rPr>
              <w:t>生猪、肉鸡养殖</w:t>
            </w:r>
            <w:r w:rsidR="00A61652">
              <w:rPr>
                <w:rFonts w:ascii="仿宋_GB2312" w:eastAsia="仿宋_GB2312" w:hAnsi="宋体" w:cs="宋体" w:hint="eastAsia"/>
                <w:kern w:val="0"/>
                <w:szCs w:val="21"/>
              </w:rPr>
              <w:t>—</w:t>
            </w:r>
            <w:r>
              <w:rPr>
                <w:rFonts w:ascii="仿宋_GB2312" w:eastAsia="仿宋_GB2312" w:hAnsi="宋体" w:cs="宋体" w:hint="eastAsia"/>
                <w:kern w:val="0"/>
                <w:szCs w:val="21"/>
              </w:rPr>
              <w:t>畜禽屠宰及熟食品加工等为主的肉食品产业链条；以汇元特医食品为重点建设健康食品产业园。</w:t>
            </w:r>
          </w:p>
        </w:tc>
      </w:tr>
      <w:tr w:rsidR="00D92198">
        <w:trPr>
          <w:trHeight w:val="1444"/>
        </w:trPr>
        <w:tc>
          <w:tcPr>
            <w:tcW w:w="1004" w:type="dxa"/>
            <w:vMerge/>
            <w:tcBorders>
              <w:top w:val="nil"/>
              <w:left w:val="single" w:sz="4" w:space="0" w:color="auto"/>
              <w:bottom w:val="single" w:sz="4" w:space="0" w:color="000000"/>
              <w:right w:val="single" w:sz="4" w:space="0" w:color="auto"/>
            </w:tcBorders>
            <w:vAlign w:val="center"/>
          </w:tcPr>
          <w:p w:rsidR="00D92198" w:rsidRDefault="00D92198">
            <w:pPr>
              <w:widowControl/>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b/>
                <w:bCs/>
                <w:kern w:val="0"/>
                <w:szCs w:val="21"/>
              </w:rPr>
            </w:pPr>
            <w:r>
              <w:rPr>
                <w:rFonts w:ascii="仿宋_GB2312" w:eastAsia="仿宋_GB2312" w:hAnsi="宋体" w:cs="宋体" w:hint="eastAsia"/>
                <w:b/>
                <w:bCs/>
                <w:kern w:val="0"/>
                <w:szCs w:val="21"/>
              </w:rPr>
              <w:t>新兴产业</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节能建筑材料</w:t>
            </w: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1.46亿</w:t>
            </w:r>
          </w:p>
        </w:tc>
        <w:tc>
          <w:tcPr>
            <w:tcW w:w="992"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50亿</w:t>
            </w:r>
          </w:p>
        </w:tc>
        <w:tc>
          <w:tcPr>
            <w:tcW w:w="3260" w:type="dxa"/>
            <w:tcBorders>
              <w:top w:val="single" w:sz="4" w:space="0" w:color="auto"/>
              <w:left w:val="nil"/>
              <w:bottom w:val="single" w:sz="4" w:space="0" w:color="auto"/>
              <w:right w:val="single" w:sz="4" w:space="0" w:color="000000"/>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建设绿色建材产业园，通过“基金+项目”招商模式，招引一批以真空玻璃为核心材料的节能窗、节能幕墙生产企业入驻。</w:t>
            </w:r>
          </w:p>
        </w:tc>
      </w:tr>
      <w:tr w:rsidR="00D92198">
        <w:trPr>
          <w:trHeight w:val="1830"/>
        </w:trPr>
        <w:tc>
          <w:tcPr>
            <w:tcW w:w="1004" w:type="dxa"/>
            <w:vMerge/>
            <w:tcBorders>
              <w:top w:val="nil"/>
              <w:left w:val="single" w:sz="4" w:space="0" w:color="auto"/>
              <w:bottom w:val="single" w:sz="4" w:space="0" w:color="000000"/>
              <w:right w:val="single" w:sz="4" w:space="0" w:color="auto"/>
            </w:tcBorders>
            <w:vAlign w:val="center"/>
          </w:tcPr>
          <w:p w:rsidR="00D92198" w:rsidRDefault="00D92198">
            <w:pPr>
              <w:widowControl/>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b/>
                <w:bCs/>
                <w:kern w:val="0"/>
                <w:szCs w:val="21"/>
              </w:rPr>
            </w:pPr>
            <w:r>
              <w:rPr>
                <w:rFonts w:ascii="仿宋_GB2312" w:eastAsia="仿宋_GB2312" w:hAnsi="宋体" w:cs="宋体" w:hint="eastAsia"/>
                <w:b/>
                <w:bCs/>
                <w:kern w:val="0"/>
                <w:szCs w:val="21"/>
              </w:rPr>
              <w:t>特色产业</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汽车零部件制造</w:t>
            </w: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11.67亿</w:t>
            </w:r>
          </w:p>
        </w:tc>
        <w:tc>
          <w:tcPr>
            <w:tcW w:w="992"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50亿</w:t>
            </w:r>
          </w:p>
        </w:tc>
        <w:tc>
          <w:tcPr>
            <w:tcW w:w="3260" w:type="dxa"/>
            <w:tcBorders>
              <w:top w:val="single" w:sz="4" w:space="0" w:color="auto"/>
              <w:left w:val="nil"/>
              <w:bottom w:val="single" w:sz="4" w:space="0" w:color="auto"/>
              <w:right w:val="single" w:sz="4" w:space="0" w:color="000000"/>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以红阳精工和华纬弹簧为龙头，延长产业链条；规划建设的汽车配件产业园一期13栋标准化厂房已建成投用，正在积极与汽车配件相关企业洽谈。</w:t>
            </w:r>
          </w:p>
        </w:tc>
      </w:tr>
      <w:tr w:rsidR="00D92198">
        <w:trPr>
          <w:trHeight w:val="990"/>
        </w:trPr>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lastRenderedPageBreak/>
              <w:t>单位</w:t>
            </w:r>
          </w:p>
        </w:tc>
        <w:tc>
          <w:tcPr>
            <w:tcW w:w="2268" w:type="dxa"/>
            <w:gridSpan w:val="2"/>
            <w:tcBorders>
              <w:top w:val="single" w:sz="4" w:space="0" w:color="auto"/>
              <w:left w:val="nil"/>
              <w:bottom w:val="single" w:sz="4" w:space="0" w:color="auto"/>
              <w:right w:val="single" w:sz="4" w:space="0" w:color="000000"/>
            </w:tcBorders>
            <w:shd w:val="clear" w:color="auto" w:fill="auto"/>
            <w:noWrap/>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t>谋划产业</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t>目前产值</w:t>
            </w:r>
          </w:p>
        </w:tc>
        <w:tc>
          <w:tcPr>
            <w:tcW w:w="992" w:type="dxa"/>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t>十四五末产值</w:t>
            </w:r>
          </w:p>
        </w:tc>
        <w:tc>
          <w:tcPr>
            <w:tcW w:w="3260" w:type="dxa"/>
            <w:tcBorders>
              <w:top w:val="single" w:sz="4" w:space="0" w:color="auto"/>
              <w:left w:val="nil"/>
              <w:bottom w:val="single" w:sz="4" w:space="0" w:color="auto"/>
              <w:right w:val="single" w:sz="4" w:space="0" w:color="000000"/>
            </w:tcBorders>
            <w:shd w:val="clear" w:color="auto" w:fill="auto"/>
            <w:noWrap/>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t>产业的发展思路</w:t>
            </w:r>
          </w:p>
        </w:tc>
      </w:tr>
      <w:tr w:rsidR="00D92198">
        <w:trPr>
          <w:trHeight w:val="2116"/>
        </w:trPr>
        <w:tc>
          <w:tcPr>
            <w:tcW w:w="1004" w:type="dxa"/>
            <w:vMerge w:val="restart"/>
            <w:tcBorders>
              <w:top w:val="nil"/>
              <w:left w:val="single" w:sz="4" w:space="0" w:color="auto"/>
              <w:bottom w:val="single" w:sz="4" w:space="0" w:color="000000"/>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南召县</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b/>
                <w:bCs/>
                <w:kern w:val="0"/>
                <w:szCs w:val="21"/>
              </w:rPr>
            </w:pPr>
            <w:r>
              <w:rPr>
                <w:rFonts w:ascii="仿宋_GB2312" w:eastAsia="仿宋_GB2312" w:hAnsi="宋体" w:cs="宋体" w:hint="eastAsia"/>
                <w:b/>
                <w:bCs/>
                <w:kern w:val="0"/>
                <w:szCs w:val="21"/>
              </w:rPr>
              <w:t>主导产业</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新型建材</w:t>
            </w: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10亿</w:t>
            </w:r>
          </w:p>
        </w:tc>
        <w:tc>
          <w:tcPr>
            <w:tcW w:w="992"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80亿</w:t>
            </w:r>
          </w:p>
        </w:tc>
        <w:tc>
          <w:tcPr>
            <w:tcW w:w="3260" w:type="dxa"/>
            <w:tcBorders>
              <w:top w:val="single" w:sz="4" w:space="0" w:color="auto"/>
              <w:left w:val="nil"/>
              <w:bottom w:val="single" w:sz="4" w:space="0" w:color="auto"/>
              <w:right w:val="single" w:sz="4" w:space="0" w:color="000000"/>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依托已形成的从粉体生产到石木地板、墙板、油漆涂料、木塑门窗等市场终端产品完整产业链，借助立邦、三棵树、东方雨虹等行业龙头企业相继入驻的优势，实施延链补链强链。</w:t>
            </w:r>
          </w:p>
        </w:tc>
      </w:tr>
      <w:tr w:rsidR="00D92198">
        <w:trPr>
          <w:trHeight w:val="1767"/>
        </w:trPr>
        <w:tc>
          <w:tcPr>
            <w:tcW w:w="1004" w:type="dxa"/>
            <w:vMerge/>
            <w:tcBorders>
              <w:top w:val="nil"/>
              <w:left w:val="single" w:sz="4" w:space="0" w:color="auto"/>
              <w:bottom w:val="single" w:sz="4" w:space="0" w:color="000000"/>
              <w:right w:val="single" w:sz="4" w:space="0" w:color="auto"/>
            </w:tcBorders>
            <w:vAlign w:val="center"/>
          </w:tcPr>
          <w:p w:rsidR="00D92198" w:rsidRDefault="00D92198">
            <w:pPr>
              <w:widowControl/>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b/>
                <w:bCs/>
                <w:kern w:val="0"/>
                <w:szCs w:val="21"/>
              </w:rPr>
            </w:pPr>
            <w:r>
              <w:rPr>
                <w:rFonts w:ascii="仿宋_GB2312" w:eastAsia="仿宋_GB2312" w:hAnsi="宋体" w:cs="宋体" w:hint="eastAsia"/>
                <w:b/>
                <w:bCs/>
                <w:kern w:val="0"/>
                <w:szCs w:val="21"/>
              </w:rPr>
              <w:t>新兴产业</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现代中药</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2亿</w:t>
            </w:r>
          </w:p>
        </w:tc>
        <w:tc>
          <w:tcPr>
            <w:tcW w:w="992"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30亿</w:t>
            </w:r>
          </w:p>
        </w:tc>
        <w:tc>
          <w:tcPr>
            <w:tcW w:w="3260" w:type="dxa"/>
            <w:tcBorders>
              <w:top w:val="single" w:sz="4" w:space="0" w:color="auto"/>
              <w:left w:val="nil"/>
              <w:bottom w:val="single" w:sz="4" w:space="0" w:color="auto"/>
              <w:right w:val="single" w:sz="4" w:space="0" w:color="000000"/>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依托中药材丰富的天然优势，在“中药材种植</w:t>
            </w:r>
            <w:r w:rsidR="00A61652">
              <w:rPr>
                <w:rFonts w:ascii="仿宋_GB2312" w:eastAsia="仿宋_GB2312" w:hAnsi="宋体" w:cs="宋体" w:hint="eastAsia"/>
                <w:kern w:val="0"/>
                <w:szCs w:val="21"/>
              </w:rPr>
              <w:t>—</w:t>
            </w:r>
            <w:r>
              <w:rPr>
                <w:rFonts w:ascii="仿宋_GB2312" w:eastAsia="仿宋_GB2312" w:hAnsi="宋体" w:cs="宋体" w:hint="eastAsia"/>
                <w:kern w:val="0"/>
                <w:szCs w:val="21"/>
              </w:rPr>
              <w:t>中药材精深加工</w:t>
            </w:r>
            <w:r w:rsidR="00A61652">
              <w:rPr>
                <w:rFonts w:ascii="仿宋_GB2312" w:eastAsia="仿宋_GB2312" w:hAnsi="宋体" w:cs="宋体" w:hint="eastAsia"/>
                <w:kern w:val="0"/>
                <w:szCs w:val="21"/>
              </w:rPr>
              <w:t>—</w:t>
            </w:r>
            <w:r>
              <w:rPr>
                <w:rFonts w:ascii="仿宋_GB2312" w:eastAsia="仿宋_GB2312" w:hAnsi="宋体" w:cs="宋体" w:hint="eastAsia"/>
                <w:kern w:val="0"/>
                <w:szCs w:val="21"/>
              </w:rPr>
              <w:t>中药提取”的产业链条上延链、补链。</w:t>
            </w:r>
          </w:p>
        </w:tc>
      </w:tr>
      <w:tr w:rsidR="00D92198">
        <w:trPr>
          <w:trHeight w:val="2324"/>
        </w:trPr>
        <w:tc>
          <w:tcPr>
            <w:tcW w:w="1004" w:type="dxa"/>
            <w:vMerge/>
            <w:tcBorders>
              <w:top w:val="nil"/>
              <w:left w:val="single" w:sz="4" w:space="0" w:color="auto"/>
              <w:bottom w:val="single" w:sz="4" w:space="0" w:color="000000"/>
              <w:right w:val="single" w:sz="4" w:space="0" w:color="auto"/>
            </w:tcBorders>
            <w:vAlign w:val="center"/>
          </w:tcPr>
          <w:p w:rsidR="00D92198" w:rsidRDefault="00D92198">
            <w:pPr>
              <w:widowControl/>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b/>
                <w:bCs/>
                <w:kern w:val="0"/>
                <w:szCs w:val="21"/>
              </w:rPr>
            </w:pPr>
            <w:r>
              <w:rPr>
                <w:rFonts w:ascii="仿宋_GB2312" w:eastAsia="仿宋_GB2312" w:hAnsi="宋体" w:cs="宋体" w:hint="eastAsia"/>
                <w:b/>
                <w:bCs/>
                <w:kern w:val="0"/>
                <w:szCs w:val="21"/>
              </w:rPr>
              <w:t>特色产业</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先进铸造</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5亿</w:t>
            </w:r>
          </w:p>
        </w:tc>
        <w:tc>
          <w:tcPr>
            <w:tcW w:w="992"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100亿</w:t>
            </w:r>
          </w:p>
        </w:tc>
        <w:tc>
          <w:tcPr>
            <w:tcW w:w="3260" w:type="dxa"/>
            <w:tcBorders>
              <w:top w:val="single" w:sz="4" w:space="0" w:color="auto"/>
              <w:left w:val="nil"/>
              <w:bottom w:val="single" w:sz="4" w:space="0" w:color="auto"/>
              <w:right w:val="single" w:sz="4" w:space="0" w:color="000000"/>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规划云铸产业园，发挥铸造生铁热铁水短流程工艺低成本优势，招引下游企业入驻。围绕云阳绿色冶铸一体化项目，利用天瑞集团与安钢集团合作技术优势，打造大型精品绿色铸造企业。</w:t>
            </w:r>
          </w:p>
        </w:tc>
      </w:tr>
      <w:tr w:rsidR="00D92198">
        <w:trPr>
          <w:trHeight w:val="3330"/>
        </w:trPr>
        <w:tc>
          <w:tcPr>
            <w:tcW w:w="1004" w:type="dxa"/>
            <w:vMerge w:val="restart"/>
            <w:tcBorders>
              <w:top w:val="nil"/>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官庄</w:t>
            </w:r>
          </w:p>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工区</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b/>
                <w:bCs/>
                <w:kern w:val="0"/>
                <w:szCs w:val="21"/>
              </w:rPr>
            </w:pPr>
            <w:r>
              <w:rPr>
                <w:rFonts w:ascii="仿宋_GB2312" w:eastAsia="仿宋_GB2312" w:hAnsi="宋体" w:cs="宋体" w:hint="eastAsia"/>
                <w:b/>
                <w:bCs/>
                <w:kern w:val="0"/>
                <w:szCs w:val="21"/>
              </w:rPr>
              <w:t>主导产业</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原油加工及石油制品制造</w:t>
            </w: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70亿</w:t>
            </w:r>
          </w:p>
        </w:tc>
        <w:tc>
          <w:tcPr>
            <w:tcW w:w="992"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150亿</w:t>
            </w:r>
          </w:p>
        </w:tc>
        <w:tc>
          <w:tcPr>
            <w:tcW w:w="3260" w:type="dxa"/>
            <w:tcBorders>
              <w:top w:val="single" w:sz="4" w:space="0" w:color="auto"/>
              <w:left w:val="nil"/>
              <w:bottom w:val="single" w:sz="4" w:space="0" w:color="auto"/>
              <w:right w:val="single" w:sz="4" w:space="0" w:color="000000"/>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形成以河南油田、康兴石化、大正石化、海达石油、石化运输为核心的石油开发生产体系；以能源化工、金马科技、中昊石油、四通、润弘、奥铠为核心的精细化工体系；以振兴油品、璋鑫化工，丰达环保为核心的危废无害化处理体系。</w:t>
            </w:r>
          </w:p>
        </w:tc>
      </w:tr>
      <w:tr w:rsidR="00D92198">
        <w:trPr>
          <w:trHeight w:val="1995"/>
        </w:trPr>
        <w:tc>
          <w:tcPr>
            <w:tcW w:w="1004" w:type="dxa"/>
            <w:vMerge/>
            <w:tcBorders>
              <w:top w:val="nil"/>
              <w:left w:val="single" w:sz="4" w:space="0" w:color="auto"/>
              <w:bottom w:val="single" w:sz="4" w:space="0" w:color="auto"/>
              <w:right w:val="single" w:sz="4" w:space="0" w:color="auto"/>
            </w:tcBorders>
            <w:vAlign w:val="center"/>
          </w:tcPr>
          <w:p w:rsidR="00D92198" w:rsidRDefault="00D92198">
            <w:pPr>
              <w:widowControl/>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b/>
                <w:bCs/>
                <w:kern w:val="0"/>
                <w:szCs w:val="21"/>
              </w:rPr>
            </w:pPr>
            <w:r>
              <w:rPr>
                <w:rFonts w:ascii="仿宋_GB2312" w:eastAsia="仿宋_GB2312" w:hAnsi="宋体" w:cs="宋体" w:hint="eastAsia"/>
                <w:b/>
                <w:bCs/>
                <w:kern w:val="0"/>
                <w:szCs w:val="21"/>
              </w:rPr>
              <w:t>新兴产业</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化学药品原料药制造</w:t>
            </w: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在建</w:t>
            </w:r>
          </w:p>
        </w:tc>
        <w:tc>
          <w:tcPr>
            <w:tcW w:w="992"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50亿</w:t>
            </w:r>
          </w:p>
        </w:tc>
        <w:tc>
          <w:tcPr>
            <w:tcW w:w="3260" w:type="dxa"/>
            <w:tcBorders>
              <w:top w:val="single" w:sz="4" w:space="0" w:color="auto"/>
              <w:left w:val="nil"/>
              <w:bottom w:val="single" w:sz="4" w:space="0" w:color="auto"/>
              <w:right w:val="single" w:sz="4" w:space="0" w:color="000000"/>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形成以普康恒旺药业、启泰制药为核心的化学药品和原料药制造体系，不断推动产业链上中下游集群发展，支持同类产品、同类企业集聚发展。</w:t>
            </w:r>
          </w:p>
        </w:tc>
      </w:tr>
      <w:tr w:rsidR="00D92198">
        <w:trPr>
          <w:trHeight w:val="990"/>
        </w:trPr>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lastRenderedPageBreak/>
              <w:t>单位</w:t>
            </w:r>
          </w:p>
        </w:tc>
        <w:tc>
          <w:tcPr>
            <w:tcW w:w="2268" w:type="dxa"/>
            <w:gridSpan w:val="2"/>
            <w:tcBorders>
              <w:top w:val="single" w:sz="4" w:space="0" w:color="auto"/>
              <w:left w:val="nil"/>
              <w:bottom w:val="single" w:sz="4" w:space="0" w:color="auto"/>
              <w:right w:val="single" w:sz="4" w:space="0" w:color="000000"/>
            </w:tcBorders>
            <w:shd w:val="clear" w:color="auto" w:fill="auto"/>
            <w:noWrap/>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t>谋划产业</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t>目前产值</w:t>
            </w:r>
          </w:p>
        </w:tc>
        <w:tc>
          <w:tcPr>
            <w:tcW w:w="992" w:type="dxa"/>
            <w:tcBorders>
              <w:top w:val="single" w:sz="4" w:space="0" w:color="auto"/>
              <w:left w:val="nil"/>
              <w:bottom w:val="single" w:sz="4" w:space="0" w:color="auto"/>
              <w:right w:val="single" w:sz="4" w:space="0" w:color="auto"/>
            </w:tcBorders>
            <w:shd w:val="clear" w:color="auto" w:fill="auto"/>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t>十四五末产值</w:t>
            </w:r>
          </w:p>
        </w:tc>
        <w:tc>
          <w:tcPr>
            <w:tcW w:w="3260" w:type="dxa"/>
            <w:tcBorders>
              <w:top w:val="single" w:sz="4" w:space="0" w:color="auto"/>
              <w:left w:val="nil"/>
              <w:bottom w:val="single" w:sz="4" w:space="0" w:color="auto"/>
              <w:right w:val="single" w:sz="4" w:space="0" w:color="000000"/>
            </w:tcBorders>
            <w:shd w:val="clear" w:color="auto" w:fill="auto"/>
            <w:noWrap/>
            <w:vAlign w:val="center"/>
          </w:tcPr>
          <w:p w:rsidR="00D92198" w:rsidRDefault="00AE1128">
            <w:pPr>
              <w:widowControl/>
              <w:jc w:val="center"/>
              <w:rPr>
                <w:rFonts w:ascii="黑体" w:eastAsia="黑体" w:hAnsi="黑体" w:cs="宋体"/>
                <w:kern w:val="0"/>
                <w:szCs w:val="21"/>
              </w:rPr>
            </w:pPr>
            <w:r>
              <w:rPr>
                <w:rFonts w:ascii="黑体" w:eastAsia="黑体" w:hAnsi="黑体" w:cs="宋体" w:hint="eastAsia"/>
                <w:kern w:val="0"/>
                <w:szCs w:val="21"/>
              </w:rPr>
              <w:t>产业的发展思路</w:t>
            </w:r>
          </w:p>
        </w:tc>
      </w:tr>
      <w:tr w:rsidR="00D92198">
        <w:trPr>
          <w:trHeight w:val="1974"/>
        </w:trPr>
        <w:tc>
          <w:tcPr>
            <w:tcW w:w="1004" w:type="dxa"/>
            <w:tcBorders>
              <w:top w:val="nil"/>
              <w:left w:val="single" w:sz="4" w:space="0" w:color="auto"/>
              <w:bottom w:val="nil"/>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鸭河</w:t>
            </w:r>
          </w:p>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工区</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b/>
                <w:bCs/>
                <w:kern w:val="0"/>
                <w:szCs w:val="21"/>
              </w:rPr>
            </w:pPr>
            <w:r>
              <w:rPr>
                <w:rFonts w:ascii="仿宋_GB2312" w:eastAsia="仿宋_GB2312" w:hAnsi="宋体" w:cs="宋体" w:hint="eastAsia"/>
                <w:b/>
                <w:bCs/>
                <w:kern w:val="0"/>
                <w:szCs w:val="21"/>
              </w:rPr>
              <w:t>主导产业</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文旅康养</w:t>
            </w: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在建</w:t>
            </w:r>
          </w:p>
        </w:tc>
        <w:tc>
          <w:tcPr>
            <w:tcW w:w="992"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200亿</w:t>
            </w:r>
          </w:p>
        </w:tc>
        <w:tc>
          <w:tcPr>
            <w:tcW w:w="3260" w:type="dxa"/>
            <w:tcBorders>
              <w:top w:val="single" w:sz="4" w:space="0" w:color="auto"/>
              <w:left w:val="nil"/>
              <w:bottom w:val="single" w:sz="4" w:space="0" w:color="auto"/>
              <w:right w:val="single" w:sz="4" w:space="0" w:color="000000"/>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打造“农耕观光、景区游玩、度假旅游、文化教育” “健康养老、医疗救援、医疗设备机械、医药生产”全产业链,成为南阳市、河南省乃至全国有影响力的文旅康养示范基地。</w:t>
            </w:r>
          </w:p>
        </w:tc>
      </w:tr>
      <w:tr w:rsidR="00D92198">
        <w:trPr>
          <w:trHeight w:val="2526"/>
        </w:trPr>
        <w:tc>
          <w:tcPr>
            <w:tcW w:w="100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示范区</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b/>
                <w:bCs/>
                <w:kern w:val="0"/>
                <w:szCs w:val="21"/>
              </w:rPr>
            </w:pPr>
            <w:r>
              <w:rPr>
                <w:rFonts w:ascii="仿宋_GB2312" w:eastAsia="仿宋_GB2312" w:hAnsi="宋体" w:cs="宋体" w:hint="eastAsia"/>
                <w:b/>
                <w:bCs/>
                <w:kern w:val="0"/>
                <w:szCs w:val="21"/>
              </w:rPr>
              <w:t>主导产业</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现代商贸物流</w:t>
            </w: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在建</w:t>
            </w:r>
          </w:p>
        </w:tc>
        <w:tc>
          <w:tcPr>
            <w:tcW w:w="992"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200亿</w:t>
            </w:r>
          </w:p>
        </w:tc>
        <w:tc>
          <w:tcPr>
            <w:tcW w:w="3260" w:type="dxa"/>
            <w:tcBorders>
              <w:top w:val="single" w:sz="4" w:space="0" w:color="auto"/>
              <w:left w:val="nil"/>
              <w:bottom w:val="single" w:sz="4" w:space="0" w:color="auto"/>
              <w:right w:val="single" w:sz="4" w:space="0" w:color="000000"/>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以集群化为目标，围绕企业商务办公需求和人群新型商贸消费两大业态，聚焦总部经济、现代金融和商贸物流等，强化领先型企业招引和多功能项目建设，打造中部领先的新型生态商务中心区。</w:t>
            </w:r>
          </w:p>
        </w:tc>
      </w:tr>
      <w:tr w:rsidR="00D92198">
        <w:trPr>
          <w:trHeight w:val="1905"/>
        </w:trPr>
        <w:tc>
          <w:tcPr>
            <w:tcW w:w="1004" w:type="dxa"/>
            <w:vMerge/>
            <w:tcBorders>
              <w:top w:val="single" w:sz="4" w:space="0" w:color="auto"/>
              <w:left w:val="single" w:sz="4" w:space="0" w:color="auto"/>
              <w:bottom w:val="single" w:sz="4" w:space="0" w:color="000000"/>
              <w:right w:val="single" w:sz="4" w:space="0" w:color="auto"/>
            </w:tcBorders>
            <w:vAlign w:val="center"/>
          </w:tcPr>
          <w:p w:rsidR="00D92198" w:rsidRDefault="00D92198">
            <w:pPr>
              <w:widowControl/>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b/>
                <w:bCs/>
                <w:kern w:val="0"/>
                <w:szCs w:val="21"/>
              </w:rPr>
            </w:pPr>
            <w:r>
              <w:rPr>
                <w:rFonts w:ascii="仿宋_GB2312" w:eastAsia="仿宋_GB2312" w:hAnsi="宋体" w:cs="宋体" w:hint="eastAsia"/>
                <w:b/>
                <w:bCs/>
                <w:kern w:val="0"/>
                <w:szCs w:val="21"/>
              </w:rPr>
              <w:t>新兴产业</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智能制造</w:t>
            </w: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在建</w:t>
            </w:r>
          </w:p>
        </w:tc>
        <w:tc>
          <w:tcPr>
            <w:tcW w:w="992"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100亿</w:t>
            </w:r>
          </w:p>
        </w:tc>
        <w:tc>
          <w:tcPr>
            <w:tcW w:w="3260" w:type="dxa"/>
            <w:tcBorders>
              <w:top w:val="single" w:sz="4" w:space="0" w:color="auto"/>
              <w:left w:val="nil"/>
              <w:bottom w:val="single" w:sz="4" w:space="0" w:color="auto"/>
              <w:right w:val="single" w:sz="4" w:space="0" w:color="000000"/>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以链条化为重点，围绕重点行业“机器换人”推动特种机器人和智能装备等领域发展，强化大数据创新支撑，打造全市智能制造产业发展先行区。</w:t>
            </w:r>
          </w:p>
        </w:tc>
      </w:tr>
      <w:tr w:rsidR="00D92198">
        <w:trPr>
          <w:trHeight w:val="2325"/>
        </w:trPr>
        <w:tc>
          <w:tcPr>
            <w:tcW w:w="1004" w:type="dxa"/>
            <w:vMerge/>
            <w:tcBorders>
              <w:top w:val="single" w:sz="4" w:space="0" w:color="auto"/>
              <w:left w:val="single" w:sz="4" w:space="0" w:color="auto"/>
              <w:bottom w:val="single" w:sz="4" w:space="0" w:color="000000"/>
              <w:right w:val="single" w:sz="4" w:space="0" w:color="auto"/>
            </w:tcBorders>
            <w:vAlign w:val="center"/>
          </w:tcPr>
          <w:p w:rsidR="00D92198" w:rsidRDefault="00D92198">
            <w:pPr>
              <w:widowControl/>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b/>
                <w:bCs/>
                <w:kern w:val="0"/>
                <w:szCs w:val="21"/>
              </w:rPr>
            </w:pPr>
            <w:r>
              <w:rPr>
                <w:rFonts w:ascii="仿宋_GB2312" w:eastAsia="仿宋_GB2312" w:hAnsi="宋体" w:cs="宋体" w:hint="eastAsia"/>
                <w:b/>
                <w:bCs/>
                <w:kern w:val="0"/>
                <w:szCs w:val="21"/>
              </w:rPr>
              <w:t>特色产业</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中医药康养</w:t>
            </w: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在建</w:t>
            </w:r>
          </w:p>
        </w:tc>
        <w:tc>
          <w:tcPr>
            <w:tcW w:w="992"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100亿</w:t>
            </w:r>
          </w:p>
        </w:tc>
        <w:tc>
          <w:tcPr>
            <w:tcW w:w="3260" w:type="dxa"/>
            <w:tcBorders>
              <w:top w:val="single" w:sz="4" w:space="0" w:color="auto"/>
              <w:left w:val="nil"/>
              <w:bottom w:val="single" w:sz="4" w:space="0" w:color="auto"/>
              <w:right w:val="single" w:sz="4" w:space="0" w:color="000000"/>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以仲景健康产业园为重点，培育医疗健康产业；发展文旅产业，推动文化与旅游产业融合，挖掘南阳文化资源、以花为媒、以水为媒，针对知名文化创意类企业开展招商，打造文化品牌。</w:t>
            </w:r>
          </w:p>
        </w:tc>
      </w:tr>
      <w:tr w:rsidR="00D92198">
        <w:trPr>
          <w:trHeight w:val="2683"/>
        </w:trPr>
        <w:tc>
          <w:tcPr>
            <w:tcW w:w="1004" w:type="dxa"/>
            <w:tcBorders>
              <w:top w:val="nil"/>
              <w:left w:val="single" w:sz="4" w:space="0" w:color="auto"/>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卧龙综保区</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center"/>
              <w:rPr>
                <w:rFonts w:ascii="仿宋_GB2312" w:eastAsia="仿宋_GB2312" w:hAnsi="宋体" w:cs="宋体"/>
                <w:b/>
                <w:bCs/>
                <w:kern w:val="0"/>
                <w:szCs w:val="21"/>
              </w:rPr>
            </w:pPr>
            <w:r>
              <w:rPr>
                <w:rFonts w:ascii="仿宋_GB2312" w:eastAsia="仿宋_GB2312" w:hAnsi="宋体" w:cs="宋体" w:hint="eastAsia"/>
                <w:b/>
                <w:bCs/>
                <w:kern w:val="0"/>
                <w:szCs w:val="21"/>
              </w:rPr>
              <w:t>主导产业</w:t>
            </w:r>
          </w:p>
        </w:tc>
        <w:tc>
          <w:tcPr>
            <w:tcW w:w="1134" w:type="dxa"/>
            <w:tcBorders>
              <w:top w:val="nil"/>
              <w:left w:val="nil"/>
              <w:bottom w:val="single" w:sz="4" w:space="0" w:color="auto"/>
              <w:right w:val="single" w:sz="4" w:space="0" w:color="auto"/>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农副产品进出口加工业</w:t>
            </w:r>
          </w:p>
        </w:tc>
        <w:tc>
          <w:tcPr>
            <w:tcW w:w="1134"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在建</w:t>
            </w:r>
          </w:p>
        </w:tc>
        <w:tc>
          <w:tcPr>
            <w:tcW w:w="992" w:type="dxa"/>
            <w:tcBorders>
              <w:top w:val="nil"/>
              <w:left w:val="nil"/>
              <w:bottom w:val="single" w:sz="4" w:space="0" w:color="auto"/>
              <w:right w:val="single" w:sz="4" w:space="0" w:color="auto"/>
            </w:tcBorders>
            <w:shd w:val="clear" w:color="auto" w:fill="auto"/>
            <w:noWrap/>
            <w:vAlign w:val="center"/>
          </w:tcPr>
          <w:p w:rsidR="00D92198" w:rsidRDefault="00AE1128">
            <w:pPr>
              <w:widowControl/>
              <w:jc w:val="center"/>
              <w:rPr>
                <w:rFonts w:ascii="仿宋_GB2312" w:eastAsia="仿宋_GB2312" w:hAnsi="宋体" w:cs="宋体"/>
                <w:kern w:val="0"/>
                <w:szCs w:val="21"/>
              </w:rPr>
            </w:pPr>
            <w:r>
              <w:rPr>
                <w:rFonts w:ascii="仿宋_GB2312" w:eastAsia="仿宋_GB2312" w:hAnsi="宋体" w:cs="宋体" w:hint="eastAsia"/>
                <w:kern w:val="0"/>
                <w:szCs w:val="21"/>
              </w:rPr>
              <w:t>300亿</w:t>
            </w:r>
          </w:p>
        </w:tc>
        <w:tc>
          <w:tcPr>
            <w:tcW w:w="3260" w:type="dxa"/>
            <w:tcBorders>
              <w:top w:val="single" w:sz="4" w:space="0" w:color="auto"/>
              <w:left w:val="nil"/>
              <w:bottom w:val="single" w:sz="4" w:space="0" w:color="auto"/>
              <w:right w:val="single" w:sz="4" w:space="0" w:color="000000"/>
            </w:tcBorders>
            <w:shd w:val="clear" w:color="auto" w:fill="auto"/>
            <w:vAlign w:val="center"/>
          </w:tcPr>
          <w:p w:rsidR="00D92198" w:rsidRDefault="00AE1128">
            <w:pPr>
              <w:widowControl/>
              <w:jc w:val="left"/>
              <w:rPr>
                <w:rFonts w:ascii="仿宋_GB2312" w:eastAsia="仿宋_GB2312" w:hAnsi="宋体" w:cs="宋体"/>
                <w:kern w:val="0"/>
                <w:szCs w:val="21"/>
              </w:rPr>
            </w:pPr>
            <w:r>
              <w:rPr>
                <w:rFonts w:ascii="仿宋_GB2312" w:eastAsia="仿宋_GB2312" w:hAnsi="宋体" w:cs="宋体" w:hint="eastAsia"/>
                <w:kern w:val="0"/>
                <w:szCs w:val="21"/>
              </w:rPr>
              <w:t>建设小麦加工生产谷朊粉出口项目、引进台湾客商香菇产品深加工项目、美国MK国际集团进口肉食品加工国内分销项目、深圳伟业集团智慧冷链项目，形成农副产品进出口加工集群效应。</w:t>
            </w:r>
          </w:p>
        </w:tc>
      </w:tr>
    </w:tbl>
    <w:bookmarkEnd w:id="8"/>
    <w:p w:rsidR="00D92198" w:rsidRDefault="00AE1128" w:rsidP="00A61652">
      <w:pPr>
        <w:spacing w:afterLines="100" w:after="312" w:line="540" w:lineRule="exact"/>
        <w:jc w:val="center"/>
        <w:rPr>
          <w:rFonts w:ascii="黑体" w:eastAsia="黑体" w:hAnsi="黑体" w:cs="仿宋_GB2312"/>
          <w:sz w:val="32"/>
          <w:szCs w:val="32"/>
        </w:rPr>
      </w:pPr>
      <w:r>
        <w:rPr>
          <w:rFonts w:ascii="黑体" w:eastAsia="黑体" w:hAnsi="黑体" w:cs="仿宋_GB2312" w:hint="eastAsia"/>
          <w:sz w:val="32"/>
          <w:szCs w:val="32"/>
        </w:rPr>
        <w:lastRenderedPageBreak/>
        <w:t>第十章  繁荣发展现代服务业</w:t>
      </w:r>
    </w:p>
    <w:p w:rsidR="00D92198" w:rsidRDefault="00AE1128" w:rsidP="00A61652">
      <w:pPr>
        <w:pStyle w:val="ab"/>
        <w:widowControl/>
        <w:spacing w:before="0" w:beforeAutospacing="0" w:afterLines="100" w:after="312" w:afterAutospacing="0"/>
        <w:ind w:firstLine="640"/>
        <w:jc w:val="both"/>
        <w:rPr>
          <w:rFonts w:ascii="仿宋_GB2312" w:hAnsi="仿宋" w:cs="仿宋"/>
          <w:sz w:val="32"/>
          <w:szCs w:val="32"/>
        </w:rPr>
      </w:pPr>
      <w:r>
        <w:rPr>
          <w:rFonts w:ascii="仿宋_GB2312" w:hAnsi="仿宋_GB2312" w:cs="仿宋_GB2312" w:hint="eastAsia"/>
          <w:sz w:val="32"/>
          <w:szCs w:val="32"/>
          <w:shd w:val="clear" w:color="auto" w:fill="FFFFFF"/>
        </w:rPr>
        <w:t>推进生产性服务业向专业化和价值链高端延伸，</w:t>
      </w:r>
      <w:r>
        <w:rPr>
          <w:rFonts w:ascii="仿宋_GB2312" w:hAnsi="仿宋" w:cs="仿宋" w:hint="eastAsia"/>
          <w:sz w:val="32"/>
          <w:szCs w:val="32"/>
        </w:rPr>
        <w:t>推动生活性服务业向高品质和多样化升级，形成布局合理、竞争力较强、产业层次较高的服务业发展新格局。</w:t>
      </w:r>
    </w:p>
    <w:p w:rsidR="00D92198" w:rsidRDefault="00AE1128" w:rsidP="00A61652">
      <w:pPr>
        <w:spacing w:afterLines="100" w:after="312" w:line="540" w:lineRule="exact"/>
        <w:jc w:val="center"/>
        <w:rPr>
          <w:rFonts w:ascii="楷体_GB2312" w:eastAsia="楷体_GB2312" w:hAnsi="仿宋" w:cs="仿宋"/>
          <w:b/>
          <w:kern w:val="0"/>
          <w:sz w:val="32"/>
          <w:szCs w:val="32"/>
        </w:rPr>
      </w:pPr>
      <w:r>
        <w:rPr>
          <w:rFonts w:ascii="楷体_GB2312" w:eastAsia="楷体_GB2312" w:hAnsi="仿宋" w:cs="仿宋" w:hint="eastAsia"/>
          <w:b/>
          <w:kern w:val="0"/>
          <w:sz w:val="32"/>
          <w:szCs w:val="32"/>
        </w:rPr>
        <w:t>第一节  突出发展生产性服务业</w:t>
      </w:r>
    </w:p>
    <w:p w:rsidR="00D92198" w:rsidRDefault="00AE1128">
      <w:pPr>
        <w:spacing w:line="600" w:lineRule="exact"/>
        <w:ind w:firstLineChars="200" w:firstLine="640"/>
        <w:rPr>
          <w:rFonts w:ascii="仿宋_GB2312" w:eastAsia="仿宋_GB2312" w:hAnsi="仿宋" w:cs="仿宋"/>
          <w:kern w:val="0"/>
          <w:sz w:val="32"/>
          <w:szCs w:val="32"/>
        </w:rPr>
      </w:pPr>
      <w:r>
        <w:rPr>
          <w:rFonts w:ascii="仿宋_GB2312" w:eastAsia="仿宋_GB2312" w:hAnsi="仿宋" w:cs="仿宋" w:hint="eastAsia"/>
          <w:kern w:val="0"/>
          <w:sz w:val="32"/>
          <w:szCs w:val="32"/>
        </w:rPr>
        <w:t>大力发展现代物流、现代金融、电子商务、商务服务，</w:t>
      </w:r>
      <w:r>
        <w:rPr>
          <w:rFonts w:ascii="仿宋_GB2312" w:eastAsia="仿宋_GB2312" w:hAnsi="仿宋_GB2312" w:cs="仿宋_GB2312" w:hint="eastAsia"/>
          <w:kern w:val="0"/>
          <w:sz w:val="32"/>
          <w:szCs w:val="32"/>
          <w:shd w:val="clear" w:color="auto" w:fill="FFFFFF"/>
        </w:rPr>
        <w:t>全面</w:t>
      </w:r>
      <w:r>
        <w:rPr>
          <w:rFonts w:ascii="仿宋_GB2312" w:eastAsia="仿宋_GB2312" w:hAnsi="仿宋_GB2312" w:cs="仿宋_GB2312"/>
          <w:kern w:val="0"/>
          <w:sz w:val="32"/>
          <w:szCs w:val="32"/>
          <w:shd w:val="clear" w:color="auto" w:fill="FFFFFF"/>
        </w:rPr>
        <w:t>承接复制</w:t>
      </w:r>
      <w:r>
        <w:rPr>
          <w:rFonts w:ascii="仿宋_GB2312" w:eastAsia="仿宋_GB2312" w:hAnsi="仿宋_GB2312" w:cs="仿宋_GB2312" w:hint="eastAsia"/>
          <w:kern w:val="0"/>
          <w:sz w:val="32"/>
          <w:szCs w:val="32"/>
          <w:shd w:val="clear" w:color="auto" w:fill="FFFFFF"/>
        </w:rPr>
        <w:t>郑洛新自创区优惠政策，培育发展一批生产性服务业企业，</w:t>
      </w:r>
      <w:r>
        <w:rPr>
          <w:rFonts w:ascii="仿宋_GB2312" w:eastAsia="仿宋_GB2312" w:hAnsi="仿宋_GB2312" w:cs="仿宋_GB2312"/>
          <w:kern w:val="0"/>
          <w:sz w:val="32"/>
          <w:szCs w:val="32"/>
          <w:shd w:val="clear" w:color="auto" w:fill="FFFFFF"/>
        </w:rPr>
        <w:t>建设一批具有影响力的生产性服务业</w:t>
      </w:r>
      <w:r>
        <w:rPr>
          <w:rFonts w:ascii="仿宋_GB2312" w:eastAsia="仿宋_GB2312" w:hAnsi="仿宋_GB2312" w:cs="仿宋_GB2312" w:hint="eastAsia"/>
          <w:kern w:val="0"/>
          <w:sz w:val="32"/>
          <w:szCs w:val="32"/>
          <w:shd w:val="clear" w:color="auto" w:fill="FFFFFF"/>
        </w:rPr>
        <w:t>专业</w:t>
      </w:r>
      <w:r>
        <w:rPr>
          <w:rFonts w:ascii="仿宋_GB2312" w:eastAsia="仿宋_GB2312" w:hAnsi="仿宋_GB2312" w:cs="仿宋_GB2312"/>
          <w:kern w:val="0"/>
          <w:sz w:val="32"/>
          <w:szCs w:val="32"/>
          <w:shd w:val="clear" w:color="auto" w:fill="FFFFFF"/>
        </w:rPr>
        <w:t>园区</w:t>
      </w:r>
      <w:r>
        <w:rPr>
          <w:rFonts w:ascii="仿宋_GB2312" w:eastAsia="仿宋_GB2312" w:hAnsi="仿宋" w:cs="仿宋" w:hint="eastAsia"/>
          <w:kern w:val="0"/>
          <w:sz w:val="32"/>
          <w:szCs w:val="32"/>
        </w:rPr>
        <w:t>。</w:t>
      </w:r>
    </w:p>
    <w:p w:rsidR="00D92198" w:rsidRDefault="00AE1128">
      <w:pPr>
        <w:pStyle w:val="a8"/>
        <w:overflowPunct w:val="0"/>
        <w:adjustRightInd w:val="0"/>
        <w:spacing w:line="600" w:lineRule="exact"/>
        <w:ind w:firstLineChars="200" w:firstLine="643"/>
        <w:rPr>
          <w:rFonts w:ascii="仿宋_GB2312" w:eastAsia="仿宋_GB2312" w:hAnsi="仿宋" w:cs="仿宋"/>
          <w:sz w:val="32"/>
          <w:szCs w:val="32"/>
        </w:rPr>
      </w:pPr>
      <w:r>
        <w:rPr>
          <w:rFonts w:ascii="仿宋_GB2312" w:eastAsia="仿宋_GB2312" w:hAnsi="仿宋" w:cs="仿宋" w:hint="eastAsia"/>
          <w:b/>
          <w:sz w:val="32"/>
          <w:szCs w:val="32"/>
        </w:rPr>
        <w:t>——现代物流。</w:t>
      </w:r>
      <w:r>
        <w:rPr>
          <w:rFonts w:ascii="仿宋_GB2312" w:eastAsia="仿宋_GB2312" w:hAnsi="仿宋_GB2312" w:cs="仿宋_GB2312"/>
          <w:sz w:val="32"/>
          <w:szCs w:val="32"/>
          <w:shd w:val="clear" w:color="auto" w:fill="FFFFFF"/>
        </w:rPr>
        <w:t>加快推进商贸服务型国家物流枢纽承载城市建设，提升物流业与制造业、商贸业联动发展水平</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sz w:val="32"/>
          <w:szCs w:val="32"/>
          <w:shd w:val="clear" w:color="auto" w:fill="FFFFFF"/>
        </w:rPr>
        <w:t>优化物流空间布局，提速物流园区和信息平台建设。</w:t>
      </w:r>
      <w:r>
        <w:rPr>
          <w:rFonts w:ascii="仿宋_GB2312" w:eastAsia="仿宋_GB2312" w:hAnsi="仿宋" w:cs="仿宋" w:hint="eastAsia"/>
          <w:sz w:val="32"/>
          <w:szCs w:val="32"/>
        </w:rPr>
        <w:t>大力发展冷链、快递和电商物流，</w:t>
      </w:r>
      <w:r>
        <w:rPr>
          <w:rFonts w:ascii="仿宋_GB2312" w:eastAsia="仿宋_GB2312" w:hAnsi="仿宋_GB2312" w:cs="仿宋_GB2312"/>
          <w:sz w:val="32"/>
          <w:szCs w:val="32"/>
          <w:shd w:val="clear" w:color="auto" w:fill="FFFFFF"/>
        </w:rPr>
        <w:t>培育引进一批大型物流企业集团，</w:t>
      </w:r>
      <w:r>
        <w:rPr>
          <w:rFonts w:ascii="仿宋_GB2312" w:eastAsia="仿宋_GB2312" w:hAnsi="仿宋" w:cs="仿宋" w:hint="eastAsia"/>
          <w:sz w:val="32"/>
          <w:szCs w:val="32"/>
        </w:rPr>
        <w:t>推动南阳万邦冷链物流园等一批市县物流园建设。支持卧龙区现代物流园、唐河县临港物流园申报国家商贸服务型物流枢纽和省级区域性物流枢纽。支持邓州建设省级区域交通物流枢纽。加快南阳城区快递分拣配送中心和农村物流网络建设，推动物流基础设施互联互通，促进区域物流协调发展，打造</w:t>
      </w:r>
      <w:r>
        <w:rPr>
          <w:rFonts w:ascii="仿宋_GB2312" w:eastAsia="仿宋_GB2312" w:hAnsi="仿宋_GB2312" w:cs="仿宋_GB2312" w:hint="eastAsia"/>
          <w:sz w:val="32"/>
          <w:szCs w:val="32"/>
          <w:shd w:val="clear" w:color="auto" w:fill="FFFFFF"/>
        </w:rPr>
        <w:t>全国重要的现代</w:t>
      </w:r>
      <w:r>
        <w:rPr>
          <w:rFonts w:ascii="仿宋_GB2312" w:eastAsia="仿宋_GB2312" w:hAnsi="仿宋_GB2312" w:cs="仿宋_GB2312"/>
          <w:sz w:val="32"/>
          <w:szCs w:val="32"/>
          <w:shd w:val="clear" w:color="auto" w:fill="FFFFFF"/>
        </w:rPr>
        <w:t>物流中心</w:t>
      </w:r>
      <w:r>
        <w:rPr>
          <w:rFonts w:ascii="仿宋_GB2312" w:eastAsia="仿宋_GB2312" w:hAnsi="仿宋" w:cs="仿宋" w:hint="eastAsia"/>
          <w:sz w:val="32"/>
          <w:szCs w:val="32"/>
        </w:rPr>
        <w:t>。</w:t>
      </w:r>
    </w:p>
    <w:p w:rsidR="00D92198" w:rsidRDefault="00AE1128">
      <w:pPr>
        <w:spacing w:line="600" w:lineRule="exact"/>
        <w:ind w:firstLineChars="200" w:firstLine="643"/>
        <w:rPr>
          <w:rFonts w:ascii="仿宋_GB2312" w:eastAsia="仿宋_GB2312" w:hAnsi="仿宋" w:cs="仿宋"/>
          <w:kern w:val="0"/>
          <w:sz w:val="32"/>
          <w:szCs w:val="32"/>
        </w:rPr>
      </w:pPr>
      <w:r>
        <w:rPr>
          <w:rFonts w:ascii="仿宋_GB2312" w:eastAsia="仿宋_GB2312" w:hAnsi="仿宋" w:hint="eastAsia"/>
          <w:b/>
          <w:sz w:val="32"/>
          <w:szCs w:val="32"/>
        </w:rPr>
        <w:t>——现代金融。</w:t>
      </w:r>
      <w:r>
        <w:rPr>
          <w:rFonts w:ascii="仿宋_GB2312" w:eastAsia="仿宋_GB2312" w:hAnsi="仿宋" w:cs="仿宋" w:hint="eastAsia"/>
          <w:kern w:val="0"/>
          <w:sz w:val="32"/>
          <w:szCs w:val="32"/>
        </w:rPr>
        <w:t>坚持以服务实体经济为导向，全面提升金</w:t>
      </w:r>
      <w:r>
        <w:rPr>
          <w:rFonts w:ascii="仿宋_GB2312" w:eastAsia="仿宋_GB2312" w:hAnsi="仿宋" w:cs="仿宋" w:hint="eastAsia"/>
          <w:kern w:val="0"/>
          <w:sz w:val="32"/>
          <w:szCs w:val="32"/>
        </w:rPr>
        <w:lastRenderedPageBreak/>
        <w:t>融产业在经济中的比重，打造区域金融中心。加快现代金融服务体系建设，持续实施“招金入宛”工程，鼓励各类金融机构在宛设立分支机构，深化农信社、村镇银行等地方金融机构改革，支持设立财务公司、融资租赁、商业保理等地方金融组织，探索建立市级资产管理公司，推进金融集聚区建设，加快金融机构、金融资源、金融人才集聚。综合运用信贷、基金、股票、债券、保险等金融工具，实现金融与城市经营、产业发展、企业层面的良性循环。加强与国开行、进出口银行、农发行和大型保险公司等合作，争取更多开发性资金、政策性资金支持，大力吸引保险资金投入地方建设。积极开展数字金融、绿色金融、普惠金融、供应链金融、科技金融等业态创新。持续推动企业上市，新增上市企业10家以上，实现上市企业空白县市区清零。</w:t>
      </w:r>
    </w:p>
    <w:p w:rsidR="00D92198" w:rsidRDefault="00AE1128">
      <w:pPr>
        <w:pStyle w:val="ab"/>
        <w:widowControl/>
        <w:shd w:val="clear" w:color="auto" w:fill="FFFFFF"/>
        <w:spacing w:before="0" w:beforeAutospacing="0" w:after="0" w:afterAutospacing="0" w:line="540" w:lineRule="atLeast"/>
        <w:ind w:firstLine="643"/>
        <w:textAlignment w:val="top"/>
        <w:rPr>
          <w:rFonts w:ascii="仿宋_GB2312" w:hAnsi="仿宋_GB2312" w:cs="仿宋_GB2312"/>
          <w:sz w:val="32"/>
          <w:szCs w:val="32"/>
        </w:rPr>
      </w:pPr>
      <w:r>
        <w:rPr>
          <w:rFonts w:ascii="仿宋_GB2312" w:hAnsi="仿宋" w:cs="仿宋" w:hint="eastAsia"/>
          <w:b/>
          <w:sz w:val="32"/>
          <w:szCs w:val="32"/>
        </w:rPr>
        <w:t>——电子商务。</w:t>
      </w:r>
      <w:r>
        <w:rPr>
          <w:rFonts w:ascii="仿宋_GB2312" w:hAnsi="仿宋_GB2312" w:cs="仿宋_GB2312" w:hint="eastAsia"/>
          <w:sz w:val="32"/>
          <w:szCs w:val="32"/>
        </w:rPr>
        <w:t>以龙头企业培育和引进为重点，加快电子商务基地、基础设施和服务平台建设，着力营造电子商务发展环境。创新技术、商业模式，鼓励新业态、新模式发展，高质量发展电子商务经济，增强核心竞争力。扶持一批产业链带动作用明显的电子商务平台。加快推进中国（南阳）跨境电子商务综合试验区建设，建设线上综合服务平台和线下综合园区平台，实施跨境电商产业提升、市场主体培育、品牌塑造、人才培养四大行动，完善信息共享、物流支撑、金融服务、信用监</w:t>
      </w:r>
      <w:r>
        <w:rPr>
          <w:rFonts w:ascii="仿宋_GB2312" w:hAnsi="仿宋_GB2312" w:cs="仿宋_GB2312" w:hint="eastAsia"/>
          <w:sz w:val="32"/>
          <w:szCs w:val="32"/>
        </w:rPr>
        <w:lastRenderedPageBreak/>
        <w:t>管、统计监测和风险防控六大体系，培育一批跨境电商特色产业集群，建成在全国有一定影响力的新兴区域跨境电子商务中心。</w:t>
      </w:r>
    </w:p>
    <w:p w:rsidR="00D92198" w:rsidRDefault="00AE1128" w:rsidP="00A61652">
      <w:pPr>
        <w:spacing w:afterLines="100" w:after="312" w:line="600" w:lineRule="exact"/>
        <w:ind w:firstLineChars="200" w:firstLine="643"/>
        <w:rPr>
          <w:rFonts w:ascii="仿宋_GB2312" w:eastAsia="仿宋_GB2312" w:hAnsi="仿宋" w:cs="仿宋"/>
          <w:kern w:val="0"/>
          <w:sz w:val="32"/>
          <w:szCs w:val="32"/>
        </w:rPr>
      </w:pPr>
      <w:r>
        <w:rPr>
          <w:rFonts w:ascii="仿宋" w:eastAsia="仿宋" w:hAnsi="仿宋" w:hint="eastAsia"/>
          <w:b/>
          <w:sz w:val="32"/>
          <w:szCs w:val="32"/>
        </w:rPr>
        <w:t>——商务服务。</w:t>
      </w:r>
      <w:r>
        <w:rPr>
          <w:rFonts w:ascii="仿宋_GB2312" w:eastAsia="仿宋_GB2312" w:hAnsi="仿宋" w:cs="仿宋" w:hint="eastAsia"/>
          <w:kern w:val="0"/>
          <w:sz w:val="32"/>
          <w:szCs w:val="32"/>
        </w:rPr>
        <w:t>坚持商务服务“专精特优”发展方向，依托南阳中心商务区，大力发展总部经济和楼宇经济，积极引进行业龙头企业建立地区性总部或功能性中心。支持县域商务中心区发展，引导县域龙头企业、旅游企业总部、金融保险分支机构等入驻，建设中小企业总部基地。积极发展会计、审计、法律、咨询、第三方检测等中介服务业。规划建设服务外包基地和服务贸易外贸园区，鼓励发展服务外包产业。建设豫西南月季花木交易中心等专业市场。研究推进东方时尚汽车文化园项目建设。加快会展中心建设，吸引国家级、区域性品牌展会落户，培育一批知名会展品牌，组织举办道地中药材、轴承系列、超硬材料、花卉苗木等全国性会展活动，建设具有较强影响力的区域性会展中心。</w:t>
      </w:r>
    </w:p>
    <w:p w:rsidR="00D92198" w:rsidRDefault="00AE1128" w:rsidP="00A61652">
      <w:pPr>
        <w:spacing w:afterLines="100" w:after="312" w:line="610" w:lineRule="exact"/>
        <w:jc w:val="center"/>
        <w:rPr>
          <w:rFonts w:ascii="楷体_GB2312" w:eastAsia="楷体_GB2312" w:hAnsi="仿宋" w:cs="仿宋"/>
          <w:b/>
          <w:kern w:val="0"/>
          <w:sz w:val="32"/>
          <w:szCs w:val="32"/>
        </w:rPr>
      </w:pPr>
      <w:r>
        <w:rPr>
          <w:rFonts w:ascii="楷体_GB2312" w:eastAsia="楷体_GB2312" w:hAnsi="仿宋" w:cs="仿宋" w:hint="eastAsia"/>
          <w:b/>
          <w:kern w:val="0"/>
          <w:sz w:val="32"/>
          <w:szCs w:val="32"/>
        </w:rPr>
        <w:t>第二节  培育壮大生活性服务业</w:t>
      </w:r>
    </w:p>
    <w:p w:rsidR="00D92198" w:rsidRDefault="00AE1128">
      <w:pPr>
        <w:spacing w:line="610" w:lineRule="exact"/>
        <w:ind w:firstLineChars="200" w:firstLine="640"/>
        <w:rPr>
          <w:rFonts w:ascii="仿宋_GB2312" w:eastAsia="仿宋_GB2312" w:hAnsi="仿宋" w:cs="仿宋"/>
          <w:kern w:val="0"/>
          <w:sz w:val="32"/>
          <w:szCs w:val="32"/>
        </w:rPr>
      </w:pPr>
      <w:r>
        <w:rPr>
          <w:rFonts w:ascii="仿宋_GB2312" w:eastAsia="仿宋_GB2312" w:hAnsi="仿宋" w:cs="仿宋" w:hint="eastAsia"/>
          <w:kern w:val="0"/>
          <w:sz w:val="32"/>
          <w:szCs w:val="32"/>
        </w:rPr>
        <w:t>重点发展文化旅游、现代商贸、健康养生养老、家政服务等生活性服务业，打造文化旅游、健康养生养老千亿级产业，</w:t>
      </w:r>
      <w:r>
        <w:rPr>
          <w:rFonts w:ascii="Times New Roman" w:eastAsia="仿宋_GB2312" w:hAnsi="Times New Roman" w:cs="仿宋_GB2312" w:hint="eastAsia"/>
          <w:sz w:val="32"/>
          <w:szCs w:val="32"/>
        </w:rPr>
        <w:t>建设国内知名生态文化旅游、健康养生养老目的地。</w:t>
      </w:r>
    </w:p>
    <w:p w:rsidR="00D92198" w:rsidRDefault="00AE1128">
      <w:pPr>
        <w:spacing w:line="610" w:lineRule="exact"/>
        <w:ind w:firstLineChars="200" w:firstLine="643"/>
        <w:rPr>
          <w:rFonts w:ascii="仿宋_GB2312" w:eastAsia="仿宋_GB2312" w:hAnsi="仿宋" w:cs="仿宋"/>
          <w:kern w:val="0"/>
          <w:sz w:val="32"/>
          <w:szCs w:val="32"/>
        </w:rPr>
      </w:pPr>
      <w:r>
        <w:rPr>
          <w:rFonts w:ascii="仿宋_GB2312" w:eastAsia="仿宋_GB2312" w:hAnsi="仿宋" w:cs="仿宋" w:hint="eastAsia"/>
          <w:b/>
          <w:kern w:val="0"/>
          <w:sz w:val="32"/>
          <w:szCs w:val="32"/>
        </w:rPr>
        <w:t>——文化旅游。</w:t>
      </w:r>
      <w:r>
        <w:rPr>
          <w:rFonts w:ascii="仿宋_GB2312" w:eastAsia="仿宋_GB2312" w:hAnsi="仿宋" w:cs="仿宋" w:hint="eastAsia"/>
          <w:kern w:val="0"/>
          <w:sz w:val="32"/>
          <w:szCs w:val="32"/>
        </w:rPr>
        <w:t>充分发挥南阳国家级历史文化名城优势，</w:t>
      </w:r>
      <w:r>
        <w:rPr>
          <w:rFonts w:ascii="仿宋_GB2312" w:eastAsia="仿宋_GB2312" w:hAnsi="仿宋" w:cs="仿宋" w:hint="eastAsia"/>
          <w:kern w:val="0"/>
          <w:sz w:val="32"/>
          <w:szCs w:val="32"/>
        </w:rPr>
        <w:lastRenderedPageBreak/>
        <w:t>以全域旅游为</w:t>
      </w:r>
      <w:r>
        <w:rPr>
          <w:rFonts w:ascii="Times New Roman" w:eastAsia="仿宋_GB2312" w:hAnsi="Times New Roman" w:cs="仿宋_GB2312" w:hint="eastAsia"/>
          <w:sz w:val="32"/>
          <w:szCs w:val="32"/>
        </w:rPr>
        <w:t>统领，以建设国内知名生态文化旅游目的地为目标，创新“全文旅”与“</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文旅”两个理念，筑牢“文化（文物）、生态、康养”三大支撑，做好“文史、山水、源起、圣贤”四篇文章，打造“伏牛山、水源头（淮河源头、南水北调中线工程源头）、万里茶道、丝绸之路、红色旅游”五条精品旅游长线，打响老界岭国家旅游度假区龙头景区，抓好卧龙岗文化园创建国家</w:t>
      </w:r>
      <w:r>
        <w:rPr>
          <w:rFonts w:ascii="Times New Roman" w:eastAsia="仿宋_GB2312" w:hAnsi="Times New Roman" w:cs="仿宋_GB2312" w:hint="eastAsia"/>
          <w:sz w:val="32"/>
          <w:szCs w:val="32"/>
        </w:rPr>
        <w:t>5A</w:t>
      </w:r>
      <w:r>
        <w:rPr>
          <w:rFonts w:ascii="Times New Roman" w:eastAsia="仿宋_GB2312" w:hAnsi="Times New Roman" w:cs="仿宋_GB2312" w:hint="eastAsia"/>
          <w:sz w:val="32"/>
          <w:szCs w:val="32"/>
        </w:rPr>
        <w:t>级景区和南阳古城两大标志性工程，推进多个支撑项目建设，</w:t>
      </w:r>
      <w:r>
        <w:rPr>
          <w:rFonts w:ascii="仿宋_GB2312" w:eastAsia="仿宋_GB2312" w:hAnsi="仿宋" w:cs="仿宋" w:hint="eastAsia"/>
          <w:kern w:val="0"/>
          <w:sz w:val="32"/>
          <w:szCs w:val="32"/>
        </w:rPr>
        <w:t>构建“一心、两带、四区”旅游发展新格局。</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60"/>
      </w:tblGrid>
      <w:tr w:rsidR="00D92198">
        <w:trPr>
          <w:trHeight w:val="416"/>
          <w:jc w:val="center"/>
        </w:trPr>
        <w:tc>
          <w:tcPr>
            <w:tcW w:w="8360" w:type="dxa"/>
            <w:shd w:val="clear" w:color="auto" w:fill="auto"/>
          </w:tcPr>
          <w:p w:rsidR="00D92198" w:rsidRDefault="00AE1128">
            <w:pPr>
              <w:tabs>
                <w:tab w:val="center" w:pos="4153"/>
                <w:tab w:val="right" w:pos="8306"/>
              </w:tabs>
              <w:snapToGrid w:val="0"/>
              <w:spacing w:line="600" w:lineRule="exact"/>
              <w:jc w:val="center"/>
              <w:rPr>
                <w:rFonts w:ascii="黑体" w:eastAsia="黑体" w:hAnsi="黑体" w:cs="仿宋_GB2312"/>
                <w:bCs/>
                <w:sz w:val="30"/>
                <w:szCs w:val="30"/>
              </w:rPr>
            </w:pPr>
            <w:r>
              <w:rPr>
                <w:rFonts w:ascii="黑体" w:eastAsia="黑体" w:hAnsi="黑体" w:cs="仿宋_GB2312" w:hint="eastAsia"/>
                <w:bCs/>
                <w:sz w:val="30"/>
                <w:szCs w:val="30"/>
              </w:rPr>
              <w:t>专栏3：南阳“一心、两带、四区”文化旅游发展新格局</w:t>
            </w:r>
          </w:p>
        </w:tc>
      </w:tr>
      <w:tr w:rsidR="00D92198">
        <w:trPr>
          <w:trHeight w:val="557"/>
          <w:jc w:val="center"/>
        </w:trPr>
        <w:tc>
          <w:tcPr>
            <w:tcW w:w="8360" w:type="dxa"/>
            <w:shd w:val="clear" w:color="auto" w:fill="auto"/>
          </w:tcPr>
          <w:p w:rsidR="00D92198" w:rsidRDefault="00AE1128">
            <w:pPr>
              <w:spacing w:line="600" w:lineRule="exact"/>
              <w:ind w:firstLineChars="100" w:firstLine="281"/>
              <w:rPr>
                <w:rFonts w:ascii="仿宋_GB2312" w:eastAsia="仿宋_GB2312" w:hAnsi="仿宋" w:cs="仿宋"/>
                <w:sz w:val="28"/>
                <w:szCs w:val="28"/>
              </w:rPr>
            </w:pPr>
            <w:r>
              <w:rPr>
                <w:rFonts w:ascii="仿宋_GB2312" w:eastAsia="仿宋_GB2312" w:hAnsi="仿宋" w:cs="仿宋" w:hint="eastAsia"/>
                <w:b/>
                <w:bCs/>
                <w:sz w:val="28"/>
                <w:szCs w:val="28"/>
              </w:rPr>
              <w:t>“一心”即：</w:t>
            </w:r>
            <w:r>
              <w:rPr>
                <w:rFonts w:ascii="仿宋_GB2312" w:eastAsia="仿宋_GB2312" w:hAnsi="仿宋" w:cs="仿宋" w:hint="eastAsia"/>
                <w:sz w:val="28"/>
                <w:szCs w:val="28"/>
              </w:rPr>
              <w:t>南阳旅游中央活力城，开发卧龙岗、南阳古城、南阳府衙、医圣祠、张衡科技文化园、范蠡故里、白河国家湿地公园、独山森林公园、南阳月季、南阳玉雕等资源，构建两汉三国文化主题旅游线路。</w:t>
            </w:r>
          </w:p>
          <w:p w:rsidR="00D92198" w:rsidRDefault="00AE1128">
            <w:pPr>
              <w:spacing w:line="600" w:lineRule="exact"/>
              <w:ind w:firstLineChars="200" w:firstLine="562"/>
              <w:rPr>
                <w:rFonts w:ascii="仿宋_GB2312" w:eastAsia="仿宋_GB2312" w:hAnsi="仿宋" w:cs="仿宋"/>
                <w:sz w:val="28"/>
                <w:szCs w:val="28"/>
              </w:rPr>
            </w:pPr>
            <w:r>
              <w:rPr>
                <w:rFonts w:ascii="仿宋_GB2312" w:eastAsia="仿宋_GB2312" w:hAnsi="仿宋" w:cs="仿宋" w:hint="eastAsia"/>
                <w:b/>
                <w:bCs/>
                <w:sz w:val="28"/>
                <w:szCs w:val="28"/>
              </w:rPr>
              <w:t>“两带”即:</w:t>
            </w:r>
            <w:r>
              <w:rPr>
                <w:rFonts w:ascii="仿宋_GB2312" w:eastAsia="仿宋_GB2312" w:hAnsi="仿宋" w:cs="仿宋" w:hint="eastAsia"/>
                <w:sz w:val="28"/>
                <w:szCs w:val="28"/>
              </w:rPr>
              <w:t>南水北调中线旅游带，推进渠首风光领略、移民文化体验、怀旧乡村追忆、独山生态花园、运河乡村人家、湖山生态度假、火烧博望原景重现、古代官衙驿站和古今水利工程对比等体验项目建设；万里茶道文化旅游带，串联茶道沿线景区、景点、乡村旅游资源，以赊店古镇为引擎，以唐河百里画廊和宛洛魅力古道为重点支撑，带动沿线产旅融合旅游项目发展。</w:t>
            </w:r>
          </w:p>
          <w:p w:rsidR="00D92198" w:rsidRDefault="00AE1128">
            <w:pPr>
              <w:spacing w:line="600" w:lineRule="exact"/>
              <w:ind w:firstLineChars="200" w:firstLine="562"/>
              <w:rPr>
                <w:rFonts w:ascii="仿宋_GB2312"/>
              </w:rPr>
            </w:pPr>
            <w:r>
              <w:rPr>
                <w:rFonts w:ascii="仿宋_GB2312" w:eastAsia="仿宋_GB2312" w:hAnsi="仿宋" w:cs="仿宋" w:hint="eastAsia"/>
                <w:b/>
                <w:bCs/>
                <w:sz w:val="28"/>
                <w:szCs w:val="28"/>
              </w:rPr>
              <w:t>“四区”即：</w:t>
            </w:r>
            <w:r>
              <w:rPr>
                <w:rFonts w:ascii="仿宋_GB2312" w:eastAsia="仿宋_GB2312" w:hAnsi="仿宋" w:cs="仿宋" w:hint="eastAsia"/>
                <w:sz w:val="28"/>
                <w:szCs w:val="28"/>
              </w:rPr>
              <w:t>南阳历史文化旅游区，推进镇平玉文化旅游区、内乡县衙、新野三国文化旅游城、邓州花洲书院等项目建设。伏牛</w:t>
            </w:r>
            <w:r>
              <w:rPr>
                <w:rFonts w:ascii="仿宋_GB2312" w:eastAsia="仿宋_GB2312" w:hAnsi="仿宋" w:cs="仿宋" w:hint="eastAsia"/>
                <w:sz w:val="28"/>
                <w:szCs w:val="28"/>
              </w:rPr>
              <w:lastRenderedPageBreak/>
              <w:t>山生态度假旅游区，推进老界岭、宝天曼、五朵山、恐龙文化产业园、老君洞、西峡仲景养生小镇、方城七峰山-七十二潭旅游区、南召莲花温泉旅游度假区、西峡花香果海田园综合体、南召玉兰小镇、鸭河张衡航空文化小镇、京德啤酒小镇等项目建设，做优做精中医养生、温泉疗养等康养品牌。丹江湖水生态休闲旅游区，推进丹江湖旅游区、淅川县城、荆紫关古镇三大旅游组团建设，推进邓州杏山韩营渠首精神红色教育和渠首特色旅游小镇建设。桐柏山红色淮源旅游区，重点推进桐柏淮源景区、桐柏红叶景区、石柱山-九龙湖旅游区等项目建设。</w:t>
            </w:r>
          </w:p>
        </w:tc>
      </w:tr>
    </w:tbl>
    <w:p w:rsidR="00D92198" w:rsidRDefault="00D92198">
      <w:pPr>
        <w:spacing w:line="600" w:lineRule="exact"/>
        <w:ind w:firstLineChars="200" w:firstLine="643"/>
        <w:rPr>
          <w:rFonts w:ascii="仿宋_GB2312" w:eastAsia="仿宋_GB2312" w:hAnsi="仿宋" w:cs="仿宋"/>
          <w:b/>
          <w:kern w:val="0"/>
          <w:sz w:val="32"/>
          <w:szCs w:val="32"/>
        </w:rPr>
      </w:pPr>
      <w:bookmarkStart w:id="11" w:name="_Toc464135008"/>
      <w:bookmarkStart w:id="12" w:name="_Toc457057240"/>
    </w:p>
    <w:p w:rsidR="00D92198" w:rsidRDefault="00AE1128">
      <w:pPr>
        <w:spacing w:line="600" w:lineRule="exact"/>
        <w:ind w:firstLineChars="200" w:firstLine="643"/>
        <w:rPr>
          <w:rFonts w:ascii="仿宋_GB2312" w:eastAsia="仿宋_GB2312" w:hAnsi="仿宋" w:cs="仿宋"/>
          <w:sz w:val="32"/>
          <w:szCs w:val="32"/>
        </w:rPr>
      </w:pPr>
      <w:r>
        <w:rPr>
          <w:rFonts w:ascii="仿宋_GB2312" w:eastAsia="仿宋_GB2312" w:hAnsi="仿宋" w:cs="仿宋" w:hint="eastAsia"/>
          <w:b/>
          <w:kern w:val="0"/>
          <w:sz w:val="32"/>
          <w:szCs w:val="32"/>
        </w:rPr>
        <w:t>——现代商贸。</w:t>
      </w:r>
      <w:r>
        <w:rPr>
          <w:rFonts w:ascii="仿宋_GB2312" w:eastAsia="仿宋_GB2312" w:hAnsi="仿宋" w:cs="仿宋" w:hint="eastAsia"/>
          <w:sz w:val="32"/>
          <w:szCs w:val="32"/>
        </w:rPr>
        <w:t>按照城中大商场、城内大商圈、城外大市场的基本思路，规划建设现代商贸中心。加快新城区商圈培育引导，建设集购物、餐饮、休闲、娱乐、体验等功能于一体的现代品质型城市商业综合体。应用现代经营理念和信息技术，加快改造提升老城区商业，采用连锁经营、快递配送、线上线下等先进模式，发展大超市、专卖店、连锁经营店等业态。县城加快建设一批商贸中心，改造提升现有农产品交易等市场。支持餐饮业品牌战略，大力发展地方特色小吃，培育地方特色餐饮品牌和老字号餐饮企业，加快发展一批星级酒店和经济型连锁酒店。</w:t>
      </w:r>
    </w:p>
    <w:p w:rsidR="00D92198" w:rsidRDefault="00AE1128">
      <w:pPr>
        <w:spacing w:line="600" w:lineRule="exact"/>
        <w:ind w:firstLineChars="200" w:firstLine="643"/>
        <w:rPr>
          <w:rFonts w:ascii="仿宋_GB2312" w:eastAsia="仿宋_GB2312" w:hAnsi="仿宋" w:cs="仿宋"/>
          <w:sz w:val="32"/>
          <w:szCs w:val="32"/>
        </w:rPr>
      </w:pPr>
      <w:r>
        <w:rPr>
          <w:rFonts w:ascii="仿宋_GB2312" w:eastAsia="仿宋_GB2312" w:hAnsi="仿宋" w:cs="仿宋" w:hint="eastAsia"/>
          <w:b/>
          <w:kern w:val="0"/>
          <w:sz w:val="32"/>
          <w:szCs w:val="32"/>
        </w:rPr>
        <w:t>——健康养生养老。</w:t>
      </w:r>
      <w:r>
        <w:rPr>
          <w:rFonts w:ascii="仿宋_GB2312" w:eastAsia="仿宋_GB2312" w:hAnsi="仿宋" w:cs="仿宋" w:hint="eastAsia"/>
          <w:sz w:val="32"/>
          <w:szCs w:val="32"/>
        </w:rPr>
        <w:t>发挥南阳独特的自然资源和仲景文化</w:t>
      </w:r>
      <w:r>
        <w:rPr>
          <w:rFonts w:ascii="仿宋_GB2312" w:eastAsia="仿宋_GB2312" w:hAnsi="仿宋" w:cs="仿宋" w:hint="eastAsia"/>
          <w:sz w:val="32"/>
          <w:szCs w:val="32"/>
        </w:rPr>
        <w:lastRenderedPageBreak/>
        <w:t>优势，加快实施张仲景健康城、仲景文化品牌铸造工程，推进县市区中医院提质升级，培育壮大康养龙头企业，打响“中医圣地、养生之城”品牌。按照文旅、中医药等优势资源和康养产业共享客源、共同促进、产业融合的发展思路，统筹城乡、区域康养产业资源配置，深入挖掘各县市区特色，培养一批不同定位的产业集群和知名品牌，运用物联网、互联网、智能呼叫等信息技术，创新“平台+服务+康养+终端”的智慧康养服务模式，打造以文旅康养和中医药康养为主导，以数字康养为支撑，以特色康养产业为亮点的产业体系。组建产业发展平台，推动康养产业科技研发、成果推广应用，引进高端人才，完善产业人才培养机制，形成全产业、全域型康养产业网络结构。大力发展“候鸟型养老”“生态度假基地养老”“农家体验养老”等新型养老发展模式，建成区域一流、全国知名的健康养生之都。</w:t>
      </w:r>
    </w:p>
    <w:p w:rsidR="00D92198" w:rsidRDefault="00AE1128" w:rsidP="00A61652">
      <w:pPr>
        <w:spacing w:afterLines="100" w:after="312" w:line="600" w:lineRule="exact"/>
        <w:ind w:firstLineChars="200" w:firstLine="643"/>
        <w:rPr>
          <w:rFonts w:ascii="仿宋" w:eastAsia="仿宋" w:hAnsi="仿宋"/>
          <w:sz w:val="32"/>
          <w:szCs w:val="32"/>
        </w:rPr>
      </w:pPr>
      <w:r>
        <w:rPr>
          <w:rFonts w:ascii="仿宋_GB2312" w:eastAsia="仿宋_GB2312" w:hAnsi="仿宋" w:cs="仿宋" w:hint="eastAsia"/>
          <w:b/>
          <w:kern w:val="0"/>
          <w:sz w:val="32"/>
          <w:szCs w:val="32"/>
        </w:rPr>
        <w:t>——家政服务。</w:t>
      </w:r>
      <w:r>
        <w:rPr>
          <w:rFonts w:ascii="仿宋_GB2312" w:eastAsia="仿宋_GB2312" w:hAnsi="仿宋" w:cs="仿宋" w:hint="eastAsia"/>
          <w:kern w:val="0"/>
          <w:sz w:val="32"/>
          <w:szCs w:val="32"/>
        </w:rPr>
        <w:t>以建设省级家政服务业提质扩容试点城市为引领，实施家政服务业提升行动，推动家政企业做大做强</w:t>
      </w:r>
      <w:r>
        <w:rPr>
          <w:rFonts w:ascii="仿宋_GB2312" w:eastAsia="仿宋_GB2312" w:hAnsi="仿宋" w:cs="仿宋"/>
          <w:kern w:val="0"/>
          <w:sz w:val="32"/>
          <w:szCs w:val="32"/>
        </w:rPr>
        <w:t>,</w:t>
      </w:r>
      <w:r>
        <w:rPr>
          <w:rFonts w:ascii="仿宋_GB2312" w:eastAsia="仿宋_GB2312" w:hAnsi="仿宋" w:cs="仿宋" w:hint="eastAsia"/>
          <w:kern w:val="0"/>
          <w:sz w:val="32"/>
          <w:szCs w:val="32"/>
        </w:rPr>
        <w:t>推广运作规范的家政企业发展成功经验和员工制发展模式，鼓励家政企业规模化、连锁化、品牌化发展。健全职业培训制度，大力提升职业化水平，依托现有职业院校、职业技能培训机构，增设家政服务相关专业和培训项目，完善家政服务产教融合实训基地建设。建立完善家政企业和从业人员信用记录和信用档</w:t>
      </w:r>
      <w:r>
        <w:rPr>
          <w:rFonts w:ascii="仿宋_GB2312" w:eastAsia="仿宋_GB2312" w:hAnsi="仿宋" w:cs="仿宋" w:hint="eastAsia"/>
          <w:kern w:val="0"/>
          <w:sz w:val="32"/>
          <w:szCs w:val="32"/>
        </w:rPr>
        <w:lastRenderedPageBreak/>
        <w:t>案，规范家政服务标准，提升家政服务水平。</w:t>
      </w:r>
    </w:p>
    <w:bookmarkEnd w:id="11"/>
    <w:bookmarkEnd w:id="12"/>
    <w:p w:rsidR="00D92198" w:rsidRDefault="00AE1128" w:rsidP="00A61652">
      <w:pPr>
        <w:spacing w:afterLines="50" w:after="156"/>
        <w:jc w:val="center"/>
        <w:rPr>
          <w:rFonts w:ascii="黑体" w:eastAsia="黑体" w:hAnsi="黑体"/>
          <w:bCs/>
          <w:sz w:val="32"/>
          <w:szCs w:val="32"/>
        </w:rPr>
      </w:pPr>
      <w:r>
        <w:rPr>
          <w:rFonts w:ascii="黑体" w:eastAsia="黑体" w:hAnsi="黑体" w:hint="eastAsia"/>
          <w:bCs/>
          <w:sz w:val="32"/>
          <w:szCs w:val="32"/>
        </w:rPr>
        <w:t>第十一章  加快建设数字南阳</w:t>
      </w:r>
    </w:p>
    <w:p w:rsidR="00D92198" w:rsidRDefault="00AE1128" w:rsidP="00A61652">
      <w:pPr>
        <w:spacing w:afterLines="100" w:after="312"/>
        <w:ind w:firstLineChars="200" w:firstLine="640"/>
        <w:rPr>
          <w:rFonts w:ascii="仿宋_GB2312" w:eastAsia="仿宋_GB2312" w:hAnsi="仿宋_GB2312" w:cs="仿宋_GB2312"/>
          <w:sz w:val="32"/>
          <w:szCs w:val="32"/>
        </w:rPr>
      </w:pPr>
      <w:r>
        <w:rPr>
          <w:rFonts w:ascii="仿宋_GB2312" w:eastAsia="仿宋_GB2312" w:hAnsi="仿宋" w:cs="仿宋" w:hint="eastAsia"/>
          <w:kern w:val="0"/>
          <w:sz w:val="32"/>
          <w:szCs w:val="32"/>
        </w:rPr>
        <w:t>推动数字产业化和产业数字化，促进数字经济和实体经济深度融合，催生新产业新业态新模式</w:t>
      </w:r>
      <w:r>
        <w:rPr>
          <w:rFonts w:ascii="仿宋_GB2312" w:eastAsia="仿宋_GB2312" w:hAnsi="仿宋_GB2312" w:cs="仿宋_GB2312" w:hint="eastAsia"/>
          <w:sz w:val="32"/>
          <w:szCs w:val="32"/>
        </w:rPr>
        <w:t>。</w:t>
      </w:r>
    </w:p>
    <w:p w:rsidR="00D92198" w:rsidRDefault="00AE1128" w:rsidP="00A61652">
      <w:pPr>
        <w:spacing w:afterLines="50" w:after="156"/>
        <w:jc w:val="center"/>
        <w:rPr>
          <w:rFonts w:ascii="楷体_GB2312" w:eastAsia="楷体_GB2312" w:hAnsi="仿宋_GB2312" w:cs="仿宋_GB2312"/>
          <w:b/>
          <w:sz w:val="32"/>
          <w:szCs w:val="32"/>
        </w:rPr>
      </w:pPr>
      <w:r>
        <w:rPr>
          <w:rFonts w:ascii="楷体_GB2312" w:eastAsia="楷体_GB2312" w:hAnsi="仿宋_GB2312" w:cs="仿宋_GB2312" w:hint="eastAsia"/>
          <w:b/>
          <w:sz w:val="32"/>
          <w:szCs w:val="32"/>
        </w:rPr>
        <w:t>第一节  推进数字产业化发展</w:t>
      </w:r>
    </w:p>
    <w:p w:rsidR="00D92198" w:rsidRDefault="00AE1128" w:rsidP="00A61652">
      <w:pPr>
        <w:spacing w:afterLines="100" w:after="312"/>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坚持以市场换产业，以资源汇项目，推动社会治理、农业农村、文化旅游等大数据产业的发展和应用。大力引进和培育大数据产业发展上下游企业，积极与数脑、数网、数纽、数链、数盾等独角兽企业沟通对接，助推我市特色大数据产业发展。加大对产业园政策支持力度，以中关村e谷（南阳）软件创新创业基地、白河大数据产业园等为载体，提升产业园数据汇聚、融合、处理、应用、交易、流通能力。紧盯新技术、新业态市场化发展方向，加快发展无人驾驶车载显示系统、安防系统、工业视觉系统、生物医疗检测设备和微显示投影设备、</w:t>
      </w:r>
      <w:r>
        <w:rPr>
          <w:rFonts w:ascii="仿宋_GB2312" w:eastAsia="仿宋_GB2312" w:hAnsi="仿宋_GB2312" w:cs="仿宋_GB2312"/>
          <w:sz w:val="32"/>
          <w:szCs w:val="32"/>
        </w:rPr>
        <w:t>LED</w:t>
      </w:r>
      <w:r>
        <w:rPr>
          <w:rFonts w:ascii="仿宋_GB2312" w:eastAsia="仿宋_GB2312" w:hAnsi="仿宋_GB2312" w:cs="仿宋_GB2312" w:hint="eastAsia"/>
          <w:sz w:val="32"/>
          <w:szCs w:val="32"/>
        </w:rPr>
        <w:t>显示及照明器件等高端产品。加快南阳柯丽尔智慧医疗产业园、卧龙综保区数字经济产业园建设。争取国家北斗导航位置服务河南分中心落户南阳。大力培育线上教育、互联网医疗、线上办公、数字化治理等线上服务新业态。推广线上线下融合服务，探索以物质生产资料数字化支撑共享共用，发展共享生活、共</w:t>
      </w:r>
      <w:r>
        <w:rPr>
          <w:rFonts w:ascii="仿宋_GB2312" w:eastAsia="仿宋_GB2312" w:hAnsi="仿宋_GB2312" w:cs="仿宋_GB2312" w:hint="eastAsia"/>
          <w:sz w:val="32"/>
          <w:szCs w:val="32"/>
        </w:rPr>
        <w:lastRenderedPageBreak/>
        <w:t>享生产、共享生产资料、数据要素流通等共享新模式。</w:t>
      </w:r>
    </w:p>
    <w:p w:rsidR="00D92198" w:rsidRDefault="00AE1128" w:rsidP="00A61652">
      <w:pPr>
        <w:spacing w:afterLines="100" w:after="312"/>
        <w:jc w:val="center"/>
        <w:rPr>
          <w:rFonts w:ascii="楷体_GB2312" w:eastAsia="楷体_GB2312" w:hAnsi="仿宋_GB2312" w:cs="仿宋_GB2312"/>
          <w:b/>
          <w:sz w:val="32"/>
          <w:szCs w:val="32"/>
        </w:rPr>
      </w:pPr>
      <w:r>
        <w:rPr>
          <w:rFonts w:ascii="楷体_GB2312" w:eastAsia="楷体_GB2312" w:hAnsi="仿宋_GB2312" w:cs="仿宋_GB2312" w:hint="eastAsia"/>
          <w:b/>
          <w:sz w:val="32"/>
          <w:szCs w:val="32"/>
        </w:rPr>
        <w:t>第二节  推动产业数字化转型</w:t>
      </w:r>
    </w:p>
    <w:p w:rsidR="00D92198" w:rsidRDefault="00AE1128" w:rsidP="00A61652">
      <w:pPr>
        <w:pStyle w:val="1"/>
        <w:keepNext w:val="0"/>
        <w:keepLines w:val="0"/>
        <w:spacing w:before="0" w:afterLines="100" w:after="312" w:line="620" w:lineRule="exact"/>
        <w:ind w:firstLineChars="200" w:firstLine="640"/>
        <w:rPr>
          <w:rFonts w:ascii="仿宋_GB2312" w:eastAsia="仿宋_GB2312" w:hAnsi="仿宋_GB2312" w:cs="仿宋_GB2312"/>
          <w:b w:val="0"/>
          <w:bCs w:val="0"/>
          <w:kern w:val="2"/>
          <w:sz w:val="32"/>
          <w:szCs w:val="32"/>
        </w:rPr>
      </w:pPr>
      <w:r>
        <w:rPr>
          <w:rFonts w:ascii="仿宋_GB2312" w:eastAsia="仿宋_GB2312" w:hAnsi="仿宋_GB2312" w:cs="仿宋_GB2312" w:hint="eastAsia"/>
          <w:b w:val="0"/>
          <w:bCs w:val="0"/>
          <w:kern w:val="2"/>
          <w:sz w:val="32"/>
          <w:szCs w:val="32"/>
        </w:rPr>
        <w:t>拓展“数字+”“智能+”应用领域，推进企业“上云用数赋能”，打造“智能制造</w:t>
      </w:r>
      <w:r>
        <w:rPr>
          <w:rFonts w:ascii="仿宋_GB2312" w:eastAsia="仿宋_GB2312" w:hAnsi="仿宋_GB2312" w:cs="仿宋_GB2312"/>
          <w:b w:val="0"/>
          <w:bCs w:val="0"/>
          <w:kern w:val="2"/>
          <w:sz w:val="32"/>
          <w:szCs w:val="32"/>
        </w:rPr>
        <w:t>+</w:t>
      </w:r>
      <w:r>
        <w:rPr>
          <w:rFonts w:ascii="仿宋_GB2312" w:eastAsia="仿宋_GB2312" w:hAnsi="仿宋_GB2312" w:cs="仿宋_GB2312" w:hint="eastAsia"/>
          <w:b w:val="0"/>
          <w:bCs w:val="0"/>
          <w:kern w:val="2"/>
          <w:sz w:val="32"/>
          <w:szCs w:val="32"/>
        </w:rPr>
        <w:t>智能服务”全产业链，助推传统制造产业改造升级。加快高档数控机床、工业机器人、增材制造装备、智能传感与控制装备、智能检测与装配装备、智能物流与仓储装备等关键技术装备在生产过程的集成应用。加强5G、大数据、云计算、物联网、区块链等技术应用，发展数字农业、智慧物流，打造数字化转型企业标杆和典型应用场景。</w:t>
      </w:r>
    </w:p>
    <w:p w:rsidR="00D92198" w:rsidRDefault="00AE1128" w:rsidP="00A61652">
      <w:pPr>
        <w:spacing w:afterLines="100" w:after="312" w:line="620" w:lineRule="exact"/>
        <w:jc w:val="center"/>
        <w:rPr>
          <w:rFonts w:ascii="楷体_GB2312" w:eastAsia="楷体_GB2312" w:hAnsi="仿宋_GB2312" w:cs="仿宋_GB2312"/>
          <w:b/>
          <w:kern w:val="0"/>
          <w:sz w:val="32"/>
          <w:szCs w:val="32"/>
          <w:shd w:val="clear" w:color="auto" w:fill="FFFFFF"/>
        </w:rPr>
      </w:pPr>
      <w:r>
        <w:rPr>
          <w:rFonts w:ascii="楷体_GB2312" w:eastAsia="楷体_GB2312" w:hAnsi="仿宋_GB2312" w:cs="仿宋_GB2312" w:hint="eastAsia"/>
          <w:b/>
          <w:kern w:val="0"/>
          <w:sz w:val="32"/>
          <w:szCs w:val="32"/>
          <w:shd w:val="clear" w:color="auto" w:fill="FFFFFF"/>
        </w:rPr>
        <w:t>第三节  加快数字政府建设</w:t>
      </w:r>
    </w:p>
    <w:p w:rsidR="00D92198" w:rsidRDefault="00AE1128" w:rsidP="00A61652">
      <w:pPr>
        <w:spacing w:afterLines="100" w:after="312" w:line="60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推动政务信息化共建共用，强化政务信息系统集约建设、整合优化和互联互通，推进跨层级、跨系统、跨部门、跨业务管理和服务精准高效协同。完善电子政务外网，推进云网整合，建成市数字政府云。提升一体化在线政务服务平台功能，加强政务服务移动端“宛美办”APP建设，打造“指尖政府”。推进政府管理服务数字化转型，强化数据驱动和整体协同，营造数字化发展生态，促进政府效能提升和数据资源价值实现。加强数据资源统一规范管理，扩大基础公共信息数据有序开放。</w:t>
      </w:r>
      <w:r>
        <w:rPr>
          <w:rFonts w:ascii="仿宋_GB2312" w:eastAsia="仿宋_GB2312" w:hAnsi="仿宋_GB2312" w:cs="仿宋_GB2312" w:hint="eastAsia"/>
          <w:sz w:val="32"/>
          <w:szCs w:val="32"/>
        </w:rPr>
        <w:lastRenderedPageBreak/>
        <w:t>构建数据安全综合防御体系，加强涉及国家利益、商业秘密、个人隐私的数据保护。建立健全适应数字化发展的监管服务体系，加强对数字化发展的规划引导、政策支撑和规范管理，营造审慎包容的数字化发展环境。鼓励发展数字经济新业态新模式，促进平台经济、共享经济健康发展。</w:t>
      </w:r>
    </w:p>
    <w:p w:rsidR="00D92198" w:rsidRDefault="00AE1128" w:rsidP="00A61652">
      <w:pPr>
        <w:spacing w:afterLines="100" w:after="312" w:line="600" w:lineRule="exact"/>
        <w:jc w:val="center"/>
        <w:rPr>
          <w:rFonts w:ascii="楷体_GB2312" w:eastAsia="楷体_GB2312" w:hAnsi="仿宋_GB2312" w:cs="仿宋_GB2312"/>
          <w:b/>
          <w:kern w:val="0"/>
          <w:sz w:val="32"/>
          <w:szCs w:val="32"/>
          <w:shd w:val="clear" w:color="auto" w:fill="FFFFFF"/>
        </w:rPr>
      </w:pPr>
      <w:r>
        <w:rPr>
          <w:rFonts w:ascii="楷体_GB2312" w:eastAsia="楷体_GB2312" w:hAnsi="仿宋_GB2312" w:cs="仿宋_GB2312" w:hint="eastAsia"/>
          <w:b/>
          <w:kern w:val="0"/>
          <w:sz w:val="32"/>
          <w:szCs w:val="32"/>
          <w:shd w:val="clear" w:color="auto" w:fill="FFFFFF"/>
        </w:rPr>
        <w:t>第四节  加快新型智慧城市建设</w:t>
      </w:r>
    </w:p>
    <w:p w:rsidR="00D92198" w:rsidRDefault="00AE1128" w:rsidP="00A61652">
      <w:pPr>
        <w:spacing w:afterLines="100" w:after="312" w:line="600" w:lineRule="exact"/>
        <w:jc w:val="left"/>
        <w:rPr>
          <w:rFonts w:ascii="仿宋_GB2312" w:eastAsia="仿宋_GB2312" w:hAnsi="仿宋" w:cs="仿宋"/>
          <w:sz w:val="32"/>
          <w:szCs w:val="32"/>
        </w:rPr>
      </w:pPr>
      <w:r>
        <w:rPr>
          <w:rFonts w:ascii="仿宋_GB2312" w:eastAsia="仿宋_GB2312" w:hAnsi="仿宋_GB2312" w:cs="仿宋_GB2312" w:hint="eastAsia"/>
          <w:sz w:val="32"/>
          <w:szCs w:val="32"/>
        </w:rPr>
        <w:t xml:space="preserve">    把社会应急、公共安全、政务服务管理、营商环境优化作为智慧城市建设的重点，优先建设智慧城市基础设施，同步开展前沿应用开发和建设。坚持市县一体统建为原则、特色应用为补充的指导思想，把县城纳入“智慧城市总体规划”，统一部署，统筹推进。</w:t>
      </w:r>
      <w:r>
        <w:rPr>
          <w:rFonts w:ascii="仿宋_GB2312" w:eastAsia="仿宋_GB2312" w:hAnsi="仿宋" w:cs="仿宋" w:hint="eastAsia"/>
          <w:sz w:val="32"/>
          <w:szCs w:val="32"/>
        </w:rPr>
        <w:t>建立健全大数据资产管理体系，推动全域智能化应用服务实时可见、即时可判、全域可控、全程可溯，打造集运行管理、决策指挥、交流展示为一体的智慧南阳调度中心。</w:t>
      </w:r>
      <w:r>
        <w:rPr>
          <w:rFonts w:ascii="仿宋_GB2312" w:eastAsia="仿宋_GB2312" w:hAnsi="仿宋_GB2312" w:cs="仿宋_GB2312" w:hint="eastAsia"/>
          <w:sz w:val="32"/>
          <w:szCs w:val="32"/>
        </w:rPr>
        <w:t>实施智慧公安、智慧安全、智慧应急、智慧消防、智慧交通、智慧城管、智慧监管等信息惠民工程</w:t>
      </w:r>
      <w:r>
        <w:rPr>
          <w:rFonts w:ascii="仿宋_GB2312" w:eastAsia="仿宋_GB2312" w:hAnsi="仿宋" w:cs="仿宋" w:hint="eastAsia"/>
          <w:sz w:val="32"/>
          <w:szCs w:val="32"/>
        </w:rPr>
        <w:t>。依托政务数据共享交换平台，接入全市各领域数据、视频、系统、热线服务电话等实时共享信息，实现城市运行管理实况实时更新、多维展现，有效提升城市运行监控预警、应急响应和跨领域协同能力。建设“城市门户APP”和城市一卡通。</w:t>
      </w:r>
    </w:p>
    <w:p w:rsidR="00D92198" w:rsidRDefault="00AE1128" w:rsidP="00A61652">
      <w:pPr>
        <w:spacing w:afterLines="100" w:after="312" w:line="600" w:lineRule="exact"/>
        <w:jc w:val="center"/>
        <w:rPr>
          <w:rFonts w:ascii="黑体" w:eastAsia="黑体" w:hAnsi="黑体"/>
          <w:bCs/>
          <w:sz w:val="32"/>
          <w:szCs w:val="32"/>
        </w:rPr>
      </w:pPr>
      <w:r>
        <w:rPr>
          <w:rFonts w:ascii="黑体" w:eastAsia="黑体" w:hAnsi="黑体" w:hint="eastAsia"/>
          <w:bCs/>
          <w:sz w:val="32"/>
          <w:szCs w:val="32"/>
        </w:rPr>
        <w:lastRenderedPageBreak/>
        <w:t>第十二章 建设高能级产业载体</w:t>
      </w:r>
    </w:p>
    <w:p w:rsidR="00D92198" w:rsidRDefault="00AE1128" w:rsidP="00A61652">
      <w:pPr>
        <w:spacing w:afterLines="100" w:after="312" w:line="610" w:lineRule="exact"/>
        <w:ind w:firstLineChars="200" w:firstLine="640"/>
        <w:rPr>
          <w:rFonts w:ascii="仿宋_GB2312" w:eastAsia="仿宋_GB2312" w:hAnsi="仿宋" w:cs="仿宋"/>
          <w:kern w:val="0"/>
          <w:sz w:val="32"/>
          <w:szCs w:val="32"/>
        </w:rPr>
      </w:pPr>
      <w:r>
        <w:rPr>
          <w:rFonts w:ascii="仿宋_GB2312" w:eastAsia="仿宋_GB2312" w:hAnsi="仿宋" w:cs="仿宋" w:hint="eastAsia"/>
          <w:kern w:val="0"/>
          <w:sz w:val="32"/>
          <w:szCs w:val="32"/>
        </w:rPr>
        <w:t>坚持改革创新、绿色集约、特色发展，增强产业集聚区和服务业“两区”综合载体功能，打造产业高质量发展和产城融合先行区。</w:t>
      </w:r>
    </w:p>
    <w:p w:rsidR="00D92198" w:rsidRDefault="00AE1128" w:rsidP="00A61652">
      <w:pPr>
        <w:spacing w:afterLines="100" w:after="312" w:line="610" w:lineRule="exact"/>
        <w:jc w:val="center"/>
        <w:rPr>
          <w:rFonts w:ascii="楷体_GB2312" w:eastAsia="楷体_GB2312" w:hAnsi="仿宋" w:cs="仿宋"/>
          <w:b/>
          <w:kern w:val="0"/>
          <w:sz w:val="32"/>
          <w:szCs w:val="32"/>
        </w:rPr>
      </w:pPr>
      <w:r>
        <w:rPr>
          <w:rFonts w:ascii="楷体_GB2312" w:eastAsia="楷体_GB2312" w:hAnsi="仿宋" w:cs="仿宋" w:hint="eastAsia"/>
          <w:b/>
          <w:kern w:val="0"/>
          <w:sz w:val="32"/>
          <w:szCs w:val="32"/>
        </w:rPr>
        <w:t>第一节  全面推进产业集聚区“二次创业”</w:t>
      </w:r>
    </w:p>
    <w:p w:rsidR="00D92198" w:rsidRDefault="00AE1128" w:rsidP="00A61652">
      <w:pPr>
        <w:spacing w:afterLines="100" w:after="312" w:line="610" w:lineRule="exact"/>
        <w:ind w:firstLineChars="200" w:firstLine="640"/>
        <w:rPr>
          <w:rFonts w:ascii="仿宋_GB2312" w:eastAsia="仿宋_GB2312" w:hAnsi="仿宋_GB2312" w:cs="仿宋_GB2312"/>
          <w:kern w:val="0"/>
          <w:sz w:val="32"/>
          <w:szCs w:val="32"/>
          <w:shd w:val="clear" w:color="auto" w:fill="FFFFFF"/>
        </w:rPr>
      </w:pPr>
      <w:r>
        <w:rPr>
          <w:rFonts w:ascii="仿宋_GB2312" w:eastAsia="仿宋_GB2312" w:hAnsi="仿宋_GB2312" w:cs="仿宋_GB2312" w:hint="eastAsia"/>
          <w:kern w:val="0"/>
          <w:sz w:val="32"/>
          <w:szCs w:val="32"/>
          <w:shd w:val="clear" w:color="auto" w:fill="FFFFFF"/>
        </w:rPr>
        <w:t>推进产业集聚区体制机制创新，增强内生动力和发展活力。按照产业布局相对集中原则，围绕“主新特”产业，优化产业集聚区功能定位，在现有产业集聚区基础上谋划建设“主新特”专业园区，在中心城区规划建设现代中药、生物制品等一批产业专业园区。加大产业引育，完善产业配套，在产业集聚区布局一批技术研发转化、检验检测认证等产业平台。推进智能化示范园区建设。大力实施重点企业培育计划，设立产业发展基金，建设产业创新服务综合体，加快构建“创新平台</w:t>
      </w:r>
      <w:r>
        <w:rPr>
          <w:rFonts w:ascii="仿宋_GB2312" w:eastAsia="仿宋_GB2312" w:hAnsi="仿宋_GB2312" w:cs="仿宋_GB2312"/>
          <w:kern w:val="0"/>
          <w:sz w:val="32"/>
          <w:szCs w:val="32"/>
          <w:shd w:val="clear" w:color="auto" w:fill="FFFFFF"/>
        </w:rPr>
        <w:t>-孵化器-加速器-产业园区”一体的产业生态</w:t>
      </w:r>
      <w:r>
        <w:rPr>
          <w:rFonts w:ascii="仿宋_GB2312" w:eastAsia="仿宋_GB2312" w:hAnsi="仿宋_GB2312" w:cs="仿宋_GB2312" w:hint="eastAsia"/>
          <w:kern w:val="0"/>
          <w:sz w:val="32"/>
          <w:szCs w:val="32"/>
          <w:shd w:val="clear" w:color="auto" w:fill="FFFFFF"/>
        </w:rPr>
        <w:t>。以提升亩均收益为导向开展“百园增效”行动，健全闲置用地盘活利用和低效用地退出机制，结合产业集聚区企业分类综合评价结果，实施差异化资源要素配置政策，加快腾笼换鸟，提升产出效益水平。支持有条件的产业集聚区创建国家级、省级经济技术开发区。</w:t>
      </w:r>
    </w:p>
    <w:p w:rsidR="00D92198" w:rsidRDefault="00AE1128" w:rsidP="00A61652">
      <w:pPr>
        <w:spacing w:afterLines="100" w:after="312" w:line="610" w:lineRule="exact"/>
        <w:jc w:val="center"/>
        <w:rPr>
          <w:rFonts w:ascii="楷体_GB2312" w:eastAsia="楷体_GB2312" w:hAnsi="仿宋" w:cs="仿宋"/>
          <w:b/>
          <w:kern w:val="0"/>
          <w:sz w:val="32"/>
          <w:szCs w:val="32"/>
        </w:rPr>
      </w:pPr>
      <w:r>
        <w:rPr>
          <w:rFonts w:ascii="楷体_GB2312" w:eastAsia="楷体_GB2312" w:hAnsi="仿宋" w:cs="仿宋" w:hint="eastAsia"/>
          <w:b/>
          <w:kern w:val="0"/>
          <w:sz w:val="32"/>
          <w:szCs w:val="32"/>
        </w:rPr>
        <w:lastRenderedPageBreak/>
        <w:t>第二节  加快服务业“两区”转型发展</w:t>
      </w:r>
    </w:p>
    <w:p w:rsidR="00D92198" w:rsidRDefault="00AE1128" w:rsidP="00A61652">
      <w:pPr>
        <w:spacing w:afterLines="100" w:after="312" w:line="610" w:lineRule="exact"/>
        <w:ind w:firstLineChars="200" w:firstLine="640"/>
        <w:rPr>
          <w:rFonts w:ascii="仿宋_GB2312" w:eastAsia="仿宋_GB2312" w:hAnsi="仿宋" w:cs="仿宋"/>
          <w:kern w:val="0"/>
          <w:sz w:val="32"/>
          <w:szCs w:val="32"/>
        </w:rPr>
      </w:pPr>
      <w:r>
        <w:rPr>
          <w:rFonts w:ascii="仿宋_GB2312" w:eastAsia="仿宋_GB2312" w:hAnsi="仿宋" w:cs="仿宋" w:hint="eastAsia"/>
          <w:kern w:val="0"/>
          <w:sz w:val="32"/>
          <w:szCs w:val="32"/>
        </w:rPr>
        <w:t>优化商务中心区和服务业专业园区空间布局，精准产业定位，强化承载功能，推进创新型企业培育和重点项目建设，推动产业发展壮大。市商务中心区大力发展总部经济、电子商务、现代金融，推动各类商务服务机构集聚，形成一批区域高端商务服务平台。县商务中心区围绕产业升级，发展研发、设计、检测、投融资、人力资源等服务业，持续提升要素吸附和产业承载能力。强化现代物流、交易市场等生产性服务业与产业集聚区联动发展，推动公共平台升级、市场主体壮大、体制机制创新，形成产业特色鲜明、高端要素集聚、区域辐射能力强、配套功能完善的服务业专业园区。</w:t>
      </w:r>
    </w:p>
    <w:p w:rsidR="00D92198" w:rsidRDefault="00AE1128" w:rsidP="00A61652">
      <w:pPr>
        <w:pStyle w:val="a5"/>
        <w:spacing w:afterLines="100" w:after="312" w:line="600" w:lineRule="exact"/>
        <w:jc w:val="center"/>
        <w:rPr>
          <w:rFonts w:ascii="方正小标宋简体" w:eastAsia="方正小标宋简体" w:hAnsi="黑体"/>
          <w:sz w:val="32"/>
          <w:szCs w:val="32"/>
        </w:rPr>
      </w:pPr>
      <w:r>
        <w:rPr>
          <w:rFonts w:ascii="方正小标宋简体" w:eastAsia="方正小标宋简体" w:hAnsi="黑体" w:hint="eastAsia"/>
          <w:sz w:val="32"/>
          <w:szCs w:val="32"/>
        </w:rPr>
        <w:t>第四篇   全面实施乡村振兴战略，促进农业农村现代化</w:t>
      </w:r>
    </w:p>
    <w:p w:rsidR="00D92198" w:rsidRDefault="00AE1128" w:rsidP="00A61652">
      <w:pPr>
        <w:spacing w:afterLines="100" w:after="312" w:line="610" w:lineRule="exact"/>
        <w:ind w:firstLineChars="200" w:firstLine="640"/>
        <w:rPr>
          <w:rFonts w:ascii="仿宋_GB2312" w:eastAsia="仿宋_GB2312" w:hAnsi="仿宋" w:cs="仿宋"/>
          <w:kern w:val="0"/>
          <w:sz w:val="32"/>
          <w:szCs w:val="32"/>
        </w:rPr>
      </w:pPr>
      <w:bookmarkStart w:id="13" w:name="_Toc27387681"/>
      <w:r>
        <w:rPr>
          <w:rFonts w:ascii="仿宋_GB2312" w:eastAsia="仿宋_GB2312" w:hAnsi="仿宋" w:cs="仿宋" w:hint="eastAsia"/>
          <w:kern w:val="0"/>
          <w:sz w:val="32"/>
          <w:szCs w:val="32"/>
        </w:rPr>
        <w:t>坚持农业农村优先发展，全面推进乡村振兴，强化以工补农、以城带乡，推动形成工农互促、城乡互补、协调发展、共同繁荣的新型工农城乡关系，加快农业农村现代化，建设现代农业强市。</w:t>
      </w:r>
    </w:p>
    <w:p w:rsidR="00D92198" w:rsidRDefault="00AE1128" w:rsidP="00A61652">
      <w:pPr>
        <w:pStyle w:val="2"/>
        <w:spacing w:afterLines="100" w:after="312"/>
        <w:ind w:firstLineChars="0" w:firstLine="0"/>
        <w:jc w:val="center"/>
        <w:rPr>
          <w:rFonts w:ascii="黑体" w:hAnsi="黑体" w:cs="仿宋"/>
          <w:bCs/>
          <w:szCs w:val="32"/>
        </w:rPr>
      </w:pPr>
      <w:r>
        <w:rPr>
          <w:rFonts w:ascii="黑体" w:hAnsi="黑体" w:cs="仿宋" w:hint="eastAsia"/>
          <w:bCs/>
          <w:szCs w:val="32"/>
        </w:rPr>
        <w:t xml:space="preserve">第十三章  </w:t>
      </w:r>
      <w:bookmarkEnd w:id="13"/>
      <w:r>
        <w:rPr>
          <w:rFonts w:ascii="黑体" w:hAnsi="黑体" w:cs="楷体_GB2312"/>
          <w:bCs/>
          <w:szCs w:val="32"/>
        </w:rPr>
        <w:t>扛稳粮食安全政治责任</w:t>
      </w:r>
    </w:p>
    <w:p w:rsidR="00D92198" w:rsidRDefault="00AE1128" w:rsidP="00A61652">
      <w:pPr>
        <w:pStyle w:val="2"/>
        <w:spacing w:afterLines="100" w:after="312"/>
        <w:ind w:firstLine="640"/>
        <w:jc w:val="both"/>
        <w:rPr>
          <w:rFonts w:ascii="仿宋_GB2312" w:eastAsia="仿宋_GB2312" w:hAnsi="仿宋" w:cs="仿宋"/>
          <w:b/>
          <w:szCs w:val="32"/>
        </w:rPr>
      </w:pPr>
      <w:r>
        <w:rPr>
          <w:rFonts w:ascii="仿宋_GB2312" w:eastAsia="仿宋_GB2312" w:hAnsi="仿宋" w:cs="仿宋" w:hint="eastAsia"/>
          <w:szCs w:val="32"/>
        </w:rPr>
        <w:t>把确保重要农产品特别是粮食供给作为乡村振兴的首要任</w:t>
      </w:r>
      <w:r>
        <w:rPr>
          <w:rFonts w:ascii="仿宋_GB2312" w:eastAsia="仿宋_GB2312" w:hAnsi="仿宋" w:cs="仿宋" w:hint="eastAsia"/>
          <w:szCs w:val="32"/>
        </w:rPr>
        <w:lastRenderedPageBreak/>
        <w:t>务</w:t>
      </w:r>
      <w:r>
        <w:rPr>
          <w:rFonts w:ascii="仿宋_GB2312" w:eastAsia="仿宋_GB2312" w:hAnsi="仿宋_GB2312" w:cs="仿宋_GB2312" w:hint="eastAsia"/>
          <w:szCs w:val="32"/>
        </w:rPr>
        <w:t>，打造新时期国家粮食生产核心主产区，推动我市由粮食生产大市向粮食产业强市转变</w:t>
      </w:r>
      <w:r>
        <w:rPr>
          <w:rFonts w:ascii="仿宋_GB2312" w:eastAsia="仿宋_GB2312" w:hAnsi="仿宋" w:cs="仿宋" w:hint="eastAsia"/>
          <w:szCs w:val="32"/>
        </w:rPr>
        <w:t>。</w:t>
      </w:r>
    </w:p>
    <w:p w:rsidR="00D92198" w:rsidRDefault="00AE1128" w:rsidP="00A61652">
      <w:pPr>
        <w:pStyle w:val="2"/>
        <w:spacing w:afterLines="100" w:after="312"/>
        <w:ind w:firstLineChars="0" w:firstLine="0"/>
        <w:jc w:val="center"/>
        <w:rPr>
          <w:rFonts w:ascii="楷体_GB2312" w:eastAsia="楷体_GB2312" w:hAnsi="仿宋" w:cs="仿宋"/>
          <w:b/>
          <w:szCs w:val="32"/>
        </w:rPr>
      </w:pPr>
      <w:r>
        <w:rPr>
          <w:rFonts w:ascii="楷体_GB2312" w:eastAsia="楷体_GB2312" w:hAnsi="仿宋" w:cs="仿宋" w:hint="eastAsia"/>
          <w:b/>
          <w:szCs w:val="32"/>
        </w:rPr>
        <w:t>第一节  加大耕地保护力度</w:t>
      </w:r>
    </w:p>
    <w:p w:rsidR="00D92198" w:rsidRDefault="00AE1128" w:rsidP="00A61652">
      <w:pPr>
        <w:pStyle w:val="2"/>
        <w:tabs>
          <w:tab w:val="left" w:pos="312"/>
        </w:tabs>
        <w:spacing w:afterLines="100" w:after="312"/>
        <w:ind w:firstLineChars="196" w:firstLine="627"/>
        <w:jc w:val="both"/>
        <w:rPr>
          <w:rFonts w:ascii="仿宋_GB2312" w:eastAsia="仿宋_GB2312" w:hAnsi="仿宋_GB2312" w:cs="仿宋_GB2312"/>
          <w:szCs w:val="32"/>
        </w:rPr>
      </w:pPr>
      <w:r>
        <w:rPr>
          <w:rFonts w:ascii="仿宋_GB2312" w:eastAsia="仿宋_GB2312" w:hAnsi="仿宋_GB2312" w:cs="仿宋_GB2312" w:hint="eastAsia"/>
          <w:szCs w:val="32"/>
        </w:rPr>
        <w:t>探索推行“田长制”，落实最严格的耕地保护制度，采取“长牙齿”的硬措施，严守耕地红线，坚决制止耕地“非农化”、防止“非粮化”，确保全市耕地保有量在1283万亩以上，永久基本农田保护面积不低于1078万亩。加强耕地质量监测体系建设，完善耕地保护利益补偿机制，持续提升耕地质量。进一步完善土壤综合信息化平台和预警预测机制，及时反映耕地质量动态变化趋势。开展耕地质量定向培育，大力推广秸秆覆盖还田、增施有机肥、种植绿肥等地力提升技术模式，积极推广深耕深松等保护性耕作措施，推进农机农艺融合，着力改善土壤结构，提高耕地基础地力，提升耕地质量。</w:t>
      </w:r>
    </w:p>
    <w:p w:rsidR="00D92198" w:rsidRDefault="00AE1128" w:rsidP="00A61652">
      <w:pPr>
        <w:pStyle w:val="2"/>
        <w:spacing w:afterLines="100" w:after="312"/>
        <w:ind w:firstLineChars="0" w:firstLine="0"/>
        <w:jc w:val="center"/>
        <w:rPr>
          <w:rFonts w:ascii="楷体_GB2312" w:eastAsia="楷体_GB2312" w:hAnsi="仿宋" w:cs="仿宋"/>
          <w:b/>
          <w:szCs w:val="32"/>
        </w:rPr>
      </w:pPr>
      <w:r>
        <w:rPr>
          <w:rFonts w:ascii="楷体_GB2312" w:eastAsia="楷体_GB2312" w:hAnsi="仿宋" w:cs="仿宋" w:hint="eastAsia"/>
          <w:b/>
          <w:szCs w:val="32"/>
        </w:rPr>
        <w:t>第二节  加快高标准农田建设</w:t>
      </w:r>
    </w:p>
    <w:p w:rsidR="00D92198" w:rsidRDefault="00AE1128" w:rsidP="00A61652">
      <w:pPr>
        <w:pStyle w:val="2"/>
        <w:spacing w:afterLines="100" w:after="312"/>
        <w:ind w:firstLine="640"/>
        <w:jc w:val="both"/>
        <w:rPr>
          <w:rFonts w:ascii="仿宋_GB2312" w:eastAsia="仿宋_GB2312" w:hAnsi="仿宋" w:cs="仿宋"/>
          <w:szCs w:val="32"/>
        </w:rPr>
      </w:pPr>
      <w:r>
        <w:rPr>
          <w:rFonts w:ascii="仿宋_GB2312" w:eastAsia="仿宋_GB2312" w:hAnsi="仿宋_GB2312" w:cs="仿宋_GB2312" w:hint="eastAsia"/>
          <w:szCs w:val="32"/>
        </w:rPr>
        <w:t>深入实施“藏粮于地、藏粮于技”战略，加快推进高标准农田建设。加大农业水利设施建设力度，持续改善农田基础设施薄弱环节和灌排设施，构建大中小微结合、骨干和田间衔接、长期发挥效益的农田水利基础设施网络，推进智慧水利建设，发展高效节水灌溉，深化农业水价综合改革。</w:t>
      </w:r>
      <w:r>
        <w:rPr>
          <w:rFonts w:ascii="仿宋_GB2312" w:eastAsia="仿宋_GB2312" w:hAnsi="仿宋" w:cs="仿宋" w:hint="eastAsia"/>
          <w:szCs w:val="32"/>
        </w:rPr>
        <w:t>加强粮食生产功</w:t>
      </w:r>
      <w:r>
        <w:rPr>
          <w:rFonts w:ascii="仿宋_GB2312" w:eastAsia="仿宋_GB2312" w:hAnsi="仿宋" w:cs="仿宋" w:hint="eastAsia"/>
          <w:szCs w:val="32"/>
        </w:rPr>
        <w:lastRenderedPageBreak/>
        <w:t>能区、重要农产品生产保护区和绿色农产品优势区建设。支持产粮大县开展高标准农田建设新增耕地指标跨区域调剂使用。</w:t>
      </w:r>
    </w:p>
    <w:p w:rsidR="00D92198" w:rsidRDefault="00AE1128" w:rsidP="00A61652">
      <w:pPr>
        <w:pStyle w:val="2"/>
        <w:spacing w:afterLines="100" w:after="312"/>
        <w:ind w:firstLineChars="0" w:firstLine="0"/>
        <w:jc w:val="center"/>
        <w:rPr>
          <w:rFonts w:ascii="楷体_GB2312" w:eastAsia="楷体_GB2312" w:hAnsi="仿宋" w:cs="仿宋"/>
          <w:b/>
          <w:szCs w:val="32"/>
        </w:rPr>
      </w:pPr>
      <w:r>
        <w:rPr>
          <w:rFonts w:ascii="楷体_GB2312" w:eastAsia="楷体_GB2312" w:hAnsi="仿宋" w:cs="仿宋" w:hint="eastAsia"/>
          <w:b/>
          <w:szCs w:val="32"/>
        </w:rPr>
        <w:t>第三节  优化农业种植结构</w:t>
      </w:r>
    </w:p>
    <w:p w:rsidR="00D92198" w:rsidRDefault="00AE1128" w:rsidP="00A61652">
      <w:pPr>
        <w:pStyle w:val="2"/>
        <w:spacing w:afterLines="100" w:after="312"/>
        <w:ind w:firstLine="640"/>
        <w:jc w:val="both"/>
        <w:rPr>
          <w:rFonts w:ascii="仿宋_GB2312" w:eastAsia="仿宋_GB2312" w:hAnsi="仿宋" w:cs="仿宋"/>
          <w:szCs w:val="32"/>
        </w:rPr>
      </w:pPr>
      <w:r>
        <w:rPr>
          <w:rFonts w:ascii="仿宋_GB2312" w:eastAsia="仿宋_GB2312" w:hAnsi="仿宋_GB2312" w:cs="仿宋_GB2312" w:hint="eastAsia"/>
          <w:szCs w:val="32"/>
        </w:rPr>
        <w:t>稳定粮食补贴、保险、奖励等支持政策，</w:t>
      </w:r>
      <w:r>
        <w:rPr>
          <w:rFonts w:ascii="仿宋_GB2312" w:eastAsia="仿宋_GB2312" w:hAnsi="仿宋" w:cs="仿宋" w:hint="eastAsia"/>
          <w:szCs w:val="32"/>
        </w:rPr>
        <w:t>引导种粮大户、家庭农场、农民合作社、龙头企业等新型农业经营主体发展。规模化发展优质中筋、强筋专用小麦，整建制推进小麦高产创建。调优玉米种植结构，适当压缩普通玉米面积，选择牛羊饲养基础好的县(市)，依托牛羊产业化龙头企业，扩大全株青贮玉米种植面积，推动牛羊饲养从籽粒饲喂向全株青贮饲喂适度转变，推广高赖氨酸玉米、高油玉米等加工专用品种。推广玉米大豆轮作、小麦大豆轮作或玉米大豆间作套种，推广种植优质高蛋白食用大豆，适当恢复大豆种植面积。开展杂粮杂豆适应性种植，扩大芝麻、红薯、绿豆等有区域特色的杂粮杂豆种植面积。</w:t>
      </w:r>
    </w:p>
    <w:p w:rsidR="00D92198" w:rsidRDefault="00AE1128" w:rsidP="00A61652">
      <w:pPr>
        <w:pStyle w:val="2"/>
        <w:spacing w:afterLines="100" w:after="312"/>
        <w:ind w:firstLineChars="0" w:firstLine="0"/>
        <w:jc w:val="center"/>
        <w:rPr>
          <w:rFonts w:ascii="黑体" w:hAnsi="黑体" w:cs="仿宋"/>
          <w:bCs/>
          <w:szCs w:val="32"/>
        </w:rPr>
      </w:pPr>
      <w:r>
        <w:rPr>
          <w:rFonts w:ascii="黑体" w:hAnsi="黑体" w:cs="仿宋" w:hint="eastAsia"/>
          <w:bCs/>
          <w:szCs w:val="32"/>
        </w:rPr>
        <w:t>第十四章  提高农业质量效益和竞争力</w:t>
      </w:r>
    </w:p>
    <w:p w:rsidR="00D92198" w:rsidRDefault="00AE1128" w:rsidP="00A61652">
      <w:pPr>
        <w:pStyle w:val="2"/>
        <w:spacing w:afterLines="100" w:after="312"/>
        <w:ind w:firstLine="640"/>
        <w:jc w:val="both"/>
        <w:rPr>
          <w:rFonts w:ascii="仿宋_GB2312" w:eastAsia="仿宋_GB2312" w:hAnsi="仿宋" w:cs="仿宋"/>
          <w:szCs w:val="32"/>
        </w:rPr>
      </w:pPr>
      <w:r>
        <w:rPr>
          <w:rFonts w:ascii="仿宋_GB2312" w:eastAsia="仿宋_GB2312" w:hAnsi="仿宋" w:cs="仿宋" w:hint="eastAsia"/>
          <w:szCs w:val="32"/>
        </w:rPr>
        <w:t>坚持绿色兴农、质量兴农、品牌强农，深入推进农业供给侧结构性改革，持续实施“三千四特”工程，推动农业高质量发展。</w:t>
      </w:r>
    </w:p>
    <w:p w:rsidR="00D92198" w:rsidRDefault="00AE1128" w:rsidP="00A61652">
      <w:pPr>
        <w:pStyle w:val="2"/>
        <w:spacing w:afterLines="100" w:after="312"/>
        <w:ind w:firstLineChars="0" w:firstLine="0"/>
        <w:jc w:val="center"/>
        <w:rPr>
          <w:rFonts w:ascii="楷体_GB2312" w:eastAsia="楷体_GB2312" w:hAnsi="仿宋" w:cs="仿宋"/>
          <w:b/>
          <w:szCs w:val="32"/>
        </w:rPr>
      </w:pPr>
      <w:r>
        <w:rPr>
          <w:rFonts w:ascii="楷体_GB2312" w:eastAsia="楷体_GB2312" w:hAnsi="仿宋" w:cs="仿宋" w:hint="eastAsia"/>
          <w:b/>
          <w:szCs w:val="32"/>
        </w:rPr>
        <w:lastRenderedPageBreak/>
        <w:t>第一节  打造全国生猪全链条生产加工基地</w:t>
      </w:r>
    </w:p>
    <w:p w:rsidR="00D92198" w:rsidRDefault="00AE1128" w:rsidP="00A61652">
      <w:pPr>
        <w:spacing w:afterLines="100" w:after="312" w:line="600" w:lineRule="exact"/>
        <w:ind w:firstLineChars="200" w:firstLine="640"/>
        <w:rPr>
          <w:rFonts w:ascii="仿宋_GB2312" w:eastAsia="仿宋_GB2312" w:cs="仿宋"/>
          <w:kern w:val="0"/>
          <w:sz w:val="32"/>
          <w:szCs w:val="32"/>
        </w:rPr>
      </w:pPr>
      <w:r>
        <w:rPr>
          <w:rFonts w:ascii="仿宋_GB2312" w:eastAsia="仿宋_GB2312" w:hAnsi="仿宋_GB2312" w:cs="仿宋_GB2312" w:hint="eastAsia"/>
          <w:sz w:val="32"/>
          <w:szCs w:val="32"/>
        </w:rPr>
        <w:t>抢抓生猪产业升级重大机遇，加快推进牧原集团在南阳市域内“百场千万”工程建设，配套建设饲料加工、生猪屠宰、食品加工、装备制造等项目，形成生猪养殖2000万头、产值1500亿元以上的肉食产业集群。以建设全球猪肉食品链链长为目标，加快发展生猪养殖上游的农牧装备产业和下游的肉食品加工产业，打通从饲料加工、种猪育种、养殖到生猪屠宰、肉食品加工以及配套的物流、冷链、金融等现代猪产业全链条各环节，建设食品产业园、养猪产业大数据云中心、农牧装备制造园、智能装备制造园、生物制品生产、疫病检测等产业园区、工程技术研究中心和重点实验室，将南阳建成全国最大的肉食品生产加工基地。</w:t>
      </w:r>
      <w:r>
        <w:rPr>
          <w:rFonts w:ascii="仿宋_GB2312" w:eastAsia="仿宋_GB2312" w:cs="仿宋"/>
          <w:kern w:val="0"/>
          <w:sz w:val="32"/>
          <w:szCs w:val="32"/>
        </w:rPr>
        <w:t xml:space="preserve"> </w:t>
      </w:r>
    </w:p>
    <w:p w:rsidR="00D92198" w:rsidRDefault="00AE1128" w:rsidP="00A61652">
      <w:pPr>
        <w:pStyle w:val="2"/>
        <w:spacing w:afterLines="100" w:after="312"/>
        <w:ind w:firstLineChars="0" w:firstLine="0"/>
        <w:jc w:val="center"/>
        <w:rPr>
          <w:rFonts w:ascii="楷体_GB2312" w:eastAsia="楷体_GB2312" w:hAnsi="仿宋" w:cs="仿宋"/>
          <w:b/>
          <w:szCs w:val="32"/>
        </w:rPr>
      </w:pPr>
      <w:r>
        <w:rPr>
          <w:rFonts w:ascii="楷体_GB2312" w:eastAsia="楷体_GB2312" w:hAnsi="仿宋" w:cs="仿宋" w:hint="eastAsia"/>
          <w:b/>
          <w:szCs w:val="32"/>
        </w:rPr>
        <w:t>第二节  大力发展现代种业</w:t>
      </w:r>
    </w:p>
    <w:p w:rsidR="00D92198" w:rsidRDefault="00AE1128" w:rsidP="00A61652">
      <w:pPr>
        <w:pStyle w:val="2"/>
        <w:tabs>
          <w:tab w:val="left" w:pos="312"/>
        </w:tabs>
        <w:spacing w:afterLines="100" w:after="312"/>
        <w:ind w:firstLineChars="196" w:firstLine="627"/>
        <w:jc w:val="both"/>
        <w:rPr>
          <w:rFonts w:ascii="宋体" w:hAnsi="宋体"/>
        </w:rPr>
      </w:pPr>
      <w:r>
        <w:rPr>
          <w:rFonts w:ascii="仿宋_GB2312" w:eastAsia="仿宋_GB2312" w:hAnsi="仿宋" w:cs="仿宋" w:hint="eastAsia"/>
          <w:szCs w:val="32"/>
        </w:rPr>
        <w:t>开展种业基础性、公益性科研推广平台建设，支持有条件的育繁推一体化种业企业建设育种研发实验室，加快国家农作物新品种区域试验站建设。支持市农科院、南阳农业职业学院等农业科研院所开展“四优”（优质小麦、优质花生、优质草畜、优质林果）和主要特色农产品新品种研发选育。拓展与西北农林科技大学合作成果，深化草腐菌、玉兰、月季科研合作。</w:t>
      </w:r>
      <w:r>
        <w:rPr>
          <w:rFonts w:ascii="仿宋_GB2312" w:eastAsia="仿宋_GB2312" w:hAnsi="仿宋" w:cs="仿宋" w:hint="eastAsia"/>
          <w:szCs w:val="32"/>
        </w:rPr>
        <w:lastRenderedPageBreak/>
        <w:t>实施种业提升工程，开展农作物、畜禽、水产等资源保护和育种创新，推进南阳月季种质资源保护项目建设，加快邓州全国杂交小麦育种创新基地、唐河良种繁育基地、南召辛夷种质基因库、卧龙良种基因资源保护组培库、皮南牛新品种培育推广开发利用项目等建设，积极培育现代种业龙头企业，提升现代种业发展水平。</w:t>
      </w:r>
    </w:p>
    <w:p w:rsidR="00D92198" w:rsidRDefault="00AE1128" w:rsidP="00A61652">
      <w:pPr>
        <w:pStyle w:val="2"/>
        <w:spacing w:afterLines="100" w:after="312"/>
        <w:ind w:firstLineChars="0" w:firstLine="0"/>
        <w:jc w:val="center"/>
        <w:rPr>
          <w:rFonts w:ascii="楷体_GB2312" w:eastAsia="楷体_GB2312" w:hAnsi="仿宋" w:cs="仿宋"/>
          <w:b/>
          <w:szCs w:val="32"/>
        </w:rPr>
      </w:pPr>
      <w:r>
        <w:rPr>
          <w:rFonts w:ascii="楷体_GB2312" w:eastAsia="楷体_GB2312" w:hAnsi="仿宋" w:cs="仿宋" w:hint="eastAsia"/>
          <w:b/>
          <w:szCs w:val="32"/>
        </w:rPr>
        <w:t>第三节   加快农村产业融合发展</w:t>
      </w:r>
    </w:p>
    <w:p w:rsidR="00D92198" w:rsidRDefault="00AE1128" w:rsidP="00A61652">
      <w:pPr>
        <w:pStyle w:val="2"/>
        <w:tabs>
          <w:tab w:val="left" w:pos="312"/>
        </w:tabs>
        <w:spacing w:afterLines="100" w:after="312" w:line="580" w:lineRule="exact"/>
        <w:ind w:firstLineChars="196" w:firstLine="627"/>
        <w:jc w:val="both"/>
        <w:rPr>
          <w:rFonts w:ascii="仿宋_GB2312" w:eastAsia="仿宋_GB2312" w:hAnsi="仿宋_GB2312" w:cs="仿宋_GB2312"/>
          <w:szCs w:val="32"/>
        </w:rPr>
      </w:pPr>
      <w:r>
        <w:rPr>
          <w:rFonts w:ascii="仿宋_GB2312" w:eastAsia="仿宋_GB2312" w:hAnsi="仿宋_GB2312" w:cs="仿宋_GB2312" w:hint="eastAsia"/>
          <w:szCs w:val="32"/>
        </w:rPr>
        <w:t>推动农村一二三产业融合发展，延长农业产业链条，发展各具特色的现代乡村富民产业。巩固发展粮食、油料、畜牧、蔬菜四大基础产业，壮大提升食用菌、花卉苗木、中药材、林果四大特色产业。坚持“粮头食尾”“农头工尾”，大力发展农产品精深加工，扶持培育农业产业化龙头企业，延伸产业链、提升价值链、打造供应链，发展壮大肉、面、油、乳、酒、果蔬菌制品等产业集群。做大做强现代高效畜牧业。抓好长江（汉江）流域禁捕工作，促进水产健康养殖。加大科技投入和资金、人才支持力度，大力发展绿色有机农业，争创全国农产品质量安全市。做好商标、地理标识和气候好产品培育，积极推动优势产业纳入全省农产品品牌战略。加快现代化农业产业园建设，打造农业现代化示范区。做大做强月季产业，推进南阳月季博览园功能拓展和规模能级提升。丰富乡村经济业态，壮大休闲</w:t>
      </w:r>
      <w:r>
        <w:rPr>
          <w:rFonts w:ascii="仿宋_GB2312" w:eastAsia="仿宋_GB2312" w:hAnsi="仿宋_GB2312" w:cs="仿宋_GB2312" w:hint="eastAsia"/>
          <w:szCs w:val="32"/>
        </w:rPr>
        <w:lastRenderedPageBreak/>
        <w:t>农业、乡村旅游、民宿经济等特色产业。加强农产品仓储保鲜和冷链物流设施建设。推动“农业+旅</w:t>
      </w:r>
      <w:r>
        <w:rPr>
          <w:rFonts w:ascii="仿宋_GB2312" w:eastAsia="仿宋_GB2312" w:hAnsi="仿宋_GB2312" w:cs="仿宋_GB2312"/>
          <w:szCs w:val="32"/>
        </w:rPr>
        <w:t>游”“农业+教育”“农业+文化”“农业+康养”深度融合</w:t>
      </w:r>
      <w:r>
        <w:rPr>
          <w:rFonts w:ascii="仿宋_GB2312" w:eastAsia="仿宋_GB2312" w:hAnsi="仿宋_GB2312" w:cs="仿宋_GB2312" w:hint="eastAsia"/>
          <w:szCs w:val="32"/>
        </w:rPr>
        <w:t>，拓展农民增收空间。支持邓州打造全域一二三产业融合发展示范区。</w:t>
      </w:r>
    </w:p>
    <w:p w:rsidR="00D92198" w:rsidRDefault="00AE1128" w:rsidP="00A61652">
      <w:pPr>
        <w:pStyle w:val="2"/>
        <w:spacing w:afterLines="100" w:after="312" w:line="580" w:lineRule="exact"/>
        <w:ind w:firstLineChars="0" w:firstLine="0"/>
        <w:jc w:val="center"/>
        <w:rPr>
          <w:rFonts w:ascii="楷体_GB2312" w:eastAsia="楷体_GB2312" w:hAnsi="仿宋" w:cs="仿宋"/>
          <w:b/>
          <w:szCs w:val="32"/>
        </w:rPr>
      </w:pPr>
      <w:bookmarkStart w:id="14" w:name="_Toc27387682"/>
      <w:r>
        <w:rPr>
          <w:rFonts w:ascii="楷体_GB2312" w:eastAsia="楷体_GB2312" w:hAnsi="仿宋" w:cs="仿宋" w:hint="eastAsia"/>
          <w:b/>
          <w:szCs w:val="32"/>
        </w:rPr>
        <w:t>第四节  完善现代农业服务支撑体系</w:t>
      </w:r>
    </w:p>
    <w:p w:rsidR="00D92198" w:rsidRDefault="00AE1128" w:rsidP="00A61652">
      <w:pPr>
        <w:pStyle w:val="2"/>
        <w:tabs>
          <w:tab w:val="left" w:pos="312"/>
        </w:tabs>
        <w:spacing w:afterLines="100" w:after="312" w:line="580" w:lineRule="exact"/>
        <w:ind w:firstLineChars="196" w:firstLine="627"/>
        <w:jc w:val="both"/>
        <w:rPr>
          <w:rFonts w:ascii="仿宋_GB2312" w:eastAsia="仿宋_GB2312" w:hAnsi="仿宋_GB2312" w:cs="仿宋_GB2312"/>
          <w:szCs w:val="32"/>
        </w:rPr>
      </w:pPr>
      <w:r>
        <w:rPr>
          <w:rFonts w:ascii="仿宋_GB2312" w:eastAsia="仿宋_GB2312" w:hAnsi="仿宋_GB2312" w:cs="仿宋_GB2312" w:hint="eastAsia"/>
          <w:szCs w:val="32"/>
        </w:rPr>
        <w:t>加强农技推广体系建设，健全农技推广投入、保障、激励和管理等机制，完善以市级农技推广机构为龙头、县级为骨干、乡镇为支撑、村级为补充的四级新型农业科技服务体系。推进农业机械化转型升级，实现主要作物生产全程机械化，发展畜禽水产机械化养殖，系统推进设施农业和农产品初加工机械化。发展农机合作社等新型农机服务组织，推广“全程机械化+综合农事服务”社会化服务模式。加强动物疫病防控和农作物病虫害防治。建立健全农业信息化综合服务平台，打通农业科技信息服务“最后一公里”。推进智慧气象建设，健全农业气象灾害防治体系，强化现代气象为农服务。</w:t>
      </w:r>
    </w:p>
    <w:p w:rsidR="00D92198" w:rsidRDefault="00AE1128" w:rsidP="00A61652">
      <w:pPr>
        <w:pStyle w:val="2"/>
        <w:spacing w:afterLines="100" w:after="312" w:line="580" w:lineRule="exact"/>
        <w:ind w:firstLineChars="0" w:firstLine="0"/>
        <w:jc w:val="center"/>
        <w:rPr>
          <w:rFonts w:ascii="黑体" w:hAnsi="黑体" w:cs="仿宋"/>
          <w:szCs w:val="32"/>
        </w:rPr>
      </w:pPr>
      <w:bookmarkStart w:id="15" w:name="_Toc27387683"/>
      <w:bookmarkEnd w:id="14"/>
      <w:r>
        <w:rPr>
          <w:rFonts w:ascii="黑体" w:hAnsi="黑体" w:cs="仿宋" w:hint="eastAsia"/>
          <w:szCs w:val="32"/>
        </w:rPr>
        <w:t xml:space="preserve">第十五章  </w:t>
      </w:r>
      <w:bookmarkEnd w:id="15"/>
      <w:r>
        <w:rPr>
          <w:rFonts w:ascii="黑体" w:hAnsi="黑体" w:cs="仿宋" w:hint="eastAsia"/>
          <w:szCs w:val="32"/>
        </w:rPr>
        <w:t>实施乡村建设行动</w:t>
      </w:r>
    </w:p>
    <w:p w:rsidR="00D92198" w:rsidRDefault="00AE1128" w:rsidP="00A61652">
      <w:pPr>
        <w:pStyle w:val="2"/>
        <w:spacing w:afterLines="100" w:after="312"/>
        <w:ind w:firstLine="640"/>
        <w:rPr>
          <w:rFonts w:ascii="仿宋_GB2312" w:eastAsia="仿宋_GB2312" w:hAnsi="仿宋" w:cs="仿宋"/>
          <w:b/>
          <w:szCs w:val="32"/>
        </w:rPr>
      </w:pPr>
      <w:r>
        <w:rPr>
          <w:rFonts w:ascii="仿宋_GB2312" w:eastAsia="仿宋_GB2312" w:hAnsi="仿宋" w:cs="仿宋" w:hint="eastAsia"/>
          <w:szCs w:val="32"/>
        </w:rPr>
        <w:t>统筹县域城镇和村庄规划建设，一体推进乡村环境整治、设施改造、乡风塑造和治理创新，全面提升乡村生态宜居水平。</w:t>
      </w:r>
    </w:p>
    <w:p w:rsidR="00D92198" w:rsidRDefault="00AE1128" w:rsidP="00A61652">
      <w:pPr>
        <w:pStyle w:val="2"/>
        <w:spacing w:afterLines="100" w:after="312"/>
        <w:ind w:firstLineChars="0" w:firstLine="0"/>
        <w:jc w:val="center"/>
        <w:rPr>
          <w:rFonts w:ascii="楷体_GB2312" w:eastAsia="楷体_GB2312" w:hAnsi="仿宋" w:cs="仿宋"/>
          <w:b/>
          <w:szCs w:val="32"/>
        </w:rPr>
      </w:pPr>
      <w:r>
        <w:rPr>
          <w:rFonts w:ascii="楷体_GB2312" w:eastAsia="楷体_GB2312" w:hAnsi="仿宋" w:cs="仿宋" w:hint="eastAsia"/>
          <w:b/>
          <w:szCs w:val="32"/>
        </w:rPr>
        <w:t>第一节  加快农村基础设施和公共服务设施建设</w:t>
      </w:r>
    </w:p>
    <w:p w:rsidR="00D92198" w:rsidRDefault="00AE1128" w:rsidP="00A61652">
      <w:pPr>
        <w:pStyle w:val="2"/>
        <w:spacing w:afterLines="100" w:after="312"/>
        <w:ind w:firstLine="640"/>
        <w:jc w:val="both"/>
        <w:rPr>
          <w:rFonts w:ascii="仿宋_GB2312" w:eastAsia="仿宋_GB2312" w:hAnsi="仿宋" w:cs="仿宋"/>
          <w:szCs w:val="32"/>
        </w:rPr>
      </w:pPr>
      <w:r>
        <w:rPr>
          <w:rFonts w:ascii="仿宋_GB2312" w:eastAsia="仿宋_GB2312" w:hAnsi="仿宋" w:cs="仿宋" w:hint="eastAsia"/>
          <w:szCs w:val="32"/>
        </w:rPr>
        <w:lastRenderedPageBreak/>
        <w:t>统筹县乡国土空间规划编制，保障乡村用地合理空间和乡村产业发展用地。突出农村交通运输、能源保障、农村饮水、宽带网络等重点，加快补齐农村基础设施短板，逐步建立全域覆盖、普惠共享、城乡一体的基础设施服务网络。推进“四好农村路”建设工程，支持更多具备条件的县市区争创全国示范。实现乡镇建成区天然气主管网全覆盖，因地制宜推进分布式能源系统建设。实施农村饮水安全巩固提升行动，提高农村自来水供应保障能力。推进数字乡村建设，实施光纤到村工程，全面提供千兆光纤接入服务。加强乡村小规模学校和农村寄宿制学校建设。推动乡镇卫生院、村卫生室建设和服务能力全面达标，发展多种形式的乡镇养老服务机构。健全乡村公共文化体系，加强基层综合性文化服务中心建设，推动乡村健身设施全覆盖。</w:t>
      </w:r>
    </w:p>
    <w:p w:rsidR="00D92198" w:rsidRDefault="00AE1128" w:rsidP="00A61652">
      <w:pPr>
        <w:pStyle w:val="2"/>
        <w:spacing w:afterLines="100" w:after="312"/>
        <w:ind w:firstLineChars="0" w:firstLine="0"/>
        <w:jc w:val="center"/>
        <w:rPr>
          <w:rFonts w:ascii="楷体_GB2312" w:eastAsia="楷体_GB2312" w:hAnsi="仿宋" w:cs="仿宋"/>
          <w:b/>
          <w:szCs w:val="32"/>
        </w:rPr>
      </w:pPr>
      <w:r>
        <w:rPr>
          <w:rFonts w:ascii="楷体_GB2312" w:eastAsia="楷体_GB2312" w:hAnsi="仿宋" w:cs="仿宋" w:hint="eastAsia"/>
          <w:b/>
          <w:szCs w:val="32"/>
        </w:rPr>
        <w:t>第二节  持续改善农村人居环境</w:t>
      </w:r>
    </w:p>
    <w:p w:rsidR="00D92198" w:rsidRDefault="00AE1128" w:rsidP="00A61652">
      <w:pPr>
        <w:pStyle w:val="2"/>
        <w:spacing w:afterLines="100" w:after="312"/>
        <w:ind w:firstLine="640"/>
        <w:jc w:val="both"/>
        <w:rPr>
          <w:rFonts w:ascii="仿宋_GB2312" w:eastAsia="仿宋_GB2312" w:hAnsi="仿宋" w:cs="仿宋"/>
          <w:szCs w:val="32"/>
        </w:rPr>
      </w:pPr>
      <w:r>
        <w:rPr>
          <w:rFonts w:ascii="仿宋_GB2312" w:eastAsia="仿宋_GB2312" w:hAnsi="仿宋" w:cs="仿宋" w:hint="eastAsia"/>
          <w:szCs w:val="32"/>
        </w:rPr>
        <w:t>合理确定村庄布局分类，有序推进撤村并居。</w:t>
      </w:r>
      <w:bookmarkStart w:id="16" w:name="_Toc27387684"/>
      <w:r>
        <w:rPr>
          <w:rFonts w:ascii="仿宋_GB2312" w:eastAsia="仿宋_GB2312" w:hAnsi="仿宋" w:cs="仿宋" w:hint="eastAsia"/>
          <w:szCs w:val="32"/>
        </w:rPr>
        <w:t>持续推进农村人居环境整治提升行动，扎实开展“四美乡村”示范创建，深入实施村庄清洁和乡村绿化美化，整体提升村容村貌。实施农村坑塘综合整治。因地制宜推进农村“厕所革命”，实现农村卫生厕所基本普及、厕所粪污基本得到处理。全面推进农村生活垃圾治理，建立健全覆盖全域的市场化农村垃圾收运处置</w:t>
      </w:r>
      <w:r>
        <w:rPr>
          <w:rFonts w:ascii="仿宋_GB2312" w:eastAsia="仿宋_GB2312" w:hAnsi="仿宋" w:cs="仿宋" w:hint="eastAsia"/>
          <w:szCs w:val="32"/>
        </w:rPr>
        <w:lastRenderedPageBreak/>
        <w:t>体系，鼓励有条件的地方加快推进农村生活垃圾分类。逐步推进农村生活污水治理，有效管控乱排乱放。推进现代宜居新农房建设，提升农房建设质量。加强乡村风貌引导，促进乡村形态与自然环境、传统文化相得益彰。实施历史文化名村名镇和传统村落、民居保护。</w:t>
      </w:r>
    </w:p>
    <w:p w:rsidR="00D92198" w:rsidRDefault="00AE1128" w:rsidP="00A61652">
      <w:pPr>
        <w:pStyle w:val="2"/>
        <w:spacing w:afterLines="100" w:after="312"/>
        <w:ind w:firstLineChars="0" w:firstLine="0"/>
        <w:jc w:val="center"/>
        <w:rPr>
          <w:rFonts w:ascii="楷体_GB2312" w:eastAsia="楷体_GB2312" w:hAnsi="仿宋" w:cs="仿宋"/>
          <w:b/>
          <w:bCs/>
          <w:szCs w:val="32"/>
        </w:rPr>
      </w:pPr>
      <w:r>
        <w:rPr>
          <w:rFonts w:ascii="楷体_GB2312" w:eastAsia="楷体_GB2312" w:hAnsi="仿宋" w:cs="仿宋" w:hint="eastAsia"/>
          <w:b/>
          <w:bCs/>
          <w:szCs w:val="32"/>
        </w:rPr>
        <w:t>第三节  建设文明善治乡村</w:t>
      </w:r>
    </w:p>
    <w:p w:rsidR="00D92198" w:rsidRDefault="00AE1128" w:rsidP="00A61652">
      <w:pPr>
        <w:pStyle w:val="2"/>
        <w:spacing w:afterLines="100" w:after="312"/>
        <w:ind w:firstLine="640"/>
        <w:jc w:val="both"/>
        <w:rPr>
          <w:rFonts w:ascii="仿宋_GB2312" w:eastAsia="仿宋_GB2312" w:hAnsi="仿宋" w:cs="仿宋"/>
          <w:szCs w:val="32"/>
        </w:rPr>
      </w:pPr>
      <w:r>
        <w:rPr>
          <w:rFonts w:ascii="仿宋_GB2312" w:eastAsia="仿宋_GB2312" w:hAnsi="仿宋" w:cs="仿宋" w:hint="eastAsia"/>
          <w:szCs w:val="32"/>
        </w:rPr>
        <w:t>坚持乡镇工作“三结合”，加强农村基层党组织建设，选优配强乡镇领导班子、村“两委”成员特别是村党支部书记，健全选派驻村第一书记长效机制，持续整顿软弱涣散村党组织。深化拓展“四议两公开”工作法，健全党组织领导下的村级议事协商制度，加强村级权力有效监督。加强农村思想道德建设，推动农村移风易俗，推动“一约四会”普遍覆盖，弘扬农村优秀文化，实现80%以上的乡镇和行政村达到县级以上文明村镇标准。加大高素质农民培养力度，提高农民科技文化水平。深入推进平安乡村建设，持续开展民主法治村镇示范创建。</w:t>
      </w:r>
    </w:p>
    <w:p w:rsidR="00D92198" w:rsidRDefault="00AE1128" w:rsidP="00A61652">
      <w:pPr>
        <w:pStyle w:val="2"/>
        <w:spacing w:afterLines="100" w:after="312"/>
        <w:ind w:firstLineChars="0" w:firstLine="0"/>
        <w:jc w:val="center"/>
        <w:rPr>
          <w:rFonts w:ascii="黑体" w:hAnsi="黑体" w:cs="仿宋"/>
          <w:szCs w:val="32"/>
        </w:rPr>
      </w:pPr>
      <w:r>
        <w:rPr>
          <w:rFonts w:ascii="黑体" w:hAnsi="黑体" w:cs="仿宋" w:hint="eastAsia"/>
          <w:szCs w:val="32"/>
        </w:rPr>
        <w:t>第十六章  健全城乡融合发展机制</w:t>
      </w:r>
    </w:p>
    <w:p w:rsidR="00D92198" w:rsidRDefault="00AE1128" w:rsidP="00A61652">
      <w:pPr>
        <w:pStyle w:val="2"/>
        <w:spacing w:afterLines="100" w:after="312"/>
        <w:ind w:firstLine="640"/>
        <w:jc w:val="both"/>
        <w:rPr>
          <w:rFonts w:ascii="仿宋_GB2312" w:eastAsia="仿宋_GB2312" w:hAnsi="仿宋" w:cs="仿宋"/>
          <w:szCs w:val="32"/>
        </w:rPr>
      </w:pPr>
      <w:r>
        <w:rPr>
          <w:rFonts w:ascii="仿宋_GB2312" w:eastAsia="仿宋_GB2312" w:hAnsi="仿宋" w:cs="仿宋" w:hint="eastAsia"/>
          <w:szCs w:val="32"/>
        </w:rPr>
        <w:t>坚持走城乡融合发展的乡村振兴之路，促进城乡要素自由流动、平等交换和公共资源合理配置，</w:t>
      </w:r>
      <w:r>
        <w:rPr>
          <w:rFonts w:ascii="仿宋_GB2312" w:eastAsia="仿宋_GB2312" w:hAnsi="仿宋_GB2312" w:cs="仿宋_GB2312" w:hint="eastAsia"/>
          <w:szCs w:val="32"/>
        </w:rPr>
        <w:t>增强农业农村发展活力</w:t>
      </w:r>
      <w:r>
        <w:rPr>
          <w:rFonts w:ascii="仿宋_GB2312" w:eastAsia="仿宋_GB2312" w:hAnsi="仿宋" w:cs="仿宋" w:hint="eastAsia"/>
          <w:szCs w:val="32"/>
        </w:rPr>
        <w:t>，缩小城乡发展差距和居民生活水平差距</w:t>
      </w:r>
      <w:r>
        <w:rPr>
          <w:rFonts w:ascii="仿宋_GB2312" w:eastAsia="仿宋_GB2312" w:hAnsi="仿宋_GB2312" w:cs="仿宋_GB2312" w:hint="eastAsia"/>
          <w:szCs w:val="32"/>
        </w:rPr>
        <w:t>。</w:t>
      </w:r>
    </w:p>
    <w:p w:rsidR="00D92198" w:rsidRDefault="00AE1128" w:rsidP="00A61652">
      <w:pPr>
        <w:pStyle w:val="2"/>
        <w:spacing w:afterLines="100" w:after="312"/>
        <w:ind w:firstLineChars="0" w:firstLine="0"/>
        <w:jc w:val="center"/>
        <w:rPr>
          <w:rFonts w:ascii="楷体_GB2312" w:eastAsia="楷体_GB2312" w:hAnsi="仿宋" w:cs="仿宋"/>
          <w:b/>
          <w:szCs w:val="32"/>
        </w:rPr>
      </w:pPr>
      <w:r>
        <w:rPr>
          <w:rFonts w:ascii="楷体_GB2312" w:eastAsia="楷体_GB2312" w:hAnsi="仿宋" w:cs="仿宋" w:hint="eastAsia"/>
          <w:b/>
          <w:szCs w:val="32"/>
        </w:rPr>
        <w:lastRenderedPageBreak/>
        <w:t>第一节  深化农村改革</w:t>
      </w:r>
    </w:p>
    <w:p w:rsidR="00D92198" w:rsidRDefault="00AE1128" w:rsidP="00A61652">
      <w:pPr>
        <w:pStyle w:val="2"/>
        <w:spacing w:afterLines="100" w:after="312"/>
        <w:ind w:firstLine="640"/>
        <w:jc w:val="both"/>
        <w:rPr>
          <w:rFonts w:ascii="仿宋_GB2312" w:eastAsia="仿宋_GB2312" w:hAnsi="仿宋" w:cs="仿宋"/>
          <w:szCs w:val="32"/>
        </w:rPr>
      </w:pPr>
      <w:r>
        <w:rPr>
          <w:rFonts w:ascii="仿宋_GB2312" w:eastAsia="仿宋_GB2312" w:hAnsi="仿宋_GB2312" w:cs="仿宋_GB2312" w:hint="eastAsia"/>
          <w:szCs w:val="32"/>
        </w:rPr>
        <w:t>巩固和完善农村基本经营制度，落实第二轮土地承包到期后再延长三十年政策，深化农村承包地“三权分置”改革。积极探索实施农村集体经营性建设用地入市制度。建立土地征收公共利益用地认定机制。探索宅基地所有权、资格权、使用权分置实现形式。推进房地一体的农村集体建设用地和宅基地使用权确权登记发证。加快培育农民合作社、家庭农场、农业产业化联合体，健全农业专业化社会化服务体系，发展多种形式适度规模经营，实现小农户和现代农业有机衔接。保障进城落户农民土地承包权、宅基地使用权、集体收益分配权，鼓励依法自愿有偿转让。深化农村集体产权制度改革，创新完善农村集体经济实现形式和运行机制，积极推进资源变资产、资金变股金、农民变股东。</w:t>
      </w:r>
    </w:p>
    <w:p w:rsidR="00D92198" w:rsidRDefault="00AE1128" w:rsidP="00A61652">
      <w:pPr>
        <w:pStyle w:val="2"/>
        <w:spacing w:afterLines="100" w:after="312"/>
        <w:ind w:firstLineChars="0" w:firstLine="0"/>
        <w:jc w:val="center"/>
        <w:rPr>
          <w:rFonts w:ascii="楷体_GB2312" w:eastAsia="楷体_GB2312" w:hAnsi="仿宋" w:cs="仿宋"/>
          <w:b/>
          <w:szCs w:val="32"/>
        </w:rPr>
      </w:pPr>
      <w:r>
        <w:rPr>
          <w:rFonts w:ascii="楷体_GB2312" w:eastAsia="楷体_GB2312" w:hAnsi="仿宋" w:cs="仿宋" w:hint="eastAsia"/>
          <w:b/>
          <w:szCs w:val="32"/>
        </w:rPr>
        <w:t>第二节  加强农业农村发展要素保障</w:t>
      </w:r>
    </w:p>
    <w:p w:rsidR="00D92198" w:rsidRDefault="00AE1128" w:rsidP="00A61652">
      <w:pPr>
        <w:pStyle w:val="2"/>
        <w:spacing w:afterLines="100" w:after="312" w:line="620" w:lineRule="exact"/>
        <w:ind w:firstLine="640"/>
        <w:rPr>
          <w:rFonts w:ascii="仿宋_GB2312" w:eastAsia="仿宋_GB2312" w:hAnsi="仿宋_GB2312" w:cs="仿宋_GB2312"/>
          <w:szCs w:val="32"/>
        </w:rPr>
      </w:pPr>
      <w:r>
        <w:rPr>
          <w:rFonts w:ascii="仿宋_GB2312" w:eastAsia="仿宋_GB2312" w:hAnsi="仿宋" w:cs="仿宋" w:hint="eastAsia"/>
          <w:szCs w:val="32"/>
        </w:rPr>
        <w:t>健全农业农村投入保障制度，完善落实各项财政支农惠农政策。健全吸引人才返乡入乡留乡机制，深入实施乡土人才联络回归工程，推进返乡创业示范项目建设，打通城乡人才交流通道。健全农村金融服务体系，提高普惠金融农村覆盖面。创新农村金融模式，建立县域金融机构服务“三农”激励约束机</w:t>
      </w:r>
      <w:r>
        <w:rPr>
          <w:rFonts w:ascii="仿宋_GB2312" w:eastAsia="仿宋_GB2312" w:hAnsi="仿宋" w:cs="仿宋" w:hint="eastAsia"/>
          <w:szCs w:val="32"/>
        </w:rPr>
        <w:lastRenderedPageBreak/>
        <w:t>制。推进农业保险扩面增品提标，鼓励发展优势特色农产品保险。引导互联网借贷、移动支付、互联网理财等互联网金融在农村规范发展。推广农村承包土地经营权抵押贷款，探索开展农村宅基地抵押贷款。鼓励和引导工商资本发展农民参与度高、受益面广的乡村产业。深化供销合作社综合改革，完善服务农民生产生活综合平台功能。</w:t>
      </w:r>
    </w:p>
    <w:p w:rsidR="00D92198" w:rsidRDefault="00AE1128" w:rsidP="00A61652">
      <w:pPr>
        <w:pStyle w:val="2"/>
        <w:spacing w:beforeLines="50" w:before="156" w:afterLines="100" w:after="312"/>
        <w:ind w:firstLineChars="0" w:firstLine="0"/>
        <w:jc w:val="center"/>
        <w:rPr>
          <w:rFonts w:ascii="黑体" w:hAnsi="黑体" w:cs="仿宋"/>
          <w:bCs/>
          <w:szCs w:val="32"/>
        </w:rPr>
      </w:pPr>
      <w:r>
        <w:rPr>
          <w:rFonts w:ascii="黑体" w:hAnsi="黑体" w:cs="仿宋" w:hint="eastAsia"/>
          <w:bCs/>
          <w:szCs w:val="32"/>
        </w:rPr>
        <w:t>第十七章 实现巩固拓展脱贫攻坚成果同乡村振兴有效衔接</w:t>
      </w:r>
    </w:p>
    <w:p w:rsidR="00D92198" w:rsidRDefault="00AE1128" w:rsidP="00A61652">
      <w:pPr>
        <w:pStyle w:val="2"/>
        <w:spacing w:afterLines="100" w:after="312"/>
        <w:ind w:firstLine="640"/>
        <w:jc w:val="both"/>
        <w:rPr>
          <w:rFonts w:ascii="仿宋_GB2312" w:eastAsia="仿宋_GB2312" w:hAnsi="仿宋_GB2312" w:cs="仿宋_GB2312"/>
          <w:szCs w:val="32"/>
        </w:rPr>
      </w:pPr>
      <w:r>
        <w:rPr>
          <w:rFonts w:ascii="仿宋_GB2312" w:eastAsia="仿宋_GB2312" w:hAnsi="仿宋_GB2312" w:cs="仿宋_GB2312" w:hint="eastAsia"/>
          <w:szCs w:val="32"/>
        </w:rPr>
        <w:t>推动减贫战略和工作体系平稳转型，严格落实“四个不摘”要求，建立健全巩固脱贫攻坚成果长效机制，保持过渡期间主要帮扶政策总体稳定。健全防止返贫动态监测和帮扶机制，确保已脱贫人口不返贫、易致贫人口不入贫。持续抓好产业帮扶、就业帮扶、易地扶贫搬迁后续帮扶工作，持续开展消费帮扶。加强扶贫项目资金资产管理和监督。推动特色产业可持续发展。健全农村社会保障和救助制度，巩固提升农村特困群体“四集中”、防贫堵贫保险等兜底保障成效，实现应保尽保、应兜尽兜。做好脱贫人口稳岗就业，加强扶志扶智，加大职业培训和劳务输出力度，优化公益岗位政策。积极推广以工代赈方式，加大以工代赈投入，扩大实施范围和受益对象。在脱贫县集中支持一批乡村振兴重点帮扶乡镇，增强其巩固脱贫成果及内生发展动力。充分运用脱贫攻坚成功经验推动乡村振兴，实现脱</w:t>
      </w:r>
      <w:r>
        <w:rPr>
          <w:rFonts w:ascii="仿宋_GB2312" w:eastAsia="仿宋_GB2312" w:hAnsi="仿宋_GB2312" w:cs="仿宋_GB2312" w:hint="eastAsia"/>
          <w:szCs w:val="32"/>
        </w:rPr>
        <w:lastRenderedPageBreak/>
        <w:t>贫攻坚与乡村振兴在规划、政策、产业、组织和人才等方面有效衔接。</w:t>
      </w:r>
    </w:p>
    <w:tbl>
      <w:tblPr>
        <w:tblW w:w="8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87"/>
      </w:tblGrid>
      <w:tr w:rsidR="00D92198">
        <w:trPr>
          <w:trHeight w:val="529"/>
          <w:jc w:val="center"/>
        </w:trPr>
        <w:tc>
          <w:tcPr>
            <w:tcW w:w="8387" w:type="dxa"/>
            <w:vAlign w:val="center"/>
          </w:tcPr>
          <w:bookmarkEnd w:id="16"/>
          <w:p w:rsidR="00D92198" w:rsidRDefault="00AE1128">
            <w:pPr>
              <w:adjustRightInd w:val="0"/>
              <w:snapToGrid w:val="0"/>
              <w:spacing w:line="600" w:lineRule="exact"/>
              <w:jc w:val="center"/>
              <w:rPr>
                <w:rFonts w:ascii="黑体" w:eastAsia="黑体" w:hAnsi="黑体"/>
                <w:sz w:val="30"/>
                <w:szCs w:val="30"/>
              </w:rPr>
            </w:pPr>
            <w:r>
              <w:rPr>
                <w:rFonts w:ascii="黑体" w:eastAsia="黑体" w:hAnsi="黑体" w:hint="eastAsia"/>
                <w:bCs/>
                <w:sz w:val="30"/>
                <w:szCs w:val="30"/>
              </w:rPr>
              <w:t>专栏4：乡村振兴重大工程</w:t>
            </w:r>
          </w:p>
        </w:tc>
      </w:tr>
      <w:tr w:rsidR="00D92198">
        <w:trPr>
          <w:trHeight w:val="416"/>
          <w:jc w:val="center"/>
        </w:trPr>
        <w:tc>
          <w:tcPr>
            <w:tcW w:w="8387" w:type="dxa"/>
            <w:vAlign w:val="center"/>
          </w:tcPr>
          <w:p w:rsidR="00D92198" w:rsidRDefault="00AE1128">
            <w:pPr>
              <w:pStyle w:val="af5"/>
              <w:spacing w:line="480" w:lineRule="exact"/>
              <w:ind w:firstLine="562"/>
              <w:rPr>
                <w:rFonts w:ascii="仿宋_GB2312" w:eastAsia="仿宋_GB2312"/>
                <w:bCs/>
                <w:sz w:val="28"/>
                <w:szCs w:val="28"/>
              </w:rPr>
            </w:pPr>
            <w:r>
              <w:rPr>
                <w:rFonts w:ascii="仿宋_GB2312" w:eastAsia="仿宋_GB2312" w:hint="eastAsia"/>
                <w:b/>
                <w:bCs/>
                <w:sz w:val="28"/>
                <w:szCs w:val="28"/>
              </w:rPr>
              <w:t>1.现代农业八大产业化集群。</w:t>
            </w:r>
            <w:r>
              <w:rPr>
                <w:rFonts w:ascii="仿宋_GB2312" w:eastAsia="仿宋_GB2312" w:hint="eastAsia"/>
                <w:bCs/>
                <w:sz w:val="28"/>
                <w:szCs w:val="28"/>
              </w:rPr>
              <w:t>抓好以牧原生猪为龙头，正大食品、黄志牧业、东嘉农牧、科尔沁肉牛、丰园禽业、众益食业等为骨干的肉食产业化集群；以想念面业为龙头，曹氏百川、久友面粉、三源粮油、吉祥结粮油等为支撑的粮食产业化集群；以仲景香菇酱为龙头，家家宝食品、百菌园生态农业、九顺达实业、康润源食品等为支撑的食用菌产业化集群；以宛西制药为龙头，福森药业、国医仲景艾草、芝元堂药业等为支撑的中药材产业化集群；以南阳月季基地为龙头，新艺木业、锦天园林、东方茧丝绸、丹峰山茶叶、昌宇农林等为支撑的林产品产业集群；以恒利康为龙头，果然风情、满义农业、三乐元仁和康源等为支撑的果蔬产业化集群；以三色鸽为龙头，盛全农牧、新太阳乳业、健羊牧业等为支撑的乳制品产业化集群；以赊店老酒为龙头，南召武士特酿、养生殿酒业、邓州光照酒业、新野龙潭黄酒为支撑的酒业产业集群。</w:t>
            </w:r>
          </w:p>
          <w:p w:rsidR="00D92198" w:rsidRDefault="00AE1128">
            <w:pPr>
              <w:pStyle w:val="af5"/>
              <w:spacing w:line="480" w:lineRule="exact"/>
              <w:ind w:firstLine="562"/>
              <w:rPr>
                <w:rFonts w:ascii="仿宋_GB2312" w:eastAsia="仿宋_GB2312"/>
                <w:bCs/>
                <w:sz w:val="28"/>
                <w:szCs w:val="28"/>
              </w:rPr>
            </w:pPr>
            <w:r>
              <w:rPr>
                <w:rFonts w:ascii="仿宋_GB2312" w:eastAsia="仿宋_GB2312" w:hint="eastAsia"/>
                <w:b/>
                <w:bCs/>
                <w:sz w:val="28"/>
                <w:szCs w:val="28"/>
              </w:rPr>
              <w:t>2.五大新型业态。</w:t>
            </w:r>
            <w:r>
              <w:rPr>
                <w:rFonts w:ascii="仿宋_GB2312" w:eastAsia="仿宋_GB2312" w:hint="eastAsia"/>
                <w:bCs/>
                <w:sz w:val="28"/>
                <w:szCs w:val="28"/>
              </w:rPr>
              <w:t>培育休闲旅游、文化体验、康养农业、创意农业、农村电商等新业态，推动农业与旅游、文化、教育、医疗、养老等产业深度融合。</w:t>
            </w:r>
          </w:p>
          <w:p w:rsidR="00D92198" w:rsidRDefault="00AE1128">
            <w:pPr>
              <w:pStyle w:val="af5"/>
              <w:spacing w:line="480" w:lineRule="exact"/>
              <w:ind w:firstLine="562"/>
              <w:rPr>
                <w:rFonts w:ascii="仿宋_GB2312" w:eastAsia="仿宋_GB2312"/>
                <w:bCs/>
              </w:rPr>
            </w:pPr>
            <w:r>
              <w:rPr>
                <w:rFonts w:ascii="仿宋_GB2312" w:eastAsia="仿宋_GB2312" w:hint="eastAsia"/>
                <w:b/>
                <w:bCs/>
                <w:sz w:val="28"/>
                <w:szCs w:val="28"/>
              </w:rPr>
              <w:t>3.农村人居环境整治。</w:t>
            </w:r>
            <w:r>
              <w:rPr>
                <w:rFonts w:ascii="仿宋_GB2312" w:eastAsia="仿宋_GB2312" w:hint="eastAsia"/>
                <w:bCs/>
                <w:sz w:val="28"/>
                <w:szCs w:val="28"/>
              </w:rPr>
              <w:t>规划建设一批静脉产业园，扩大垃圾集中焚烧处理能力。推进垃圾源头分类减量和资源化利用，开展农村生活垃圾分类试点。推动厕所进院入室。推进乡镇污水处理厂及配套管网建设，推行农村污水处理统一规划、统一建设、统一管理，逐步推广“1”个管控运营中心和城市、乡镇、农村社区、行政村、居民点“5”级污水处理的“1+5”城乡污水处理运营管理模式。</w:t>
            </w:r>
          </w:p>
        </w:tc>
      </w:tr>
    </w:tbl>
    <w:p w:rsidR="00D92198" w:rsidRDefault="00AE1128">
      <w:pPr>
        <w:pStyle w:val="a5"/>
        <w:spacing w:after="0" w:line="620" w:lineRule="exact"/>
        <w:jc w:val="center"/>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lastRenderedPageBreak/>
        <w:t>第五篇  加强现代化基础设施体系建设，增强区域</w:t>
      </w:r>
    </w:p>
    <w:p w:rsidR="00D92198" w:rsidRDefault="00AE1128">
      <w:pPr>
        <w:pStyle w:val="a5"/>
        <w:spacing w:after="0" w:line="620" w:lineRule="exact"/>
        <w:jc w:val="center"/>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综合竞争优势</w:t>
      </w:r>
    </w:p>
    <w:p w:rsidR="00D92198" w:rsidRDefault="00AE1128" w:rsidP="00A61652">
      <w:pPr>
        <w:snapToGrid w:val="0"/>
        <w:spacing w:beforeLines="100" w:before="312" w:afterLines="100" w:after="312" w:line="620" w:lineRule="exact"/>
        <w:ind w:firstLine="641"/>
        <w:rPr>
          <w:rFonts w:ascii="仿宋_GB2312" w:eastAsia="仿宋_GB2312" w:cs="仿宋_GB2312"/>
          <w:kern w:val="0"/>
          <w:sz w:val="32"/>
          <w:szCs w:val="32"/>
          <w:shd w:val="clear" w:color="auto" w:fill="FFFFFF"/>
        </w:rPr>
      </w:pPr>
      <w:r>
        <w:rPr>
          <w:rFonts w:ascii="仿宋_GB2312" w:eastAsia="仿宋_GB2312" w:cs="仿宋_GB2312" w:hint="eastAsia"/>
          <w:kern w:val="0"/>
          <w:sz w:val="32"/>
          <w:szCs w:val="32"/>
          <w:shd w:val="clear" w:color="auto" w:fill="FFFFFF"/>
        </w:rPr>
        <w:t>坚持适度超前、整体优化、协同融合，持续强化现代交通、能源、水利、信息网络等基础设施建设，</w:t>
      </w:r>
      <w:r>
        <w:rPr>
          <w:rFonts w:ascii="仿宋_GB2312" w:eastAsia="仿宋_GB2312" w:hAnsi="仿宋_GB2312" w:cs="仿宋_GB2312" w:hint="eastAsia"/>
          <w:sz w:val="32"/>
          <w:szCs w:val="32"/>
        </w:rPr>
        <w:t>构建系统完备、高效实用、智能绿色、安全可靠的现代化基础设施体系</w:t>
      </w:r>
      <w:r>
        <w:rPr>
          <w:rFonts w:ascii="仿宋_GB2312" w:eastAsia="仿宋_GB2312" w:hint="eastAsia"/>
          <w:sz w:val="32"/>
          <w:szCs w:val="32"/>
        </w:rPr>
        <w:t>。</w:t>
      </w:r>
    </w:p>
    <w:p w:rsidR="00D92198" w:rsidRDefault="00AE1128" w:rsidP="00A61652">
      <w:pPr>
        <w:widowControl/>
        <w:shd w:val="clear" w:color="auto" w:fill="FFFFFF"/>
        <w:snapToGrid w:val="0"/>
        <w:spacing w:afterLines="100" w:after="312" w:line="620" w:lineRule="exact"/>
        <w:jc w:val="center"/>
        <w:rPr>
          <w:rFonts w:ascii="黑体" w:eastAsia="黑体" w:hAnsi="黑体" w:cs="黑体"/>
          <w:bCs/>
          <w:kern w:val="0"/>
          <w:sz w:val="32"/>
          <w:szCs w:val="32"/>
        </w:rPr>
      </w:pPr>
      <w:r>
        <w:rPr>
          <w:rFonts w:ascii="黑体" w:eastAsia="黑体" w:hAnsi="黑体" w:cs="黑体" w:hint="eastAsia"/>
          <w:bCs/>
          <w:kern w:val="0"/>
          <w:sz w:val="32"/>
          <w:szCs w:val="32"/>
        </w:rPr>
        <w:t>第十八章  加快全国性综合交通枢纽建设</w:t>
      </w:r>
    </w:p>
    <w:p w:rsidR="00D92198" w:rsidRDefault="00AE1128" w:rsidP="00A61652">
      <w:pPr>
        <w:widowControl/>
        <w:shd w:val="clear" w:color="auto" w:fill="FFFFFF"/>
        <w:snapToGrid w:val="0"/>
        <w:spacing w:afterLines="100" w:after="312" w:line="6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统筹“空铁公水”四位一体建设，</w:t>
      </w:r>
      <w:r>
        <w:rPr>
          <w:rFonts w:ascii="仿宋_GB2312" w:eastAsia="仿宋_GB2312" w:hAnsi="仿宋_GB2312" w:cs="仿宋_GB2312" w:hint="eastAsia"/>
          <w:kern w:val="0"/>
          <w:sz w:val="32"/>
          <w:szCs w:val="32"/>
        </w:rPr>
        <w:t>建立适应全国性综合交通枢纽的规划、投资、管理体制机制，</w:t>
      </w:r>
      <w:r>
        <w:rPr>
          <w:rFonts w:ascii="仿宋_GB2312" w:eastAsia="仿宋_GB2312" w:hAnsi="仿宋_GB2312" w:cs="仿宋_GB2312" w:hint="eastAsia"/>
          <w:sz w:val="32"/>
          <w:szCs w:val="32"/>
        </w:rPr>
        <w:t>着力构建布局合理、功能完善、内捷外畅、安全高效的现代交通体系。</w:t>
      </w:r>
    </w:p>
    <w:p w:rsidR="00D92198" w:rsidRDefault="00AE1128" w:rsidP="00A61652">
      <w:pPr>
        <w:widowControl/>
        <w:shd w:val="clear" w:color="auto" w:fill="FFFFFF"/>
        <w:snapToGrid w:val="0"/>
        <w:spacing w:afterLines="100" w:after="312" w:line="620" w:lineRule="exact"/>
        <w:jc w:val="center"/>
        <w:rPr>
          <w:rFonts w:ascii="楷体_GB2312" w:eastAsia="楷体_GB2312" w:hAnsi="仿宋"/>
          <w:b/>
          <w:sz w:val="32"/>
          <w:szCs w:val="32"/>
        </w:rPr>
      </w:pPr>
      <w:r>
        <w:rPr>
          <w:rFonts w:ascii="楷体_GB2312" w:eastAsia="楷体_GB2312" w:hAnsi="仿宋" w:hint="eastAsia"/>
          <w:b/>
          <w:sz w:val="32"/>
          <w:szCs w:val="32"/>
        </w:rPr>
        <w:t>第一节  积极推进航空网建设</w:t>
      </w:r>
    </w:p>
    <w:p w:rsidR="00D92198" w:rsidRDefault="00AE1128" w:rsidP="00A61652">
      <w:pPr>
        <w:spacing w:afterLines="100" w:after="312"/>
        <w:ind w:firstLine="643"/>
        <w:rPr>
          <w:rFonts w:ascii="仿宋_GB2312" w:eastAsia="仿宋_GB2312" w:hAnsi="仿宋_GB2312" w:cs="仿宋_GB2312"/>
          <w:sz w:val="32"/>
          <w:szCs w:val="32"/>
        </w:rPr>
      </w:pPr>
      <w:r>
        <w:rPr>
          <w:rFonts w:ascii="仿宋_GB2312" w:eastAsia="仿宋_GB2312" w:hAnsi="仿宋_GB2312" w:cs="仿宋_GB2312" w:hint="eastAsia"/>
          <w:sz w:val="32"/>
          <w:szCs w:val="32"/>
        </w:rPr>
        <w:t>争取南阳机场迁建项目纳入国家民航“十四五”发展规划并开工建设，打造集人流、物流为一体的国际航空港，规划建设空港经济区。不断完善航空运输网络，加密覆盖京津冀、长三角、粤港澳、成渝城市群主要城市的航线网络布局。申请开放航空口岸，力争开通国际（地区）航线航班。到2025年旅客吞吐量力争突破300万人次。加快通用航空产业发展，推进南阳通用航空产业群项目，规划建设鸭河、镇平等通用机场，大力发展配套产业，因地制宜拓展通航+运营、通航+旅游、通航+</w:t>
      </w:r>
      <w:r>
        <w:rPr>
          <w:rFonts w:ascii="仿宋_GB2312" w:eastAsia="仿宋_GB2312" w:hAnsi="仿宋_GB2312" w:cs="仿宋_GB2312" w:hint="eastAsia"/>
          <w:sz w:val="32"/>
          <w:szCs w:val="32"/>
        </w:rPr>
        <w:lastRenderedPageBreak/>
        <w:t>制造、通航+物流等功能模块。</w:t>
      </w:r>
    </w:p>
    <w:p w:rsidR="00D92198" w:rsidRDefault="00AE1128" w:rsidP="00A61652">
      <w:pPr>
        <w:widowControl/>
        <w:shd w:val="clear" w:color="auto" w:fill="FFFFFF"/>
        <w:snapToGrid w:val="0"/>
        <w:spacing w:afterLines="100" w:after="312" w:line="600" w:lineRule="exact"/>
        <w:jc w:val="center"/>
        <w:rPr>
          <w:rFonts w:ascii="楷体_GB2312" w:eastAsia="楷体_GB2312" w:hAnsi="仿宋"/>
          <w:b/>
          <w:sz w:val="32"/>
          <w:szCs w:val="32"/>
        </w:rPr>
      </w:pPr>
      <w:r>
        <w:rPr>
          <w:rFonts w:ascii="楷体_GB2312" w:eastAsia="楷体_GB2312" w:hAnsi="仿宋" w:hint="eastAsia"/>
          <w:b/>
          <w:sz w:val="32"/>
          <w:szCs w:val="32"/>
        </w:rPr>
        <w:t>第二节  全面推进铁路网建设</w:t>
      </w:r>
    </w:p>
    <w:p w:rsidR="00D92198" w:rsidRDefault="00AE1128" w:rsidP="00A61652">
      <w:pPr>
        <w:spacing w:afterLines="100" w:after="312"/>
        <w:ind w:firstLine="643"/>
        <w:rPr>
          <w:rFonts w:ascii="仿宋_GB2312" w:eastAsia="仿宋_GB2312" w:hAnsi="仿宋_GB2312" w:cs="仿宋_GB2312"/>
          <w:sz w:val="32"/>
          <w:szCs w:val="32"/>
        </w:rPr>
      </w:pPr>
      <w:r>
        <w:rPr>
          <w:rFonts w:ascii="仿宋_GB2312" w:eastAsia="仿宋_GB2312" w:hAnsi="仿宋_GB2312" w:cs="仿宋_GB2312" w:hint="eastAsia"/>
          <w:sz w:val="32"/>
          <w:szCs w:val="32"/>
        </w:rPr>
        <w:t>完善南阳国家级综合运输通道高铁功能、强化与周边区域高铁互联互通。争取合西高铁南阳至信阳至六安段进入国家铁路“十四五”发展规划并开工建设，构筑南阳东向高铁通道。谋划南阳至商洛高铁，形成与关中平原城市群的快速通道，带动沿线城镇及旅游产业发展。争取呼南高铁豫西通道洛阳至南阳段进入国家相关规划，形成二湛运输通道的高铁主通道。积极争取南阳至驻马店至阜阳、南阳至十堰高铁进入国家相关规划、实现与周边相邻地市高铁直连。开展洛阳经南阳至十堰、南阳至山东济宁、焦作月山经南阳至湖北随州等铁路项目规划研究。建成南阳东站动车运用设施，强化南阳高铁客运始发终到功能。建成铁路二级物流基地，提升铁路货运能力。规划研究镇平至中心城区至南阳东站至新机场至唐河复航码头至桐柏淮源轨道交通。实施铁路专用线进企入园工程，打通铁路运输“最后一公里”。谋划途经主要旅游景点的轨道交通环线、中心城区轨道交通项目。</w:t>
      </w:r>
    </w:p>
    <w:p w:rsidR="00D92198" w:rsidRDefault="00AE1128" w:rsidP="00A61652">
      <w:pPr>
        <w:widowControl/>
        <w:shd w:val="clear" w:color="auto" w:fill="FFFFFF"/>
        <w:snapToGrid w:val="0"/>
        <w:spacing w:afterLines="100" w:after="312" w:line="600" w:lineRule="exact"/>
        <w:jc w:val="center"/>
        <w:rPr>
          <w:rFonts w:ascii="楷体_GB2312" w:eastAsia="楷体_GB2312" w:hAnsi="黑体"/>
          <w:b/>
          <w:sz w:val="32"/>
          <w:szCs w:val="32"/>
        </w:rPr>
      </w:pPr>
      <w:r>
        <w:rPr>
          <w:rFonts w:ascii="楷体_GB2312" w:eastAsia="楷体_GB2312" w:hAnsi="黑体" w:hint="eastAsia"/>
          <w:b/>
          <w:sz w:val="32"/>
          <w:szCs w:val="32"/>
        </w:rPr>
        <w:t>第三节  强力推进公路网建设</w:t>
      </w:r>
    </w:p>
    <w:p w:rsidR="00D92198" w:rsidRDefault="00AE1128" w:rsidP="00A61652">
      <w:pPr>
        <w:widowControl/>
        <w:shd w:val="clear" w:color="auto" w:fill="FFFFFF"/>
        <w:snapToGrid w:val="0"/>
        <w:spacing w:afterLines="100" w:after="312"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强化高速公路在交通运输中的支撑作用，完成郑西高速栾川至双龙段等续建项目，尽快启动实施渑淅、焦唐、南邓等高速公路建设，加快推动中心城区沪陕高速与S228等7个高速出入口建设，实现高速公路内联外通、互联互通、快联快通。改建新建中心城区环线道路、中心城区与组团城市间快速路和市域内主要运输大通道，不断完善国省道公路骨架网，升级改建交通拥堵路段和穿越城区段，消除等外干线路段</w:t>
      </w:r>
      <w:bookmarkStart w:id="17" w:name="_Hlk58945129"/>
      <w:r>
        <w:rPr>
          <w:rFonts w:ascii="仿宋_GB2312" w:eastAsia="仿宋_GB2312" w:hAnsi="仿宋_GB2312" w:cs="仿宋_GB2312" w:hint="eastAsia"/>
          <w:sz w:val="32"/>
          <w:szCs w:val="32"/>
        </w:rPr>
        <w:t>，国省道路网全部达到二级及以上公路标准</w:t>
      </w:r>
      <w:bookmarkEnd w:id="17"/>
      <w:r>
        <w:rPr>
          <w:rFonts w:ascii="仿宋_GB2312" w:eastAsia="仿宋_GB2312" w:hAnsi="仿宋_GB2312" w:cs="仿宋_GB2312" w:hint="eastAsia"/>
          <w:sz w:val="32"/>
          <w:szCs w:val="32"/>
        </w:rPr>
        <w:t>，构建规模适度、结构合理、功能完善、覆盖广泛、衔接顺畅、服务高效的普通国省干线公路网。加快南阳综合客运枢纽站建设和县市区客运站升级改造，构建综合化、公交化和城乡客运一体化的换乘体系。</w:t>
      </w:r>
    </w:p>
    <w:p w:rsidR="00D92198" w:rsidRDefault="00AE1128" w:rsidP="00A61652">
      <w:pPr>
        <w:widowControl/>
        <w:shd w:val="clear" w:color="auto" w:fill="FFFFFF"/>
        <w:snapToGrid w:val="0"/>
        <w:spacing w:afterLines="100" w:after="312" w:line="600" w:lineRule="exact"/>
        <w:jc w:val="center"/>
        <w:rPr>
          <w:rFonts w:ascii="楷体_GB2312" w:eastAsia="楷体_GB2312" w:hAnsi="仿宋"/>
          <w:b/>
          <w:sz w:val="32"/>
          <w:szCs w:val="32"/>
        </w:rPr>
      </w:pPr>
      <w:r>
        <w:rPr>
          <w:rFonts w:ascii="楷体_GB2312" w:eastAsia="楷体_GB2312" w:hAnsi="仿宋" w:hint="eastAsia"/>
          <w:b/>
          <w:sz w:val="32"/>
          <w:szCs w:val="32"/>
        </w:rPr>
        <w:t>第四节  加快构建畅通高效水运通道</w:t>
      </w:r>
    </w:p>
    <w:p w:rsidR="00D92198" w:rsidRDefault="00AE1128">
      <w:pPr>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加快推进重要水运工程建设，谋划推进以唐河为骨干，白河、湍河、丹江为支线，唐沙运河为联络线，向南接入汉江，通达长江干线，向北接入沙颍河，通达淮河干线的“一干三支一联”内河航道网。加快唐河航运一期、二期工程建设，打造起于南阳，经唐河、汉江至长江的全新水运通道。开展白河、湍河航道工程前期研究工作，做好唐沙运河线位空间预留，统筹预控跨航、涉航相关设施建设标准。加快推动唐河港区、社旗港区集装箱码头等配套设施建设，统筹推进桥梁等碍航设施</w:t>
      </w:r>
      <w:r>
        <w:rPr>
          <w:rFonts w:ascii="仿宋_GB2312" w:eastAsia="仿宋_GB2312" w:hAnsi="仿宋_GB2312" w:cs="仿宋_GB2312" w:hint="eastAsia"/>
          <w:sz w:val="32"/>
          <w:szCs w:val="32"/>
        </w:rPr>
        <w:lastRenderedPageBreak/>
        <w:t>改造。</w:t>
      </w:r>
    </w:p>
    <w:tbl>
      <w:tblPr>
        <w:tblpPr w:leftFromText="180" w:rightFromText="180" w:vertAnchor="text" w:horzAnchor="margin" w:tblpXSpec="center" w:tblpY="236"/>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4"/>
      </w:tblGrid>
      <w:tr w:rsidR="00D92198">
        <w:trPr>
          <w:trHeight w:val="682"/>
          <w:jc w:val="center"/>
        </w:trPr>
        <w:tc>
          <w:tcPr>
            <w:tcW w:w="8504" w:type="dxa"/>
            <w:vAlign w:val="center"/>
          </w:tcPr>
          <w:p w:rsidR="00D92198" w:rsidRDefault="00AE1128">
            <w:pPr>
              <w:adjustRightInd w:val="0"/>
              <w:snapToGrid w:val="0"/>
              <w:spacing w:line="600" w:lineRule="exact"/>
              <w:jc w:val="center"/>
              <w:rPr>
                <w:rFonts w:ascii="黑体" w:eastAsia="黑体" w:hAnsi="黑体"/>
                <w:bCs/>
                <w:sz w:val="30"/>
                <w:szCs w:val="30"/>
              </w:rPr>
            </w:pPr>
            <w:r>
              <w:rPr>
                <w:rFonts w:ascii="黑体" w:eastAsia="黑体" w:hAnsi="黑体" w:hint="eastAsia"/>
                <w:bCs/>
                <w:sz w:val="30"/>
                <w:szCs w:val="30"/>
              </w:rPr>
              <w:t>专栏5：交通基础设施</w:t>
            </w:r>
            <w:r>
              <w:rPr>
                <w:rFonts w:ascii="黑体" w:eastAsia="黑体" w:hAnsi="黑体"/>
                <w:bCs/>
                <w:sz w:val="30"/>
                <w:szCs w:val="30"/>
              </w:rPr>
              <w:t>重点工程</w:t>
            </w:r>
          </w:p>
        </w:tc>
      </w:tr>
      <w:tr w:rsidR="00D92198">
        <w:trPr>
          <w:trHeight w:val="1126"/>
          <w:jc w:val="center"/>
        </w:trPr>
        <w:tc>
          <w:tcPr>
            <w:tcW w:w="8504" w:type="dxa"/>
            <w:vAlign w:val="center"/>
          </w:tcPr>
          <w:p w:rsidR="00D92198" w:rsidRDefault="00AE1128">
            <w:pPr>
              <w:spacing w:line="500" w:lineRule="exact"/>
              <w:ind w:firstLineChars="200" w:firstLine="562"/>
              <w:rPr>
                <w:rFonts w:ascii="仿宋_GB2312" w:eastAsia="仿宋_GB2312"/>
                <w:sz w:val="28"/>
                <w:szCs w:val="28"/>
              </w:rPr>
            </w:pPr>
            <w:r>
              <w:rPr>
                <w:rFonts w:hint="eastAsia"/>
                <w:b/>
                <w:sz w:val="28"/>
                <w:szCs w:val="28"/>
              </w:rPr>
              <w:t>1.</w:t>
            </w:r>
            <w:r>
              <w:rPr>
                <w:rFonts w:hint="eastAsia"/>
                <w:b/>
                <w:sz w:val="28"/>
                <w:szCs w:val="28"/>
              </w:rPr>
              <w:t>铁路专用线项目。</w:t>
            </w:r>
            <w:r>
              <w:rPr>
                <w:rFonts w:ascii="仿宋_GB2312" w:eastAsia="仿宋_GB2312" w:hint="eastAsia"/>
                <w:sz w:val="28"/>
                <w:szCs w:val="28"/>
              </w:rPr>
              <w:t>续建中誉国信内乡煤炭储备基地铁路专用线；积极推进西峡公铁联运物流园专用线、南阳港唐河临港物流园铁路专用线、内乡牧原智慧物流园铁路专用线、南召中铁路港物流园铁路专用线、卧龙综合保税区国际陆港铁路专用线、镇平县产业集聚区铁路专用线、南阳静脉产业园铁路专用线、邓州现代物流园铁路专用线、新野县工业园区铁路专用线、方城县铁路货运专用线、方城中南公司铁路专用线规划建设。</w:t>
            </w:r>
          </w:p>
          <w:p w:rsidR="00D92198" w:rsidRDefault="00AE1128">
            <w:pPr>
              <w:spacing w:line="500" w:lineRule="exact"/>
              <w:ind w:firstLineChars="200" w:firstLine="562"/>
              <w:rPr>
                <w:rFonts w:ascii="仿宋_GB2312" w:eastAsia="仿宋_GB2312"/>
                <w:b/>
                <w:sz w:val="28"/>
                <w:szCs w:val="28"/>
              </w:rPr>
            </w:pPr>
            <w:r>
              <w:rPr>
                <w:rFonts w:hint="eastAsia"/>
                <w:b/>
                <w:sz w:val="28"/>
                <w:szCs w:val="28"/>
              </w:rPr>
              <w:t>2.</w:t>
            </w:r>
            <w:r>
              <w:rPr>
                <w:rFonts w:hint="eastAsia"/>
                <w:b/>
                <w:sz w:val="28"/>
                <w:szCs w:val="28"/>
              </w:rPr>
              <w:t>高速公路。</w:t>
            </w:r>
            <w:r>
              <w:rPr>
                <w:rFonts w:ascii="仿宋_GB2312" w:eastAsia="仿宋_GB2312" w:hint="eastAsia"/>
                <w:b/>
                <w:sz w:val="28"/>
                <w:szCs w:val="28"/>
              </w:rPr>
              <w:t>续建项目：</w:t>
            </w:r>
            <w:r>
              <w:rPr>
                <w:rFonts w:ascii="仿宋_GB2312" w:eastAsia="仿宋_GB2312" w:hint="eastAsia"/>
                <w:bCs/>
                <w:sz w:val="28"/>
                <w:szCs w:val="28"/>
              </w:rPr>
              <w:t>郑州至西峡高速公路栾川至双龙段和双龙至西峡段、渑池至淅川高速公路西峡至淅川段。</w:t>
            </w:r>
            <w:r>
              <w:rPr>
                <w:rFonts w:ascii="仿宋_GB2312" w:eastAsia="仿宋_GB2312" w:hint="eastAsia"/>
                <w:b/>
                <w:sz w:val="28"/>
                <w:szCs w:val="28"/>
              </w:rPr>
              <w:t>新建项目</w:t>
            </w:r>
            <w:r>
              <w:rPr>
                <w:rFonts w:ascii="仿宋_GB2312" w:eastAsia="仿宋_GB2312" w:hint="eastAsia"/>
                <w:sz w:val="28"/>
                <w:szCs w:val="28"/>
              </w:rPr>
              <w:t>：</w:t>
            </w:r>
            <w:r>
              <w:rPr>
                <w:rFonts w:ascii="仿宋_GB2312" w:eastAsia="仿宋_GB2312" w:hint="eastAsia"/>
                <w:bCs/>
                <w:sz w:val="28"/>
                <w:szCs w:val="28"/>
              </w:rPr>
              <w:t>开工建设南阳至邓州高速公路、渑池至淅川高速公路淅川至省界段、焦作至唐河高速公路汝州至方城段和方城至唐河段。</w:t>
            </w:r>
            <w:r>
              <w:rPr>
                <w:rFonts w:ascii="仿宋_GB2312" w:eastAsia="仿宋_GB2312" w:hint="eastAsia"/>
                <w:b/>
                <w:sz w:val="28"/>
                <w:szCs w:val="28"/>
              </w:rPr>
              <w:t>新增高速出入口：</w:t>
            </w:r>
            <w:r>
              <w:rPr>
                <w:rFonts w:ascii="仿宋_GB2312" w:eastAsia="仿宋_GB2312" w:hint="eastAsia"/>
                <w:sz w:val="28"/>
                <w:szCs w:val="28"/>
              </w:rPr>
              <w:t>中心城区新增沪陕高速与S228出口立交、沪陕高速与白河大道出口立交、二广高速与S329出口立交、二广高速与S237出口立交、商南高速与龙翔路出口立交、兰南高速与S330出口立交、二广高速与王安路出口立交。</w:t>
            </w:r>
          </w:p>
          <w:p w:rsidR="00D92198" w:rsidRDefault="00AE1128">
            <w:pPr>
              <w:spacing w:line="500" w:lineRule="exact"/>
              <w:ind w:firstLineChars="196" w:firstLine="551"/>
              <w:jc w:val="left"/>
              <w:rPr>
                <w:rFonts w:ascii="仿宋_GB2312" w:eastAsia="仿宋_GB2312"/>
                <w:b/>
                <w:sz w:val="28"/>
                <w:szCs w:val="28"/>
              </w:rPr>
            </w:pPr>
            <w:r>
              <w:rPr>
                <w:rFonts w:hint="eastAsia"/>
                <w:b/>
                <w:sz w:val="28"/>
                <w:szCs w:val="28"/>
              </w:rPr>
              <w:t>3.</w:t>
            </w:r>
            <w:r>
              <w:rPr>
                <w:rFonts w:hint="eastAsia"/>
                <w:b/>
                <w:sz w:val="28"/>
                <w:szCs w:val="28"/>
              </w:rPr>
              <w:t>干线公路。</w:t>
            </w:r>
            <w:r>
              <w:rPr>
                <w:rFonts w:ascii="仿宋_GB2312" w:eastAsia="仿宋_GB2312" w:hint="eastAsia"/>
                <w:b/>
                <w:sz w:val="28"/>
                <w:szCs w:val="28"/>
              </w:rPr>
              <w:t>贯通主干公路项目：</w:t>
            </w:r>
            <w:r>
              <w:rPr>
                <w:rFonts w:ascii="仿宋_GB2312" w:eastAsia="仿宋_GB2312" w:hint="eastAsia"/>
                <w:sz w:val="28"/>
                <w:szCs w:val="28"/>
              </w:rPr>
              <w:t>改建G312线、S103线、S234线、S237线、S239线、S243线、S239线等干线公路。</w:t>
            </w:r>
            <w:r>
              <w:rPr>
                <w:rFonts w:ascii="仿宋_GB2312" w:eastAsia="仿宋_GB2312" w:hint="eastAsia"/>
                <w:b/>
                <w:sz w:val="28"/>
                <w:szCs w:val="28"/>
              </w:rPr>
              <w:t>城区环线公路项目：</w:t>
            </w:r>
            <w:r>
              <w:rPr>
                <w:rFonts w:ascii="仿宋_GB2312" w:eastAsia="仿宋_GB2312" w:hint="eastAsia"/>
                <w:sz w:val="28"/>
                <w:szCs w:val="28"/>
              </w:rPr>
              <w:t>改建中心城区、新野、镇平、淅川、方城、南召、西峡、唐河、桐柏等县城区干线公路。</w:t>
            </w:r>
            <w:r>
              <w:rPr>
                <w:rFonts w:ascii="仿宋_GB2312" w:eastAsia="仿宋_GB2312" w:hint="eastAsia"/>
                <w:b/>
                <w:sz w:val="28"/>
                <w:szCs w:val="28"/>
              </w:rPr>
              <w:t>节点畅通公路项目</w:t>
            </w:r>
            <w:r>
              <w:rPr>
                <w:rFonts w:ascii="仿宋_GB2312" w:eastAsia="仿宋_GB2312" w:hint="eastAsia"/>
                <w:sz w:val="28"/>
                <w:szCs w:val="28"/>
              </w:rPr>
              <w:t>：升级改造G234、G328、G345、S228、S231、S237、S330、S334、S240、G207等国省道连接重要节点道路。</w:t>
            </w:r>
            <w:r>
              <w:rPr>
                <w:rFonts w:ascii="仿宋_GB2312" w:eastAsia="仿宋_GB2312" w:hint="eastAsia"/>
                <w:b/>
                <w:sz w:val="28"/>
                <w:szCs w:val="28"/>
              </w:rPr>
              <w:t>试点旅游路、生态路和品质路</w:t>
            </w:r>
            <w:r>
              <w:rPr>
                <w:rFonts w:ascii="仿宋_GB2312" w:eastAsia="仿宋_GB2312" w:hint="eastAsia"/>
                <w:sz w:val="28"/>
                <w:szCs w:val="28"/>
              </w:rPr>
              <w:t>：改建S239、S243、S328、S328、S331、S333、S527、</w:t>
            </w:r>
            <w:r>
              <w:rPr>
                <w:rFonts w:ascii="仿宋_GB2312" w:eastAsia="仿宋_GB2312"/>
                <w:sz w:val="28"/>
                <w:szCs w:val="28"/>
              </w:rPr>
              <w:t>S103</w:t>
            </w:r>
            <w:r>
              <w:rPr>
                <w:rFonts w:ascii="仿宋_GB2312" w:eastAsia="仿宋_GB2312" w:hint="eastAsia"/>
                <w:sz w:val="28"/>
                <w:szCs w:val="28"/>
              </w:rPr>
              <w:t>等与景区连接道路。</w:t>
            </w:r>
            <w:r>
              <w:rPr>
                <w:rFonts w:ascii="仿宋_GB2312" w:eastAsia="仿宋_GB2312" w:hint="eastAsia"/>
                <w:b/>
                <w:sz w:val="28"/>
                <w:szCs w:val="28"/>
              </w:rPr>
              <w:t>改建瓶</w:t>
            </w:r>
            <w:r>
              <w:rPr>
                <w:rFonts w:ascii="仿宋_GB2312" w:eastAsia="仿宋_GB2312" w:hint="eastAsia"/>
                <w:b/>
                <w:sz w:val="28"/>
                <w:szCs w:val="28"/>
              </w:rPr>
              <w:lastRenderedPageBreak/>
              <w:t>颈公路项目：</w:t>
            </w:r>
            <w:r>
              <w:rPr>
                <w:rFonts w:ascii="仿宋_GB2312" w:eastAsia="仿宋_GB2312" w:hint="eastAsia"/>
                <w:sz w:val="28"/>
                <w:szCs w:val="28"/>
              </w:rPr>
              <w:t>改建S328线、S526线、S531线、S331线“通而不畅”路段。</w:t>
            </w:r>
          </w:p>
          <w:p w:rsidR="00D92198" w:rsidRDefault="00AE1128">
            <w:pPr>
              <w:spacing w:line="500" w:lineRule="exact"/>
              <w:ind w:firstLineChars="196" w:firstLine="551"/>
              <w:rPr>
                <w:b/>
              </w:rPr>
            </w:pPr>
            <w:r>
              <w:rPr>
                <w:rFonts w:hint="eastAsia"/>
                <w:b/>
                <w:sz w:val="28"/>
                <w:szCs w:val="28"/>
              </w:rPr>
              <w:t>4.</w:t>
            </w:r>
            <w:r>
              <w:rPr>
                <w:rFonts w:hint="eastAsia"/>
                <w:b/>
                <w:sz w:val="28"/>
                <w:szCs w:val="28"/>
              </w:rPr>
              <w:t>场站建设。</w:t>
            </w:r>
            <w:r>
              <w:rPr>
                <w:rFonts w:ascii="仿宋_GB2312" w:eastAsia="仿宋_GB2312" w:hint="eastAsia"/>
                <w:b/>
                <w:sz w:val="28"/>
                <w:szCs w:val="28"/>
              </w:rPr>
              <w:t>综合枢纽站：</w:t>
            </w:r>
            <w:r>
              <w:rPr>
                <w:rFonts w:ascii="仿宋_GB2312" w:eastAsia="仿宋_GB2312" w:hint="eastAsia"/>
                <w:sz w:val="28"/>
                <w:szCs w:val="28"/>
              </w:rPr>
              <w:t>建设郑渝高铁南阳高铁客运枢纽站和方城县高铁公交客运枢纽站。</w:t>
            </w:r>
            <w:r>
              <w:rPr>
                <w:rFonts w:ascii="仿宋_GB2312" w:eastAsia="仿宋_GB2312" w:hint="eastAsia"/>
                <w:b/>
                <w:sz w:val="28"/>
                <w:szCs w:val="28"/>
              </w:rPr>
              <w:t>客运场站</w:t>
            </w:r>
            <w:r>
              <w:rPr>
                <w:rFonts w:ascii="仿宋_GB2312" w:eastAsia="仿宋_GB2312" w:hint="eastAsia"/>
                <w:sz w:val="28"/>
                <w:szCs w:val="28"/>
              </w:rPr>
              <w:t>：新建和续建镇平石佛寺玉雕湾客运站、内乡菊潭东客运站、内乡县顺通客运西站、淅川县金竹河旅游客运站、西峡县太平镇旅游客运站、西峡县城乡联营客运站、新野县客运站、南召县城区客运北站等客运站。</w:t>
            </w:r>
            <w:r>
              <w:rPr>
                <w:rFonts w:ascii="仿宋_GB2312" w:eastAsia="仿宋_GB2312" w:hint="eastAsia"/>
                <w:b/>
                <w:sz w:val="28"/>
                <w:szCs w:val="28"/>
              </w:rPr>
              <w:t>物流园区</w:t>
            </w:r>
            <w:r>
              <w:rPr>
                <w:rFonts w:ascii="仿宋_GB2312" w:eastAsia="仿宋_GB2312" w:hint="eastAsia"/>
                <w:sz w:val="28"/>
                <w:szCs w:val="28"/>
              </w:rPr>
              <w:t>：新建南阳国际陆港物流园区、宛运物流园区、内乡牧原智慧物流园、内乡煤贸物流园、内乡农村快递物流园、淅川城北综合物流园、淅川畅通物流中心、西峡公铁联运物流园、新野龙潭临港物流园、新野王庄临港物流园、唐河临港物流园区、安棚铁路货运物流园、南阳港社旗临港物流园区、方城高铁站区综合物流园、南阳豫南年中转300万吨粮食现代物流园等。</w:t>
            </w:r>
            <w:r>
              <w:rPr>
                <w:rFonts w:ascii="仿宋_GB2312" w:eastAsia="仿宋_GB2312" w:hint="eastAsia"/>
                <w:b/>
                <w:sz w:val="28"/>
                <w:szCs w:val="28"/>
              </w:rPr>
              <w:t>公交场站：</w:t>
            </w:r>
            <w:r>
              <w:rPr>
                <w:rFonts w:ascii="仿宋_GB2312" w:eastAsia="仿宋_GB2312" w:hint="eastAsia"/>
                <w:sz w:val="28"/>
                <w:szCs w:val="28"/>
              </w:rPr>
              <w:t>规划建设方庄、东环路、中关村、南阳汽车北站等公交综合停保场。</w:t>
            </w:r>
          </w:p>
        </w:tc>
      </w:tr>
    </w:tbl>
    <w:p w:rsidR="00D92198" w:rsidRDefault="00D92198">
      <w:pPr>
        <w:spacing w:line="560" w:lineRule="exact"/>
        <w:jc w:val="center"/>
        <w:rPr>
          <w:rFonts w:ascii="楷体_GB2312" w:eastAsia="楷体_GB2312" w:hAnsi="楷体" w:cs="仿宋_GB2312"/>
          <w:b/>
          <w:kern w:val="0"/>
          <w:sz w:val="32"/>
          <w:szCs w:val="32"/>
          <w:shd w:val="clear" w:color="auto" w:fill="FFFFFF"/>
        </w:rPr>
      </w:pPr>
    </w:p>
    <w:p w:rsidR="00D92198" w:rsidRDefault="00AE1128" w:rsidP="00A61652">
      <w:pPr>
        <w:spacing w:afterLines="100" w:after="312" w:line="560" w:lineRule="exact"/>
        <w:jc w:val="center"/>
        <w:rPr>
          <w:rFonts w:ascii="黑体" w:eastAsia="黑体" w:hAnsi="黑体" w:cs="仿宋_GB2312"/>
          <w:bCs/>
          <w:kern w:val="0"/>
          <w:sz w:val="32"/>
          <w:szCs w:val="32"/>
          <w:shd w:val="clear" w:color="auto" w:fill="FFFFFF"/>
        </w:rPr>
      </w:pPr>
      <w:r>
        <w:rPr>
          <w:rFonts w:ascii="黑体" w:eastAsia="黑体" w:hAnsi="黑体" w:cs="仿宋_GB2312" w:hint="eastAsia"/>
          <w:bCs/>
          <w:kern w:val="0"/>
          <w:sz w:val="32"/>
          <w:szCs w:val="32"/>
          <w:shd w:val="clear" w:color="auto" w:fill="FFFFFF"/>
        </w:rPr>
        <w:t>第十九章  加快建设能源支撑体系</w:t>
      </w:r>
    </w:p>
    <w:p w:rsidR="00D92198" w:rsidRDefault="00AE1128" w:rsidP="00A61652">
      <w:pPr>
        <w:spacing w:afterLines="100" w:after="312"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推动传统能源清洁高效利用，加快油气储备设施和油气管道建设，优化电力生产和输送通道布局，增强能源保障能力，构建清洁低碳、安全高效的能源支撑系统。</w:t>
      </w:r>
    </w:p>
    <w:p w:rsidR="00D92198" w:rsidRDefault="00AE1128" w:rsidP="00A61652">
      <w:pPr>
        <w:spacing w:afterLines="100" w:after="312" w:line="600" w:lineRule="exact"/>
        <w:jc w:val="center"/>
        <w:rPr>
          <w:rFonts w:ascii="楷体_GB2312" w:eastAsia="楷体_GB2312" w:hAnsi="仿宋_GB2312" w:cs="仿宋_GB2312"/>
          <w:b/>
          <w:sz w:val="32"/>
          <w:szCs w:val="32"/>
        </w:rPr>
      </w:pPr>
      <w:r>
        <w:rPr>
          <w:rFonts w:ascii="楷体_GB2312" w:eastAsia="楷体_GB2312" w:hAnsi="仿宋" w:hint="eastAsia"/>
          <w:b/>
          <w:sz w:val="32"/>
          <w:szCs w:val="32"/>
        </w:rPr>
        <w:t xml:space="preserve">第一节   </w:t>
      </w:r>
      <w:r>
        <w:rPr>
          <w:rFonts w:ascii="楷体_GB2312" w:eastAsia="楷体_GB2312" w:hAnsi="仿宋_GB2312" w:cs="仿宋_GB2312" w:hint="eastAsia"/>
          <w:b/>
          <w:sz w:val="32"/>
          <w:szCs w:val="32"/>
        </w:rPr>
        <w:t>完善能源输配网络</w:t>
      </w:r>
    </w:p>
    <w:p w:rsidR="00D92198" w:rsidRDefault="00AE1128" w:rsidP="00A61652">
      <w:pPr>
        <w:spacing w:afterLines="100" w:after="312"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统筹各电压等级电网协调发展，推进智能高效、区域平衡、输配衔接的坚强电网建设，形成以500kV变电站为中心的中部</w:t>
      </w:r>
      <w:r>
        <w:rPr>
          <w:rFonts w:ascii="仿宋_GB2312" w:eastAsia="仿宋_GB2312" w:hAnsi="仿宋_GB2312" w:cs="仿宋_GB2312" w:hint="eastAsia"/>
          <w:sz w:val="32"/>
          <w:szCs w:val="32"/>
        </w:rPr>
        <w:lastRenderedPageBreak/>
        <w:t>区域、南部区域、西部区域三大区域核心环网，建成全国重要的区域性电力联网枢纽。推进城镇和农村电网提档升级。积极促进新能源并网消纳。提升电网整体保障能力，提高供电可靠性,改善用电质量。加快“气化南阳”县县通管道建设，实现市域天然气管道全覆盖。加强天然气储气能力建设，试点推进分布式项目建设。加快推进西气东输三线中线河南段等天然气外引通道、县县通管道及互联互通管道等重点工程建设，实现天然气多气源供应。</w:t>
      </w:r>
    </w:p>
    <w:p w:rsidR="00D92198" w:rsidRDefault="00AE1128" w:rsidP="00A61652">
      <w:pPr>
        <w:spacing w:afterLines="100" w:after="312" w:line="600" w:lineRule="exact"/>
        <w:jc w:val="center"/>
        <w:rPr>
          <w:rFonts w:ascii="楷体_GB2312" w:eastAsia="楷体_GB2312" w:hAnsi="仿宋" w:cs="仿宋_GB2312"/>
          <w:b/>
          <w:bCs/>
          <w:kern w:val="0"/>
          <w:sz w:val="32"/>
          <w:szCs w:val="32"/>
          <w:shd w:val="clear" w:color="auto" w:fill="FFFFFF"/>
        </w:rPr>
      </w:pPr>
      <w:r>
        <w:rPr>
          <w:rFonts w:ascii="楷体_GB2312" w:eastAsia="楷体_GB2312" w:hAnsi="仿宋_GB2312" w:cs="仿宋_GB2312" w:hint="eastAsia"/>
          <w:b/>
          <w:sz w:val="32"/>
          <w:szCs w:val="32"/>
        </w:rPr>
        <w:t xml:space="preserve">第二节  </w:t>
      </w:r>
      <w:r>
        <w:rPr>
          <w:rFonts w:ascii="楷体_GB2312" w:eastAsia="楷体_GB2312" w:hAnsi="仿宋" w:cs="仿宋_GB2312" w:hint="eastAsia"/>
          <w:b/>
          <w:bCs/>
          <w:kern w:val="0"/>
          <w:sz w:val="32"/>
          <w:szCs w:val="32"/>
          <w:shd w:val="clear" w:color="auto" w:fill="FFFFFF"/>
        </w:rPr>
        <w:t xml:space="preserve"> 提升能源生产储备能力</w:t>
      </w:r>
    </w:p>
    <w:p w:rsidR="00D92198" w:rsidRDefault="00AE1128" w:rsidP="00A61652">
      <w:pPr>
        <w:spacing w:afterLines="100" w:after="312"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国投内乡电厂一期建成投产，开工建设内乡煤电运一体化煤炭储配中心二期工程。建设豫西南</w:t>
      </w:r>
      <w:r>
        <w:rPr>
          <w:rFonts w:ascii="仿宋_GB2312" w:eastAsia="仿宋_GB2312" w:hAnsi="仿宋_GB2312" w:cs="仿宋_GB2312"/>
          <w:sz w:val="32"/>
          <w:szCs w:val="32"/>
        </w:rPr>
        <w:t>LNG</w:t>
      </w:r>
      <w:r>
        <w:rPr>
          <w:rFonts w:ascii="仿宋_GB2312" w:eastAsia="仿宋_GB2312" w:hAnsi="仿宋_GB2312" w:cs="仿宋_GB2312" w:hint="eastAsia"/>
          <w:sz w:val="32"/>
          <w:szCs w:val="32"/>
        </w:rPr>
        <w:t>储配中心二期及连接线管道工程。争取新增火电装机指标，布局建设大型绿色煤电机组。淘汰落后产能，提高煤电能效指标。做好鸭电二期、内乡电厂等大机组供热改造，就近为地方供热，有条件的产业集聚区实现集中供热。</w:t>
      </w:r>
    </w:p>
    <w:tbl>
      <w:tblPr>
        <w:tblW w:w="8946" w:type="dxa"/>
        <w:tblLayout w:type="fixed"/>
        <w:tblLook w:val="04A0" w:firstRow="1" w:lastRow="0" w:firstColumn="1" w:lastColumn="0" w:noHBand="0" w:noVBand="1"/>
      </w:tblPr>
      <w:tblGrid>
        <w:gridCol w:w="8946"/>
      </w:tblGrid>
      <w:tr w:rsidR="00D92198">
        <w:tc>
          <w:tcPr>
            <w:tcW w:w="8946" w:type="dxa"/>
            <w:tcBorders>
              <w:top w:val="single" w:sz="4" w:space="0" w:color="auto"/>
              <w:left w:val="single" w:sz="4" w:space="0" w:color="auto"/>
              <w:bottom w:val="single" w:sz="4" w:space="0" w:color="auto"/>
              <w:right w:val="single" w:sz="4" w:space="0" w:color="auto"/>
            </w:tcBorders>
          </w:tcPr>
          <w:p w:rsidR="00D92198" w:rsidRDefault="00AE1128">
            <w:pPr>
              <w:adjustRightInd w:val="0"/>
              <w:snapToGrid w:val="0"/>
              <w:spacing w:line="600" w:lineRule="exact"/>
              <w:jc w:val="center"/>
              <w:rPr>
                <w:rFonts w:ascii="仿宋_GB2312" w:eastAsia="仿宋_GB2312" w:cs="仿宋_GB2312"/>
                <w:b/>
                <w:kern w:val="0"/>
                <w:sz w:val="30"/>
                <w:szCs w:val="30"/>
                <w:shd w:val="clear" w:color="auto" w:fill="FFFFFF"/>
              </w:rPr>
            </w:pPr>
            <w:r>
              <w:rPr>
                <w:rFonts w:ascii="黑体" w:eastAsia="黑体" w:hAnsi="黑体" w:hint="eastAsia"/>
                <w:bCs/>
                <w:sz w:val="30"/>
                <w:szCs w:val="30"/>
              </w:rPr>
              <w:t xml:space="preserve"> 专栏6：能源支撑保障重点工程</w:t>
            </w:r>
          </w:p>
        </w:tc>
      </w:tr>
      <w:tr w:rsidR="00D92198">
        <w:trPr>
          <w:trHeight w:val="1266"/>
        </w:trPr>
        <w:tc>
          <w:tcPr>
            <w:tcW w:w="8946" w:type="dxa"/>
            <w:tcBorders>
              <w:top w:val="single" w:sz="4" w:space="0" w:color="auto"/>
              <w:left w:val="single" w:sz="4" w:space="0" w:color="auto"/>
              <w:bottom w:val="single" w:sz="4" w:space="0" w:color="auto"/>
              <w:right w:val="single" w:sz="4" w:space="0" w:color="auto"/>
            </w:tcBorders>
          </w:tcPr>
          <w:p w:rsidR="00D92198" w:rsidRDefault="00AE1128">
            <w:pPr>
              <w:spacing w:line="500" w:lineRule="exact"/>
              <w:ind w:firstLineChars="196" w:firstLine="551"/>
              <w:rPr>
                <w:rFonts w:ascii="仿宋_GB2312" w:eastAsia="仿宋_GB2312" w:hAnsi="仿宋" w:cs="仿宋_GB2312"/>
                <w:kern w:val="0"/>
                <w:sz w:val="28"/>
                <w:szCs w:val="28"/>
                <w:shd w:val="clear" w:color="auto" w:fill="FFFFFF"/>
              </w:rPr>
            </w:pPr>
            <w:r>
              <w:rPr>
                <w:rFonts w:ascii="仿宋_GB2312" w:eastAsia="仿宋_GB2312" w:hAnsiTheme="majorEastAsia" w:hint="eastAsia"/>
                <w:b/>
                <w:sz w:val="28"/>
                <w:szCs w:val="28"/>
              </w:rPr>
              <w:t>1.超低排放煤电项目。</w:t>
            </w:r>
            <w:r>
              <w:rPr>
                <w:rFonts w:ascii="仿宋_GB2312" w:eastAsia="仿宋_GB2312" w:hAnsi="仿宋" w:cs="仿宋_GB2312" w:hint="eastAsia"/>
                <w:kern w:val="0"/>
                <w:sz w:val="28"/>
                <w:szCs w:val="28"/>
                <w:shd w:val="clear" w:color="auto" w:fill="FFFFFF"/>
              </w:rPr>
              <w:t>建成内乡煤电运一体化2</w:t>
            </w:r>
            <w:r>
              <w:rPr>
                <w:rFonts w:ascii="仿宋_GB2312" w:eastAsia="仿宋_GB2312" w:hAnsi="仿宋" w:cs="Arial" w:hint="eastAsia"/>
                <w:kern w:val="0"/>
                <w:sz w:val="28"/>
                <w:szCs w:val="28"/>
                <w:shd w:val="clear" w:color="auto" w:fill="FFFFFF"/>
              </w:rPr>
              <w:t>×</w:t>
            </w:r>
            <w:r>
              <w:rPr>
                <w:rFonts w:ascii="仿宋_GB2312" w:eastAsia="仿宋_GB2312" w:hAnsi="仿宋" w:cs="仿宋_GB2312" w:hint="eastAsia"/>
                <w:kern w:val="0"/>
                <w:sz w:val="28"/>
                <w:szCs w:val="28"/>
                <w:shd w:val="clear" w:color="auto" w:fill="FFFFFF"/>
              </w:rPr>
              <w:t>100万千瓦电厂项目，力争南阳新增200万火电装机列入国家和省级专项规划。</w:t>
            </w:r>
          </w:p>
          <w:p w:rsidR="00D92198" w:rsidRDefault="00AE1128">
            <w:pPr>
              <w:spacing w:line="500" w:lineRule="exact"/>
              <w:ind w:firstLineChars="196" w:firstLine="551"/>
              <w:rPr>
                <w:rFonts w:ascii="仿宋_GB2312" w:eastAsia="仿宋_GB2312" w:hAnsi="仿宋" w:cs="仿宋_GB2312"/>
                <w:kern w:val="0"/>
                <w:sz w:val="28"/>
                <w:szCs w:val="28"/>
                <w:shd w:val="clear" w:color="auto" w:fill="FFFFFF"/>
              </w:rPr>
            </w:pPr>
            <w:r>
              <w:rPr>
                <w:rFonts w:ascii="仿宋_GB2312" w:eastAsia="仿宋_GB2312" w:hAnsiTheme="majorEastAsia" w:hint="eastAsia"/>
                <w:b/>
                <w:sz w:val="28"/>
                <w:szCs w:val="28"/>
              </w:rPr>
              <w:t>2.区域性天然气输配中心。</w:t>
            </w:r>
            <w:r>
              <w:rPr>
                <w:rFonts w:ascii="仿宋_GB2312" w:eastAsia="仿宋_GB2312" w:hAnsi="仿宋" w:cs="仿宋_GB2312" w:hint="eastAsia"/>
                <w:kern w:val="0"/>
                <w:sz w:val="28"/>
                <w:szCs w:val="28"/>
                <w:shd w:val="clear" w:color="auto" w:fill="FFFFFF"/>
              </w:rPr>
              <w:t>建设镇平-邓州，镇平-内乡-西峡，淅川等县县通天然气管道项目，推进西气东输三线中线河南段、商南-西峡等</w:t>
            </w:r>
            <w:r>
              <w:rPr>
                <w:rFonts w:ascii="仿宋_GB2312" w:eastAsia="仿宋_GB2312" w:hAnsi="仿宋" w:cs="仿宋_GB2312" w:hint="eastAsia"/>
                <w:kern w:val="0"/>
                <w:sz w:val="28"/>
                <w:szCs w:val="28"/>
                <w:shd w:val="clear" w:color="auto" w:fill="FFFFFF"/>
              </w:rPr>
              <w:lastRenderedPageBreak/>
              <w:t>天然气外引通道项目建设。</w:t>
            </w:r>
          </w:p>
          <w:p w:rsidR="00D92198" w:rsidRDefault="00AE1128">
            <w:pPr>
              <w:spacing w:line="500" w:lineRule="exact"/>
              <w:ind w:firstLineChars="196" w:firstLine="551"/>
              <w:rPr>
                <w:rFonts w:ascii="仿宋_GB2312" w:eastAsia="仿宋_GB2312" w:hAnsi="仿宋" w:cs="仿宋_GB2312"/>
                <w:kern w:val="0"/>
                <w:sz w:val="28"/>
                <w:szCs w:val="28"/>
                <w:shd w:val="clear" w:color="auto" w:fill="FFFFFF"/>
              </w:rPr>
            </w:pPr>
            <w:r>
              <w:rPr>
                <w:rFonts w:ascii="仿宋_GB2312" w:eastAsia="仿宋_GB2312" w:hAnsiTheme="majorEastAsia" w:hint="eastAsia"/>
                <w:b/>
                <w:sz w:val="28"/>
                <w:szCs w:val="28"/>
              </w:rPr>
              <w:t>3.煤炭储配中心。</w:t>
            </w:r>
            <w:r>
              <w:rPr>
                <w:rFonts w:ascii="仿宋_GB2312" w:eastAsia="仿宋_GB2312" w:hAnsi="仿宋" w:cs="仿宋_GB2312" w:hint="eastAsia"/>
                <w:kern w:val="0"/>
                <w:sz w:val="28"/>
                <w:szCs w:val="28"/>
                <w:shd w:val="clear" w:color="auto" w:fill="FFFFFF"/>
              </w:rPr>
              <w:t>建设内乡煤电运一体化煤炭储配中心二期工程、西峡公铁联运物流园煤炭储备项目。</w:t>
            </w:r>
          </w:p>
          <w:p w:rsidR="00D92198" w:rsidRDefault="00AE1128">
            <w:pPr>
              <w:spacing w:line="500" w:lineRule="exact"/>
              <w:ind w:firstLineChars="196" w:firstLine="551"/>
              <w:rPr>
                <w:rFonts w:ascii="仿宋_GB2312" w:eastAsia="仿宋_GB2312" w:hAnsi="仿宋" w:cs="仿宋_GB2312"/>
                <w:kern w:val="0"/>
                <w:sz w:val="28"/>
                <w:szCs w:val="28"/>
                <w:shd w:val="clear" w:color="auto" w:fill="FFFFFF"/>
              </w:rPr>
            </w:pPr>
            <w:r>
              <w:rPr>
                <w:rFonts w:ascii="仿宋_GB2312" w:eastAsia="仿宋_GB2312" w:hAnsiTheme="majorEastAsia" w:hint="eastAsia"/>
                <w:b/>
                <w:sz w:val="28"/>
                <w:szCs w:val="28"/>
              </w:rPr>
              <w:t>4.电网工程。</w:t>
            </w:r>
            <w:r>
              <w:rPr>
                <w:rFonts w:ascii="仿宋_GB2312" w:eastAsia="仿宋_GB2312" w:hAnsi="仿宋" w:cs="仿宋_GB2312" w:hint="eastAsia"/>
                <w:kern w:val="0"/>
                <w:sz w:val="28"/>
                <w:szCs w:val="28"/>
                <w:shd w:val="clear" w:color="auto" w:fill="FFFFFF"/>
              </w:rPr>
              <w:t>扩建玉都500kV输变电工程；新建12座220kV变电站，增容扩建得胜、磙子沟等8座变电站，新增主变容量3540MVA；新建110kV石桥、长江等43座变电站，扩建甘霖、祥和等24座变电站，新增变电容量3493MVA。</w:t>
            </w:r>
          </w:p>
        </w:tc>
      </w:tr>
    </w:tbl>
    <w:p w:rsidR="00D92198" w:rsidRDefault="00D92198" w:rsidP="00A61652">
      <w:pPr>
        <w:spacing w:afterLines="100" w:after="312" w:line="400" w:lineRule="exact"/>
        <w:ind w:firstLineChars="200" w:firstLine="643"/>
        <w:jc w:val="center"/>
        <w:rPr>
          <w:rFonts w:ascii="楷体_GB2312" w:eastAsia="楷体_GB2312" w:hAnsi="仿宋_GB2312" w:cs="仿宋_GB2312"/>
          <w:b/>
          <w:sz w:val="32"/>
          <w:szCs w:val="32"/>
        </w:rPr>
      </w:pPr>
    </w:p>
    <w:p w:rsidR="00D92198" w:rsidRDefault="00AE1128" w:rsidP="00A61652">
      <w:pPr>
        <w:spacing w:afterLines="100" w:after="312" w:line="550" w:lineRule="exact"/>
        <w:jc w:val="center"/>
        <w:rPr>
          <w:rFonts w:ascii="黑体" w:eastAsia="黑体" w:hAnsi="黑体" w:cs="仿宋_GB2312"/>
          <w:bCs/>
          <w:sz w:val="32"/>
          <w:szCs w:val="32"/>
        </w:rPr>
      </w:pPr>
      <w:r>
        <w:rPr>
          <w:rFonts w:ascii="黑体" w:eastAsia="黑体" w:hAnsi="黑体" w:cs="仿宋_GB2312" w:hint="eastAsia"/>
          <w:bCs/>
          <w:sz w:val="32"/>
          <w:szCs w:val="32"/>
        </w:rPr>
        <w:t>第二十章  加快水利基础设施建设</w:t>
      </w:r>
    </w:p>
    <w:p w:rsidR="00D92198" w:rsidRDefault="00AE1128" w:rsidP="00A61652">
      <w:pPr>
        <w:spacing w:afterLines="100" w:after="312"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深入实施四水同治，以雨水洪水资源化、南水北调配水科学化、水库供水最优化、水资源配置均衡化为重点，持续提升水资源配置、水生态修复、水环境治理、水灾害防治能力。统筹推进重大水利工程和民生水利工程建设，构建“系统完善、丰枯调剂、循环畅通、多源互补、安全高效、清水绿岸”的现代化水利网络体系。加快重要支流治理和大中型水库工程建设，实施大中型灌区续建配套与现代化改造、病险水库（水闸）除险加固工程。持续推进唐白河治理、淅川丹江鄂豫河段防洪等治理工程，建成内乡北湾水库，新建方城汉山、西峡湾潭等大中型水库，开展南水北调调蓄工程前期工作。完善城市防洪工程，强化涝区治理，开展山洪灾害防治。完善灌排体系，加快推进重点灌区建设，大力发展节水灌溉，以小型农田水利为重</w:t>
      </w:r>
      <w:r>
        <w:rPr>
          <w:rFonts w:ascii="仿宋_GB2312" w:eastAsia="仿宋_GB2312" w:hAnsi="仿宋_GB2312" w:cs="仿宋_GB2312" w:hint="eastAsia"/>
          <w:sz w:val="32"/>
          <w:szCs w:val="32"/>
        </w:rPr>
        <w:lastRenderedPageBreak/>
        <w:t>点加强农田水利建设力度，着力推进粮食主产区等重点地区应急抗旱水源建设。创新农田水利设施建设体制机制。</w:t>
      </w:r>
    </w:p>
    <w:tbl>
      <w:tblPr>
        <w:tblW w:w="5000" w:type="pct"/>
        <w:tblLook w:val="04A0" w:firstRow="1" w:lastRow="0" w:firstColumn="1" w:lastColumn="0" w:noHBand="0" w:noVBand="1"/>
      </w:tblPr>
      <w:tblGrid>
        <w:gridCol w:w="8890"/>
      </w:tblGrid>
      <w:tr w:rsidR="00D92198">
        <w:tc>
          <w:tcPr>
            <w:tcW w:w="5000" w:type="pct"/>
            <w:tcBorders>
              <w:top w:val="single" w:sz="4" w:space="0" w:color="auto"/>
              <w:left w:val="single" w:sz="4" w:space="0" w:color="auto"/>
              <w:bottom w:val="single" w:sz="4" w:space="0" w:color="auto"/>
              <w:right w:val="single" w:sz="4" w:space="0" w:color="auto"/>
            </w:tcBorders>
          </w:tcPr>
          <w:p w:rsidR="00D92198" w:rsidRDefault="00AE1128">
            <w:pPr>
              <w:adjustRightInd w:val="0"/>
              <w:snapToGrid w:val="0"/>
              <w:spacing w:line="600" w:lineRule="exact"/>
              <w:jc w:val="center"/>
              <w:rPr>
                <w:rFonts w:ascii="仿宋_GB2312" w:eastAsia="仿宋_GB2312" w:cs="仿宋_GB2312"/>
                <w:b/>
                <w:kern w:val="0"/>
                <w:sz w:val="30"/>
                <w:szCs w:val="30"/>
                <w:shd w:val="clear" w:color="auto" w:fill="FFFFFF"/>
              </w:rPr>
            </w:pPr>
            <w:r>
              <w:rPr>
                <w:rFonts w:ascii="黑体" w:eastAsia="黑体" w:hAnsi="黑体" w:hint="eastAsia"/>
                <w:bCs/>
                <w:sz w:val="30"/>
                <w:szCs w:val="30"/>
              </w:rPr>
              <w:t>专栏7：水利重点工程</w:t>
            </w:r>
          </w:p>
        </w:tc>
      </w:tr>
      <w:tr w:rsidR="00D92198">
        <w:tc>
          <w:tcPr>
            <w:tcW w:w="5000" w:type="pct"/>
            <w:tcBorders>
              <w:top w:val="single" w:sz="4" w:space="0" w:color="auto"/>
              <w:left w:val="single" w:sz="4" w:space="0" w:color="auto"/>
              <w:bottom w:val="single" w:sz="4" w:space="0" w:color="auto"/>
              <w:right w:val="single" w:sz="4" w:space="0" w:color="auto"/>
            </w:tcBorders>
          </w:tcPr>
          <w:p w:rsidR="00D92198" w:rsidRDefault="00AE1128">
            <w:pPr>
              <w:spacing w:line="500" w:lineRule="exact"/>
              <w:ind w:firstLineChars="196" w:firstLine="551"/>
              <w:jc w:val="left"/>
              <w:rPr>
                <w:rFonts w:ascii="仿宋_GB2312" w:eastAsia="仿宋_GB2312" w:hAnsi="仿宋"/>
                <w:sz w:val="28"/>
                <w:szCs w:val="28"/>
              </w:rPr>
            </w:pPr>
            <w:r>
              <w:rPr>
                <w:rFonts w:ascii="仿宋_GB2312" w:eastAsia="仿宋_GB2312" w:hAnsi="仿宋" w:hint="eastAsia"/>
                <w:b/>
                <w:sz w:val="28"/>
                <w:szCs w:val="28"/>
              </w:rPr>
              <w:t>1.供水安全工程。</w:t>
            </w:r>
            <w:r>
              <w:rPr>
                <w:rFonts w:ascii="仿宋_GB2312" w:eastAsia="仿宋_GB2312" w:hAnsi="仿宋" w:hint="eastAsia"/>
                <w:sz w:val="28"/>
                <w:szCs w:val="28"/>
              </w:rPr>
              <w:t>新建汉山大型水库1座；新建及续建内乡县北湾水库(在建)、西峡县湾潭水库、桐柏县李家畈水库；实施鸭河口水库清淤扩容工程、南阳市中心城区上游水系连通工程；适时启动南水北调方城县贾河调蓄工程、南阳市鸭河口水库调蓄工程前期工作。</w:t>
            </w:r>
          </w:p>
          <w:p w:rsidR="00D92198" w:rsidRDefault="00AE1128">
            <w:pPr>
              <w:spacing w:line="500" w:lineRule="exact"/>
              <w:ind w:firstLineChars="196" w:firstLine="551"/>
              <w:rPr>
                <w:rFonts w:ascii="仿宋_GB2312" w:eastAsia="仿宋_GB2312" w:hAnsi="仿宋"/>
                <w:sz w:val="28"/>
                <w:szCs w:val="28"/>
              </w:rPr>
            </w:pPr>
            <w:r>
              <w:rPr>
                <w:rFonts w:ascii="仿宋_GB2312" w:eastAsia="仿宋_GB2312" w:hAnsi="仿宋" w:hint="eastAsia"/>
                <w:b/>
                <w:sz w:val="28"/>
                <w:szCs w:val="28"/>
              </w:rPr>
              <w:t>2.农村水利工程。</w:t>
            </w:r>
            <w:r>
              <w:rPr>
                <w:rFonts w:ascii="仿宋_GB2312" w:eastAsia="仿宋_GB2312" w:hAnsi="仿宋" w:hint="eastAsia"/>
                <w:sz w:val="28"/>
                <w:szCs w:val="28"/>
              </w:rPr>
              <w:t>规划实施鸭河口灌区、赵湾灌区、虎山灌区等大中型灌区续建配套与现代化改造工程;推进卧龙区水系连通工程建设；规划实施淅川县、唐河县、社旗县、镇平县、官庄工区等5处农村水系综合整治项目；规划实施新野县、内乡县、淅川县、唐河县、卧龙区等5处城乡供水一体化工程；规划实施西峡、南召、内乡、浙川等县4处抗旱应急水源工程。</w:t>
            </w:r>
          </w:p>
          <w:p w:rsidR="00D92198" w:rsidRDefault="00AE1128">
            <w:pPr>
              <w:pStyle w:val="aa"/>
              <w:spacing w:line="500" w:lineRule="exact"/>
              <w:ind w:firstLineChars="196" w:firstLine="551"/>
              <w:jc w:val="left"/>
              <w:rPr>
                <w:rFonts w:ascii="仿宋_GB2312" w:eastAsia="仿宋_GB2312" w:hAnsi="仿宋"/>
                <w:b w:val="0"/>
                <w:bCs w:val="0"/>
                <w:kern w:val="2"/>
                <w:sz w:val="28"/>
                <w:szCs w:val="28"/>
              </w:rPr>
            </w:pPr>
            <w:r>
              <w:rPr>
                <w:rFonts w:ascii="仿宋_GB2312" w:eastAsia="仿宋_GB2312" w:hAnsi="仿宋" w:hint="eastAsia"/>
                <w:bCs w:val="0"/>
                <w:kern w:val="2"/>
                <w:sz w:val="28"/>
                <w:szCs w:val="28"/>
              </w:rPr>
              <w:t>3.防洪安全工程。</w:t>
            </w:r>
            <w:r>
              <w:rPr>
                <w:rFonts w:ascii="仿宋_GB2312" w:eastAsia="仿宋_GB2312" w:hAnsi="仿宋" w:hint="eastAsia"/>
                <w:b w:val="0"/>
                <w:bCs w:val="0"/>
                <w:kern w:val="2"/>
                <w:sz w:val="28"/>
                <w:szCs w:val="28"/>
              </w:rPr>
              <w:t>实施丹江鄂豫河段防洪治理(河南段)、唐白河干流防洪治理、中心城区内河上游水环境综合治理工程。</w:t>
            </w:r>
          </w:p>
          <w:p w:rsidR="00D92198" w:rsidRDefault="00D92198">
            <w:pPr>
              <w:spacing w:line="400" w:lineRule="exact"/>
              <w:ind w:firstLineChars="196" w:firstLine="470"/>
              <w:jc w:val="left"/>
              <w:rPr>
                <w:rFonts w:ascii="仿宋_GB2312" w:eastAsia="仿宋_GB2312" w:hAnsi="仿宋"/>
                <w:sz w:val="24"/>
                <w:szCs w:val="24"/>
              </w:rPr>
            </w:pPr>
          </w:p>
        </w:tc>
      </w:tr>
    </w:tbl>
    <w:p w:rsidR="00D92198" w:rsidRDefault="00D92198">
      <w:pPr>
        <w:spacing w:line="400" w:lineRule="exact"/>
        <w:jc w:val="center"/>
        <w:rPr>
          <w:rFonts w:ascii="楷体_GB2312" w:eastAsia="楷体_GB2312" w:hAnsi="楷体" w:cs="仿宋_GB2312"/>
          <w:b/>
          <w:kern w:val="0"/>
          <w:sz w:val="32"/>
          <w:szCs w:val="32"/>
          <w:shd w:val="clear" w:color="auto" w:fill="FFFFFF"/>
        </w:rPr>
      </w:pPr>
    </w:p>
    <w:p w:rsidR="00D92198" w:rsidRDefault="00AE1128" w:rsidP="00A61652">
      <w:pPr>
        <w:spacing w:afterLines="100" w:after="312" w:line="400" w:lineRule="exact"/>
        <w:jc w:val="center"/>
        <w:rPr>
          <w:rFonts w:ascii="黑体" w:eastAsia="黑体" w:hAnsi="黑体" w:cs="仿宋_GB2312"/>
          <w:bCs/>
          <w:kern w:val="0"/>
          <w:sz w:val="32"/>
          <w:szCs w:val="32"/>
          <w:shd w:val="clear" w:color="auto" w:fill="FFFFFF"/>
        </w:rPr>
      </w:pPr>
      <w:r>
        <w:rPr>
          <w:rFonts w:ascii="黑体" w:eastAsia="黑体" w:hAnsi="黑体" w:cs="仿宋_GB2312" w:hint="eastAsia"/>
          <w:bCs/>
          <w:kern w:val="0"/>
          <w:sz w:val="32"/>
          <w:szCs w:val="32"/>
          <w:shd w:val="clear" w:color="auto" w:fill="FFFFFF"/>
        </w:rPr>
        <w:t>第二十一章  加快全域信息基础设施建设</w:t>
      </w:r>
    </w:p>
    <w:p w:rsidR="00D92198" w:rsidRDefault="00AE1128" w:rsidP="00A61652">
      <w:pPr>
        <w:spacing w:afterLines="100" w:after="312" w:line="600" w:lineRule="exact"/>
        <w:ind w:firstLineChars="200" w:firstLine="640"/>
        <w:rPr>
          <w:rFonts w:ascii="仿宋_GB2312" w:eastAsia="仿宋_GB2312" w:hAnsi="仿宋_GB2312" w:cs="仿宋_GB2312"/>
          <w:kern w:val="0"/>
          <w:sz w:val="32"/>
          <w:szCs w:val="32"/>
          <w:shd w:val="clear" w:color="auto" w:fill="FFFFFF"/>
        </w:rPr>
      </w:pPr>
      <w:r>
        <w:rPr>
          <w:rFonts w:ascii="仿宋_GB2312" w:eastAsia="仿宋_GB2312" w:hAnsi="仿宋_GB2312" w:cs="仿宋_GB2312"/>
          <w:kern w:val="0"/>
          <w:sz w:val="32"/>
          <w:szCs w:val="32"/>
          <w:shd w:val="clear" w:color="auto" w:fill="FFFFFF"/>
        </w:rPr>
        <w:t>以提高全市信息化水平为</w:t>
      </w:r>
      <w:r>
        <w:rPr>
          <w:rFonts w:ascii="仿宋_GB2312" w:eastAsia="仿宋_GB2312" w:hAnsi="仿宋_GB2312" w:cs="仿宋_GB2312" w:hint="eastAsia"/>
          <w:kern w:val="0"/>
          <w:sz w:val="32"/>
          <w:szCs w:val="32"/>
          <w:shd w:val="clear" w:color="auto" w:fill="FFFFFF"/>
        </w:rPr>
        <w:t>出发点</w:t>
      </w:r>
      <w:r>
        <w:rPr>
          <w:rFonts w:ascii="仿宋_GB2312" w:eastAsia="仿宋_GB2312" w:hAnsi="仿宋_GB2312" w:cs="仿宋_GB2312"/>
          <w:kern w:val="0"/>
          <w:sz w:val="32"/>
          <w:szCs w:val="32"/>
          <w:shd w:val="clear" w:color="auto" w:fill="FFFFFF"/>
        </w:rPr>
        <w:t>，以服务群众生活、助力企业生产为</w:t>
      </w:r>
      <w:r>
        <w:rPr>
          <w:rFonts w:ascii="仿宋_GB2312" w:eastAsia="仿宋_GB2312" w:hAnsi="仿宋_GB2312" w:cs="仿宋_GB2312" w:hint="eastAsia"/>
          <w:kern w:val="0"/>
          <w:sz w:val="32"/>
          <w:szCs w:val="32"/>
          <w:shd w:val="clear" w:color="auto" w:fill="FFFFFF"/>
        </w:rPr>
        <w:t>落脚点</w:t>
      </w:r>
      <w:r>
        <w:rPr>
          <w:rFonts w:ascii="仿宋_GB2312" w:eastAsia="仿宋_GB2312" w:hAnsi="仿宋_GB2312" w:cs="仿宋_GB2312"/>
          <w:kern w:val="0"/>
          <w:sz w:val="32"/>
          <w:szCs w:val="32"/>
          <w:shd w:val="clear" w:color="auto" w:fill="FFFFFF"/>
        </w:rPr>
        <w:t>，</w:t>
      </w:r>
      <w:r>
        <w:rPr>
          <w:rFonts w:ascii="仿宋_GB2312" w:eastAsia="仿宋_GB2312" w:hAnsi="仿宋_GB2312" w:cs="仿宋_GB2312" w:hint="eastAsia"/>
          <w:kern w:val="0"/>
          <w:sz w:val="32"/>
          <w:szCs w:val="32"/>
          <w:shd w:val="clear" w:color="auto" w:fill="FFFFFF"/>
        </w:rPr>
        <w:t>扩大无线</w:t>
      </w:r>
      <w:r>
        <w:rPr>
          <w:rFonts w:ascii="仿宋_GB2312" w:eastAsia="仿宋_GB2312" w:hAnsi="仿宋_GB2312" w:cs="仿宋_GB2312"/>
          <w:kern w:val="0"/>
          <w:sz w:val="32"/>
          <w:szCs w:val="32"/>
          <w:shd w:val="clear" w:color="auto" w:fill="FFFFFF"/>
        </w:rPr>
        <w:t>网络覆盖</w:t>
      </w:r>
      <w:r>
        <w:rPr>
          <w:rFonts w:ascii="仿宋_GB2312" w:eastAsia="仿宋_GB2312" w:hAnsi="仿宋_GB2312" w:cs="仿宋_GB2312" w:hint="eastAsia"/>
          <w:kern w:val="0"/>
          <w:sz w:val="32"/>
          <w:szCs w:val="32"/>
          <w:shd w:val="clear" w:color="auto" w:fill="FFFFFF"/>
        </w:rPr>
        <w:t>范围，推行商务楼宇宽带整治，加快融合基础设施建设。</w:t>
      </w:r>
    </w:p>
    <w:p w:rsidR="00D92198" w:rsidRDefault="00AE1128" w:rsidP="00A61652">
      <w:pPr>
        <w:spacing w:afterLines="100" w:after="312" w:line="600" w:lineRule="exact"/>
        <w:jc w:val="center"/>
        <w:rPr>
          <w:rFonts w:ascii="楷体_GB2312" w:eastAsia="楷体_GB2312" w:hAnsi="仿宋_GB2312" w:cs="仿宋_GB2312"/>
          <w:b/>
          <w:kern w:val="0"/>
          <w:sz w:val="32"/>
          <w:szCs w:val="32"/>
          <w:shd w:val="clear" w:color="auto" w:fill="FFFFFF"/>
        </w:rPr>
      </w:pPr>
      <w:r>
        <w:rPr>
          <w:rFonts w:ascii="楷体_GB2312" w:eastAsia="楷体_GB2312" w:hAnsi="仿宋_GB2312" w:cs="仿宋_GB2312" w:hint="eastAsia"/>
          <w:b/>
          <w:kern w:val="0"/>
          <w:sz w:val="32"/>
          <w:szCs w:val="32"/>
          <w:shd w:val="clear" w:color="auto" w:fill="FFFFFF"/>
        </w:rPr>
        <w:t xml:space="preserve">第一节  </w:t>
      </w:r>
      <w:r>
        <w:rPr>
          <w:rFonts w:ascii="楷体_GB2312" w:eastAsia="楷体_GB2312" w:hAnsi="楷体" w:cs="楷体" w:hint="eastAsia"/>
          <w:b/>
          <w:sz w:val="32"/>
          <w:szCs w:val="32"/>
        </w:rPr>
        <w:t>提高信息网络覆盖率和网络质量</w:t>
      </w:r>
    </w:p>
    <w:p w:rsidR="00D92198" w:rsidRDefault="00AE1128" w:rsidP="00A61652">
      <w:pPr>
        <w:spacing w:afterLines="100" w:after="312" w:line="600" w:lineRule="exact"/>
        <w:ind w:firstLineChars="200" w:firstLine="640"/>
        <w:rPr>
          <w:rFonts w:ascii="仿宋_GB2312" w:eastAsia="仿宋_GB2312" w:hAnsi="仿宋_GB2312" w:cs="仿宋_GB2312"/>
          <w:kern w:val="0"/>
          <w:sz w:val="32"/>
          <w:szCs w:val="32"/>
          <w:shd w:val="clear" w:color="auto" w:fill="FFFFFF"/>
        </w:rPr>
      </w:pPr>
      <w:r>
        <w:rPr>
          <w:rFonts w:ascii="仿宋_GB2312" w:eastAsia="仿宋_GB2312" w:hAnsi="仿宋_GB2312" w:cs="仿宋_GB2312" w:hint="eastAsia"/>
          <w:kern w:val="0"/>
          <w:sz w:val="32"/>
          <w:szCs w:val="32"/>
          <w:shd w:val="clear" w:color="auto" w:fill="FFFFFF"/>
        </w:rPr>
        <w:lastRenderedPageBreak/>
        <w:t>实施新一代信息网络建设和新型计算基础设施建设工程，系统布局引领未来的新型基础设施。推进“全光网南阳”全面升级，构建覆盖全市的高速光纤宽带网络，提升固定宽带家庭和移动宽带用户普及率，实现偏远地区网络深度全覆盖。加快</w:t>
      </w:r>
      <w:r>
        <w:rPr>
          <w:rFonts w:ascii="仿宋_GB2312" w:eastAsia="仿宋_GB2312" w:hAnsi="仿宋_GB2312" w:cs="仿宋_GB2312"/>
          <w:kern w:val="0"/>
          <w:sz w:val="32"/>
          <w:szCs w:val="32"/>
          <w:shd w:val="clear" w:color="auto" w:fill="FFFFFF"/>
        </w:rPr>
        <w:t>5G基础网络布局，</w:t>
      </w:r>
      <w:r>
        <w:rPr>
          <w:rFonts w:ascii="仿宋_GB2312" w:eastAsia="仿宋_GB2312" w:hAnsi="仿宋_GB2312" w:cs="仿宋_GB2312" w:hint="eastAsia"/>
          <w:kern w:val="0"/>
          <w:sz w:val="32"/>
          <w:szCs w:val="32"/>
          <w:shd w:val="clear" w:color="auto" w:fill="FFFFFF"/>
        </w:rPr>
        <w:t>实现乡镇以上区域</w:t>
      </w:r>
      <w:r>
        <w:rPr>
          <w:rFonts w:ascii="仿宋_GB2312" w:eastAsia="仿宋_GB2312" w:hAnsi="仿宋_GB2312" w:cs="仿宋_GB2312"/>
          <w:kern w:val="0"/>
          <w:sz w:val="32"/>
          <w:szCs w:val="32"/>
          <w:shd w:val="clear" w:color="auto" w:fill="FFFFFF"/>
        </w:rPr>
        <w:t>5G</w:t>
      </w:r>
      <w:r>
        <w:rPr>
          <w:rFonts w:ascii="仿宋_GB2312" w:eastAsia="仿宋_GB2312" w:hAnsi="仿宋_GB2312" w:cs="仿宋_GB2312" w:hint="eastAsia"/>
          <w:kern w:val="0"/>
          <w:sz w:val="32"/>
          <w:szCs w:val="32"/>
          <w:shd w:val="clear" w:color="auto" w:fill="FFFFFF"/>
        </w:rPr>
        <w:t>全</w:t>
      </w:r>
      <w:r>
        <w:rPr>
          <w:rFonts w:ascii="仿宋_GB2312" w:eastAsia="仿宋_GB2312" w:hAnsi="仿宋_GB2312" w:cs="仿宋_GB2312"/>
          <w:kern w:val="0"/>
          <w:sz w:val="32"/>
          <w:szCs w:val="32"/>
          <w:shd w:val="clear" w:color="auto" w:fill="FFFFFF"/>
        </w:rPr>
        <w:t>覆盖。</w:t>
      </w:r>
      <w:r>
        <w:rPr>
          <w:rFonts w:ascii="仿宋_GB2312" w:eastAsia="仿宋_GB2312" w:hAnsi="仿宋_GB2312" w:cs="仿宋_GB2312" w:hint="eastAsia"/>
          <w:kern w:val="0"/>
          <w:sz w:val="32"/>
          <w:szCs w:val="32"/>
          <w:shd w:val="clear" w:color="auto" w:fill="FFFFFF"/>
        </w:rPr>
        <w:t>加快工业互联网和大数据中心建设。构建全时空、立体化网络安全态势感知系统和智能化市域互联网管控系统，完善关键信息基础设施等级保护制度，全面提升网络信息安全水平。</w:t>
      </w:r>
    </w:p>
    <w:p w:rsidR="00D92198" w:rsidRDefault="00AE1128" w:rsidP="00A61652">
      <w:pPr>
        <w:spacing w:afterLines="100" w:after="312" w:line="600" w:lineRule="exact"/>
        <w:jc w:val="center"/>
        <w:rPr>
          <w:rFonts w:ascii="楷体_GB2312" w:eastAsia="楷体_GB2312" w:hAnsi="楷体" w:cs="楷体"/>
          <w:b/>
          <w:sz w:val="32"/>
          <w:szCs w:val="32"/>
        </w:rPr>
      </w:pPr>
      <w:r>
        <w:rPr>
          <w:rFonts w:ascii="楷体_GB2312" w:eastAsia="楷体_GB2312" w:hAnsi="楷体" w:cs="楷体" w:hint="eastAsia"/>
          <w:b/>
          <w:sz w:val="32"/>
          <w:szCs w:val="32"/>
        </w:rPr>
        <w:t>第二节   加快构建融合基础设施</w:t>
      </w:r>
    </w:p>
    <w:p w:rsidR="00D92198" w:rsidRDefault="00AE1128" w:rsidP="00A61652">
      <w:pPr>
        <w:spacing w:afterLines="100" w:after="312" w:line="600" w:lineRule="exact"/>
        <w:ind w:firstLineChars="200" w:firstLine="640"/>
        <w:rPr>
          <w:rFonts w:ascii="仿宋_GB2312" w:eastAsia="仿宋_GB2312" w:hAnsi="仿宋_GB2312" w:cs="仿宋_GB2312"/>
          <w:kern w:val="0"/>
          <w:sz w:val="32"/>
          <w:szCs w:val="32"/>
          <w:shd w:val="clear" w:color="auto" w:fill="FFFFFF"/>
        </w:rPr>
      </w:pPr>
      <w:r>
        <w:rPr>
          <w:rFonts w:ascii="仿宋_GB2312" w:eastAsia="仿宋_GB2312" w:hAnsi="仿宋_GB2312" w:cs="仿宋_GB2312" w:hint="eastAsia"/>
          <w:kern w:val="0"/>
          <w:sz w:val="32"/>
          <w:szCs w:val="32"/>
          <w:shd w:val="clear" w:color="auto" w:fill="FFFFFF"/>
        </w:rPr>
        <w:t>推动传统基础设施数字化改造，提升智慧化管理和运营水平。加快交通基础设施智能化升级，建设智慧枢纽、智慧公路、推进重要路段和节点交通感知网络覆盖，开展车路协同网络推广。推动“5G+北斗卫星”高精度定位及高分卫星遥感技术应用，开展多途综合服务。建设智慧能源基础设施，加快电网基础设施智能化改造、智能微电网和充电桩建设，强化电力、天燃气、热力等能源网络信息系统互联互通和数据共享。</w:t>
      </w:r>
    </w:p>
    <w:p w:rsidR="00D92198" w:rsidRDefault="00AE1128">
      <w:pPr>
        <w:pStyle w:val="2"/>
        <w:ind w:firstLineChars="0" w:firstLine="0"/>
        <w:jc w:val="center"/>
        <w:rPr>
          <w:rFonts w:ascii="方正小标宋简体" w:eastAsia="方正小标宋简体" w:hAnsi="黑体" w:cs="仿宋"/>
          <w:szCs w:val="32"/>
        </w:rPr>
      </w:pPr>
      <w:r>
        <w:rPr>
          <w:rFonts w:ascii="方正小标宋简体" w:eastAsia="方正小标宋简体" w:hAnsi="黑体" w:hint="eastAsia"/>
          <w:szCs w:val="32"/>
        </w:rPr>
        <w:t xml:space="preserve">第六篇  </w:t>
      </w:r>
      <w:r>
        <w:rPr>
          <w:rFonts w:ascii="方正小标宋简体" w:eastAsia="方正小标宋简体" w:hAnsi="黑体" w:cs="仿宋" w:hint="eastAsia"/>
          <w:szCs w:val="32"/>
        </w:rPr>
        <w:t>突出核心带动全域联动，推进新型城镇化</w:t>
      </w:r>
    </w:p>
    <w:p w:rsidR="00D92198" w:rsidRDefault="00AE1128" w:rsidP="00A61652">
      <w:pPr>
        <w:pStyle w:val="2"/>
        <w:spacing w:afterLines="50" w:after="156"/>
        <w:ind w:firstLineChars="0" w:firstLine="0"/>
        <w:jc w:val="center"/>
        <w:rPr>
          <w:rFonts w:ascii="方正小标宋简体" w:eastAsia="方正小标宋简体" w:hAnsi="黑体" w:cs="仿宋"/>
          <w:szCs w:val="32"/>
        </w:rPr>
      </w:pPr>
      <w:r>
        <w:rPr>
          <w:rFonts w:ascii="方正小标宋简体" w:eastAsia="方正小标宋简体" w:hAnsi="黑体" w:cs="仿宋" w:hint="eastAsia"/>
          <w:szCs w:val="32"/>
        </w:rPr>
        <w:t>和区域协调发展</w:t>
      </w:r>
    </w:p>
    <w:p w:rsidR="00D92198" w:rsidRDefault="00AE1128" w:rsidP="00A61652">
      <w:pPr>
        <w:pStyle w:val="2"/>
        <w:spacing w:afterLines="100" w:after="312"/>
        <w:ind w:firstLine="640"/>
        <w:jc w:val="both"/>
        <w:rPr>
          <w:rFonts w:ascii="仿宋_GB2312" w:eastAsia="仿宋_GB2312" w:hAnsi="仿宋" w:cs="仿宋"/>
          <w:szCs w:val="32"/>
        </w:rPr>
      </w:pPr>
      <w:bookmarkStart w:id="18" w:name="_Toc27387649"/>
      <w:r>
        <w:rPr>
          <w:rFonts w:ascii="仿宋_GB2312" w:eastAsia="仿宋_GB2312" w:hAnsi="仿宋" w:cs="仿宋" w:hint="eastAsia"/>
          <w:szCs w:val="32"/>
        </w:rPr>
        <w:t>深入落实主体功能区战略，优化空间布局，完善综合配套，</w:t>
      </w:r>
      <w:r>
        <w:rPr>
          <w:rFonts w:ascii="仿宋_GB2312" w:eastAsia="仿宋_GB2312" w:hAnsi="仿宋" w:cs="仿宋" w:hint="eastAsia"/>
          <w:szCs w:val="32"/>
        </w:rPr>
        <w:lastRenderedPageBreak/>
        <w:t>提高城市品位，提升城市能级，全面增强城市综合承载力和可持续发展能力，扎实推进以人为核心的新型城镇化。</w:t>
      </w:r>
    </w:p>
    <w:p w:rsidR="00D92198" w:rsidRDefault="00AE1128" w:rsidP="00A61652">
      <w:pPr>
        <w:pStyle w:val="2"/>
        <w:spacing w:afterLines="100" w:after="312"/>
        <w:ind w:firstLineChars="0" w:firstLine="0"/>
        <w:jc w:val="center"/>
        <w:rPr>
          <w:rFonts w:ascii="黑体" w:hAnsi="黑体"/>
          <w:bCs/>
        </w:rPr>
      </w:pPr>
      <w:r>
        <w:rPr>
          <w:rFonts w:ascii="黑体" w:hAnsi="黑体" w:hint="eastAsia"/>
          <w:bCs/>
        </w:rPr>
        <w:t>第二十二章  优化发展空间布局</w:t>
      </w:r>
      <w:bookmarkEnd w:id="18"/>
    </w:p>
    <w:p w:rsidR="00D92198" w:rsidRDefault="00AE1128" w:rsidP="00A61652">
      <w:pPr>
        <w:spacing w:afterLines="100" w:after="312"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立足大城市发展定位，统筹区域协调发展，突出“核心带动、县域支撑、城乡融合”，构建“一主一副、两圈两极”的空间格局。以卧龙区、宛城区、高新区、城乡一体化示范区、卧龙综保区为依托，全力打造中心城区都市区。支持邓州市建设市域副中心城市，打造丹江口库区区域中心城市。加速推进中心城区与官庄工区、鸭河工区、镇平县、社旗县、唐河县快速通道建设，打造中心城区一体化发展圈，构建以方城县、南召县、内乡县、新野县为主体的中心城区紧密协作圈，培育西峡-淅川和桐柏县两大绿色发展增长极。以快速通道、轻轨云轨、区域间长途公交化等为突破口，加快形成交通一体、产业连接、服务共享、全域联动的发展格局。</w:t>
      </w:r>
    </w:p>
    <w:p w:rsidR="00D92198" w:rsidRDefault="00AE1128" w:rsidP="00A61652">
      <w:pPr>
        <w:pStyle w:val="2"/>
        <w:spacing w:afterLines="100" w:after="312"/>
        <w:ind w:firstLineChars="0" w:firstLine="0"/>
        <w:jc w:val="center"/>
        <w:rPr>
          <w:rFonts w:ascii="黑体" w:hAnsi="黑体"/>
          <w:bCs/>
        </w:rPr>
      </w:pPr>
      <w:bookmarkStart w:id="19" w:name="_Toc27387650"/>
      <w:r>
        <w:rPr>
          <w:rFonts w:ascii="黑体" w:hAnsi="黑体" w:hint="eastAsia"/>
          <w:bCs/>
        </w:rPr>
        <w:t>第二十三章 做大做强中心城区</w:t>
      </w:r>
      <w:bookmarkEnd w:id="19"/>
    </w:p>
    <w:p w:rsidR="00D92198" w:rsidRDefault="00AE1128" w:rsidP="00A61652">
      <w:pPr>
        <w:spacing w:afterLines="100" w:after="312"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制定中心城区发展规划，积极争取扩大中心城区发展空间，进一步优化城市布局形态，完善公共服务和市政基础设施建设，增强城市服务功能，提升中心城区辐射带动能力。新城区围绕“满城绿色半城水，宜居宜业活力城”目标，加快高端业态培</w:t>
      </w:r>
      <w:r>
        <w:rPr>
          <w:rFonts w:ascii="仿宋_GB2312" w:eastAsia="仿宋_GB2312" w:hAnsi="仿宋_GB2312" w:cs="仿宋_GB2312" w:hint="eastAsia"/>
          <w:sz w:val="32"/>
          <w:szCs w:val="32"/>
        </w:rPr>
        <w:lastRenderedPageBreak/>
        <w:t>育和基础设施、公共服务建设，完成南阳月季园二期、白河湿地公园、景观水系等工程建设，加快建设商务中心区、商业综合体，大力发展智能制造、总部经济、现代金融、数字经济、现代商贸物流、康养文旅等高端产业，成为新兴区域经济中心的核心区。稳步推进老城区改造完善、功能疏解、品质提升，加快城中村改造和老旧小区改造提升步伐。加大中心城区历史文化资源开发利用力度，全面开放“三馆一院”，倾力打造“四圣”文化园，规划建设汉文化主题街区、百里奚文化园，整修名人故居等人文景观，强化黄山遗址保护，加快南阳古城保护利用步伐，增强中心城区文化影响力。实施南阳动植物园搬迁项目。推动南阳高新区扩区放权，支持高新区与唐河等县探索飞地经济、伙伴园区合作模式，建设千亿级高新技术产业园区。支持官庄工区以石油化工为重点、鸭河工区以文旅康养为重点，提速提质发展。规划建设西部卧龙综保区产业配套区、王村铁路物流园区、西北部麒麟湖健康养生片区、东北部南阳大学城、东部高铁片区、东南部新机场航空港经济区、南部农产品物流片区等功能区，拓展中心城区发展空间，实现组团发展。实施中心城区畅通工程，优先发展城市公共交通，加快构建“高架</w:t>
      </w:r>
      <w:r>
        <w:rPr>
          <w:rFonts w:ascii="仿宋_GB2312" w:eastAsia="仿宋_GB2312" w:hAnsi="仿宋_GB2312" w:cs="仿宋_GB2312"/>
          <w:sz w:val="32"/>
          <w:szCs w:val="32"/>
        </w:rPr>
        <w:t>+隧道+快速路+外环路”的城市交通网络，提升内城交通快捷度便利度。</w:t>
      </w:r>
    </w:p>
    <w:p w:rsidR="00D92198" w:rsidRDefault="00AE1128" w:rsidP="00A61652">
      <w:pPr>
        <w:pStyle w:val="ab"/>
        <w:shd w:val="clear" w:color="auto" w:fill="FFFFFF"/>
        <w:snapToGrid w:val="0"/>
        <w:spacing w:before="0" w:beforeAutospacing="0" w:afterLines="100" w:after="312" w:afterAutospacing="0"/>
        <w:ind w:firstLineChars="0" w:firstLine="0"/>
        <w:jc w:val="center"/>
        <w:textAlignment w:val="baseline"/>
        <w:rPr>
          <w:rFonts w:ascii="黑体" w:eastAsia="黑体" w:hAnsi="黑体" w:cs="楷体"/>
          <w:bCs/>
          <w:sz w:val="32"/>
          <w:szCs w:val="32"/>
        </w:rPr>
      </w:pPr>
      <w:bookmarkStart w:id="20" w:name="_Toc27387677"/>
      <w:bookmarkStart w:id="21" w:name="_Toc27387678"/>
      <w:r>
        <w:rPr>
          <w:rFonts w:ascii="黑体" w:eastAsia="黑体" w:hAnsi="黑体" w:cs="楷体" w:hint="eastAsia"/>
          <w:bCs/>
          <w:sz w:val="32"/>
          <w:szCs w:val="32"/>
        </w:rPr>
        <w:lastRenderedPageBreak/>
        <w:t xml:space="preserve">第二十四章  </w:t>
      </w:r>
      <w:bookmarkEnd w:id="20"/>
      <w:r>
        <w:rPr>
          <w:rFonts w:ascii="黑体" w:eastAsia="黑体" w:hAnsi="黑体" w:cs="楷体" w:hint="eastAsia"/>
          <w:bCs/>
          <w:sz w:val="32"/>
          <w:szCs w:val="32"/>
        </w:rPr>
        <w:t>深入落实县域治理“三起来”</w:t>
      </w:r>
    </w:p>
    <w:p w:rsidR="00D92198" w:rsidRDefault="00AE1128">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深入开展县域治理“三起来”示范创建，打造一批产业先进、充满活力、城乡繁荣、生态优美、人民富裕的强县，形成一批特色突出、竞相发展的增长板块，力争更多县（市）进入全省</w:t>
      </w:r>
      <w:r>
        <w:rPr>
          <w:rFonts w:ascii="仿宋_GB2312" w:eastAsia="仿宋_GB2312" w:hAnsi="仿宋_GB2312" w:cs="仿宋_GB2312"/>
          <w:sz w:val="32"/>
          <w:szCs w:val="32"/>
        </w:rPr>
        <w:t>20强、30强</w:t>
      </w:r>
      <w:r>
        <w:rPr>
          <w:rFonts w:ascii="仿宋_GB2312" w:eastAsia="仿宋_GB2312" w:hAnsi="仿宋_GB2312" w:cs="仿宋_GB2312" w:hint="eastAsia"/>
          <w:sz w:val="32"/>
          <w:szCs w:val="32"/>
        </w:rPr>
        <w:t>。</w:t>
      </w:r>
    </w:p>
    <w:p w:rsidR="00D92198" w:rsidRDefault="00AE1128" w:rsidP="00A61652">
      <w:pPr>
        <w:pStyle w:val="ab"/>
        <w:shd w:val="clear" w:color="auto" w:fill="FFFFFF"/>
        <w:spacing w:beforeAutospacing="0" w:afterLines="100" w:after="312" w:afterAutospacing="0"/>
        <w:ind w:firstLineChars="0" w:firstLine="0"/>
        <w:jc w:val="center"/>
        <w:textAlignment w:val="baseline"/>
        <w:rPr>
          <w:rFonts w:ascii="楷体_GB2312" w:eastAsia="楷体_GB2312" w:hAnsi="仿宋" w:cs="仿宋"/>
          <w:b/>
          <w:sz w:val="32"/>
          <w:szCs w:val="32"/>
        </w:rPr>
      </w:pPr>
      <w:r>
        <w:rPr>
          <w:rFonts w:ascii="楷体_GB2312" w:eastAsia="楷体_GB2312" w:hAnsi="仿宋" w:cs="仿宋" w:hint="eastAsia"/>
          <w:b/>
          <w:sz w:val="32"/>
          <w:szCs w:val="32"/>
        </w:rPr>
        <w:t>第一节  夯实强县富民的产业支撑</w:t>
      </w:r>
    </w:p>
    <w:p w:rsidR="00D92198" w:rsidRDefault="00AE1128" w:rsidP="00A61652">
      <w:pPr>
        <w:spacing w:afterLines="100" w:after="312"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立足区位特点、资源禀赋、产业基础等条件，分类推动工业基础较好、农业优势明显、生态功能突出的县（市）错位发展，形成各具特色的高质量发展路子。推动工业基础较好的县（市）突出转型提质、壮大优势产业集群；推动农业优势明显的县（市）突出特色高效、稳固粮食生产能力、发展特色产业集群；推动生态功能突出的县（市）强化生态环境保护、发展资源环境可承载的适宜产业。建立统筹规划、联动推进的市域产业集群培育机制，推进各县（市）融入中心城市产业链供应链，发挥产业集聚区、服务业“两区”等载体作用，加强主导产业转型升级、加快新兴产业培育壮大、推动特色产业做优做强。加快县域高效农业发展，完善现代农产品加工产业链和特色优势农产品供应链。</w:t>
      </w:r>
    </w:p>
    <w:p w:rsidR="00D92198" w:rsidRDefault="00AE1128" w:rsidP="00A61652">
      <w:pPr>
        <w:pStyle w:val="ab"/>
        <w:shd w:val="clear" w:color="auto" w:fill="FFFFFF"/>
        <w:spacing w:beforeAutospacing="0" w:afterLines="100" w:after="312" w:afterAutospacing="0"/>
        <w:ind w:firstLineChars="0" w:firstLine="0"/>
        <w:jc w:val="center"/>
        <w:textAlignment w:val="baseline"/>
        <w:rPr>
          <w:rFonts w:ascii="楷体_GB2312" w:eastAsia="楷体_GB2312" w:hAnsi="仿宋" w:cs="仿宋"/>
          <w:b/>
          <w:sz w:val="32"/>
          <w:szCs w:val="32"/>
        </w:rPr>
      </w:pPr>
      <w:r>
        <w:rPr>
          <w:rFonts w:ascii="楷体_GB2312" w:eastAsia="楷体_GB2312" w:hAnsi="仿宋" w:cs="仿宋" w:hint="eastAsia"/>
          <w:b/>
          <w:sz w:val="32"/>
          <w:szCs w:val="32"/>
        </w:rPr>
        <w:t>第二节  深化县域改革发展</w:t>
      </w:r>
    </w:p>
    <w:p w:rsidR="00D92198" w:rsidRDefault="00AE1128" w:rsidP="00A61652">
      <w:pPr>
        <w:spacing w:afterLines="100" w:after="312"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以推动城乡要素自由流动、平等交换和公共资源合理配置为重点，全面深化县域改革，破解关键瓶颈制约，不断释放改革红利和发展动力。健全要素市场运行机制，拓展公共资源交易平台覆盖范围，推动城乡土地、人力资源、技术、信息等要素市场发展。建立城市人才入乡激励机制，制定财政、金融、社会保障等激励政策。建立工商资本入乡促进机制，引导工商资本为城乡融合发展提供资金、产业、技术等支持。支持有条件的县撤县设市。</w:t>
      </w:r>
    </w:p>
    <w:p w:rsidR="00D92198" w:rsidRDefault="00AE1128" w:rsidP="00A61652">
      <w:pPr>
        <w:pStyle w:val="ab"/>
        <w:shd w:val="clear" w:color="auto" w:fill="FFFFFF"/>
        <w:spacing w:beforeAutospacing="0" w:afterLines="100" w:after="312" w:afterAutospacing="0"/>
        <w:ind w:firstLineChars="0" w:firstLine="0"/>
        <w:jc w:val="center"/>
        <w:textAlignment w:val="baseline"/>
        <w:rPr>
          <w:rFonts w:ascii="楷体_GB2312" w:eastAsia="楷体_GB2312" w:hAnsi="仿宋" w:cs="仿宋"/>
          <w:b/>
          <w:sz w:val="32"/>
          <w:szCs w:val="32"/>
        </w:rPr>
      </w:pPr>
      <w:r>
        <w:rPr>
          <w:rFonts w:ascii="楷体_GB2312" w:eastAsia="楷体_GB2312" w:hAnsi="仿宋" w:cs="仿宋" w:hint="eastAsia"/>
          <w:b/>
          <w:sz w:val="32"/>
          <w:szCs w:val="32"/>
        </w:rPr>
        <w:t>第三节  推进基础设施和公共服务城乡贯通</w:t>
      </w:r>
    </w:p>
    <w:p w:rsidR="00D92198" w:rsidRDefault="00AE1128" w:rsidP="00A61652">
      <w:pPr>
        <w:spacing w:afterLines="100" w:after="312"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融合实施百城建设提质工程和文明城市创建。以县域为整体，统筹规划市政公用设施，推动向城市郊区乡村和规模较大中心镇延伸。推动城乡路网一体规划设计，畅通城乡交通运输连接，推进串联县城的交通环线、旅游专线，加快实现城乡道路客运一体化。统筹规划城乡污染物收运处置体系，因地制宜统筹处理城乡垃圾污水。强化县城综合服务能力，加强乡镇公共服务功能，把乡镇建成服务农民的区域中心。优化县域内公共服务资源配置，推行县域内教师医生交流轮岗模式，推进义务教育学校教师“县管校聘”。</w:t>
      </w:r>
    </w:p>
    <w:p w:rsidR="00D92198" w:rsidRDefault="00AE1128" w:rsidP="00A61652">
      <w:pPr>
        <w:spacing w:afterLines="100" w:after="312" w:line="600" w:lineRule="exact"/>
        <w:jc w:val="center"/>
        <w:rPr>
          <w:rFonts w:ascii="黑体" w:eastAsia="黑体" w:hAnsi="黑体"/>
          <w:bCs/>
          <w:sz w:val="32"/>
          <w:szCs w:val="32"/>
        </w:rPr>
      </w:pPr>
      <w:r>
        <w:rPr>
          <w:rFonts w:ascii="黑体" w:eastAsia="黑体" w:hAnsi="黑体" w:hint="eastAsia"/>
          <w:bCs/>
          <w:sz w:val="32"/>
          <w:szCs w:val="32"/>
        </w:rPr>
        <w:t>第二十五章  提高城镇化发展质量</w:t>
      </w:r>
    </w:p>
    <w:p w:rsidR="00D92198" w:rsidRDefault="00AE1128">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践行“人民城市人民建,人民城市为人民”理念,统筹城市规划、建设、管理,打造宜居韧性城市,提高城市治理水平，健全农业转移人口市民化机制,使城市成为人民群众高品质生活的空间。</w:t>
      </w:r>
    </w:p>
    <w:p w:rsidR="00D92198" w:rsidRDefault="00AE1128" w:rsidP="00A61652">
      <w:pPr>
        <w:spacing w:afterLines="100" w:after="312"/>
        <w:jc w:val="center"/>
        <w:rPr>
          <w:rFonts w:ascii="楷体_GB2312" w:eastAsia="楷体_GB2312" w:hAnsi="仿宋_GB2312" w:cs="仿宋_GB2312"/>
          <w:b/>
          <w:bCs/>
          <w:sz w:val="32"/>
          <w:szCs w:val="32"/>
        </w:rPr>
      </w:pPr>
      <w:r>
        <w:rPr>
          <w:rFonts w:ascii="楷体_GB2312" w:eastAsia="楷体_GB2312" w:hAnsi="仿宋_GB2312" w:cs="仿宋_GB2312" w:hint="eastAsia"/>
          <w:b/>
          <w:bCs/>
          <w:sz w:val="32"/>
          <w:szCs w:val="32"/>
        </w:rPr>
        <w:t>第一节  加快农业转移人口市民化</w:t>
      </w:r>
    </w:p>
    <w:p w:rsidR="00D92198" w:rsidRDefault="00AE1128" w:rsidP="00A61652">
      <w:pPr>
        <w:spacing w:afterLines="100" w:after="312"/>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深化户籍制度改革,健全农业转移人口市民化机制，放开城镇落户限制，试行以经常居住地登记户口制度。推进城镇基本公共服务常住人口全覆盖,提高居住证持有人城镇义务教育、住房保障等服务的实际享有水平。完善财政转移支付和城镇新增建设用地规模与农业转移人口市民化挂钩政策,争取上级对保障性住房投资补助和建设用地的支持。根据人口流动实际,调整人口流入流出地区教师、医生等编制定额。</w:t>
      </w:r>
    </w:p>
    <w:bookmarkEnd w:id="21"/>
    <w:p w:rsidR="00D92198" w:rsidRDefault="00AE1128" w:rsidP="00A61652">
      <w:pPr>
        <w:spacing w:afterLines="100" w:after="312"/>
        <w:jc w:val="center"/>
        <w:rPr>
          <w:rFonts w:ascii="楷体_GB2312" w:eastAsia="楷体_GB2312" w:hAnsi="仿宋_GB2312" w:cs="仿宋_GB2312"/>
          <w:b/>
          <w:bCs/>
          <w:sz w:val="32"/>
          <w:szCs w:val="32"/>
        </w:rPr>
      </w:pPr>
      <w:r>
        <w:rPr>
          <w:rFonts w:ascii="楷体_GB2312" w:eastAsia="楷体_GB2312" w:hAnsi="仿宋_GB2312" w:cs="仿宋_GB2312" w:hint="eastAsia"/>
          <w:b/>
          <w:bCs/>
          <w:sz w:val="32"/>
          <w:szCs w:val="32"/>
        </w:rPr>
        <w:t>第二节  实施城市更新行动</w:t>
      </w:r>
    </w:p>
    <w:p w:rsidR="00D92198" w:rsidRDefault="00AE1128" w:rsidP="00A61652">
      <w:pPr>
        <w:spacing w:afterLines="100" w:after="312" w:line="600" w:lineRule="exact"/>
        <w:ind w:firstLineChars="200" w:firstLine="640"/>
        <w:rPr>
          <w:rFonts w:ascii="楷体_GB2312" w:eastAsia="楷体_GB2312" w:hAnsi="仿宋_GB2312" w:cs="仿宋_GB2312"/>
          <w:sz w:val="32"/>
          <w:szCs w:val="32"/>
        </w:rPr>
      </w:pPr>
      <w:r>
        <w:rPr>
          <w:rFonts w:ascii="仿宋_GB2312" w:eastAsia="仿宋_GB2312" w:hAnsi="仿宋_GB2312" w:cs="仿宋_GB2312" w:hint="eastAsia"/>
          <w:sz w:val="32"/>
          <w:szCs w:val="32"/>
        </w:rPr>
        <w:t>统筹新城区开发和老城区改造,推进市政基础设施提质升级和智能化改造,完善公共服务和便民设施,提升城市品质。加强城镇老旧小区改造和社区建设,改造提升老旧厂区、老旧街区和城中村等存量片区。实施南阳宛都老工业区工业遗产保护利用工程。优化城市路网结构,完善多层次、多元化的城市公共交通系统,加强自行车道、步行道等慢行网络和重点区域停车、智</w:t>
      </w:r>
      <w:r>
        <w:rPr>
          <w:rFonts w:ascii="仿宋_GB2312" w:eastAsia="仿宋_GB2312" w:hAnsi="仿宋_GB2312" w:cs="仿宋_GB2312" w:hint="eastAsia"/>
          <w:sz w:val="32"/>
          <w:szCs w:val="32"/>
        </w:rPr>
        <w:lastRenderedPageBreak/>
        <w:t>能充电设施建设，推进城市交通拥堵综合治理,持续开展绿色交通示范城市创建。因地制宜建设城市生态湿地、郊野公园、口袋公园等公共绿地,构建城区绿色生活圈、环城生态防护圈、城外绿色屏障带和城市通风廊道。加强城市重要基础设施安全管理，推动城市防洪排涝设施建设和水系生态修复，建设海绵城市。</w:t>
      </w:r>
    </w:p>
    <w:p w:rsidR="00D92198" w:rsidRDefault="00AE1128" w:rsidP="00A61652">
      <w:pPr>
        <w:spacing w:afterLines="100" w:after="312"/>
        <w:jc w:val="center"/>
        <w:rPr>
          <w:rFonts w:ascii="楷体_GB2312" w:eastAsia="楷体_GB2312" w:hAnsi="仿宋_GB2312" w:cs="仿宋_GB2312"/>
          <w:b/>
          <w:bCs/>
          <w:sz w:val="32"/>
          <w:szCs w:val="32"/>
        </w:rPr>
      </w:pPr>
      <w:r>
        <w:rPr>
          <w:rFonts w:ascii="楷体_GB2312" w:eastAsia="楷体_GB2312" w:hAnsi="仿宋_GB2312" w:cs="仿宋_GB2312" w:hint="eastAsia"/>
          <w:b/>
          <w:bCs/>
          <w:sz w:val="32"/>
          <w:szCs w:val="32"/>
        </w:rPr>
        <w:t>第三节  提高城市治理水平</w:t>
      </w:r>
    </w:p>
    <w:p w:rsidR="00D92198" w:rsidRDefault="00AE1128" w:rsidP="00A61652">
      <w:pPr>
        <w:spacing w:afterLines="100" w:after="312" w:line="60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完善城市规划引导约束机制,合理确定城市规模、人口密度、空间结构、开发强度,加强各类规划信息互联互通和归集共享。推进城镇建设用地集约高效利用和立体开发,新建住宅试点推广街区制。高水平开展城市设计,优化塑造城市风貌,加强历史建筑和历史文化街区保护,延续城市文脉。开展城市体检,前瞻布局城市生命线系统、应急救灾和物资储备系统,加强城市应急备用水源、消防设施和应急避难设施建设,完善重要区位人防工程,强化重要基础设施全生命周期维护管理和人口密集场所安全监管,提高城市抗风险能力。加强物业服务监管,提升物业服务水平。</w:t>
      </w:r>
    </w:p>
    <w:p w:rsidR="00D92198" w:rsidRDefault="00AE1128" w:rsidP="00A61652">
      <w:pPr>
        <w:spacing w:afterLines="100" w:after="312"/>
        <w:jc w:val="center"/>
        <w:rPr>
          <w:rFonts w:ascii="楷体_GB2312" w:eastAsia="楷体_GB2312" w:hAnsi="仿宋_GB2312" w:cs="仿宋_GB2312"/>
          <w:b/>
          <w:bCs/>
          <w:sz w:val="32"/>
          <w:szCs w:val="32"/>
        </w:rPr>
      </w:pPr>
      <w:r>
        <w:rPr>
          <w:rFonts w:ascii="楷体_GB2312" w:eastAsia="楷体_GB2312" w:hAnsi="仿宋_GB2312" w:cs="仿宋_GB2312" w:hint="eastAsia"/>
          <w:b/>
          <w:bCs/>
          <w:sz w:val="32"/>
          <w:szCs w:val="32"/>
        </w:rPr>
        <w:t>第四节  完善住房市场体系和保障体系</w:t>
      </w:r>
    </w:p>
    <w:p w:rsidR="00D92198" w:rsidRDefault="00AE1128" w:rsidP="00A61652">
      <w:pPr>
        <w:spacing w:afterLines="100" w:after="312"/>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坚持房子是用来住的、不是用来炒的定位,加快建立多主体</w:t>
      </w:r>
      <w:r>
        <w:rPr>
          <w:rFonts w:ascii="仿宋_GB2312" w:eastAsia="仿宋_GB2312" w:hAnsi="仿宋_GB2312" w:cs="仿宋_GB2312" w:hint="eastAsia"/>
          <w:sz w:val="32"/>
          <w:szCs w:val="32"/>
        </w:rPr>
        <w:lastRenderedPageBreak/>
        <w:t>供给、多渠道保障、租购并举的住房制度,多途径解决困难群众和新市民、青年人住房问题。全面贯彻房地产市场长效机制。强化城市住房政府主体责任,建立住房和用地联动机制,加强房地产金融调控,稳定地价、房价和预期。扩大保障性租赁住房供给,加快建设共有产权住房和人才公寓,大力发展二手房市场和住房租赁市场，有效盘活存量住房资源,完善长租房政策,加强住房租赁市场监管。科学制定土地储备供应计划,单列租赁住房用地计划,探索利用集体建设用地和企事业单位自有闲置土地建设租赁住房,逐步推动租购住房在享受公共服务上具有同等权利。</w:t>
      </w:r>
    </w:p>
    <w:p w:rsidR="00D92198" w:rsidRDefault="00AE1128" w:rsidP="00A61652">
      <w:pPr>
        <w:spacing w:afterLines="100" w:after="312" w:line="600" w:lineRule="exact"/>
        <w:jc w:val="center"/>
        <w:rPr>
          <w:rFonts w:ascii="方正小标宋简体" w:eastAsia="方正小标宋简体" w:hAnsi="黑体"/>
          <w:sz w:val="32"/>
          <w:szCs w:val="32"/>
        </w:rPr>
      </w:pPr>
      <w:r>
        <w:rPr>
          <w:rFonts w:ascii="黑体" w:eastAsia="黑体" w:hAnsi="黑体" w:hint="eastAsia"/>
          <w:sz w:val="32"/>
          <w:szCs w:val="32"/>
        </w:rPr>
        <w:t xml:space="preserve">  </w:t>
      </w:r>
      <w:r>
        <w:rPr>
          <w:rFonts w:ascii="方正小标宋简体" w:eastAsia="方正小标宋简体" w:hAnsi="黑体" w:hint="eastAsia"/>
          <w:sz w:val="32"/>
          <w:szCs w:val="32"/>
        </w:rPr>
        <w:t>第七篇</w:t>
      </w:r>
      <w:bookmarkStart w:id="22" w:name="_Hlk59010780"/>
      <w:bookmarkStart w:id="23" w:name="_Hlk58712149"/>
      <w:r>
        <w:rPr>
          <w:rFonts w:ascii="方正小标宋简体" w:eastAsia="方正小标宋简体" w:hAnsi="黑体" w:hint="eastAsia"/>
          <w:sz w:val="32"/>
          <w:szCs w:val="32"/>
        </w:rPr>
        <w:t xml:space="preserve">   实施扩大内需战略，积极融入新发展格局</w:t>
      </w:r>
    </w:p>
    <w:p w:rsidR="00D92198" w:rsidRDefault="00AE1128" w:rsidP="00A61652">
      <w:pPr>
        <w:spacing w:afterLines="100" w:after="312" w:line="600" w:lineRule="exact"/>
        <w:ind w:firstLineChars="200" w:firstLine="640"/>
        <w:jc w:val="left"/>
        <w:rPr>
          <w:rFonts w:ascii="仿宋_GB2312" w:eastAsia="仿宋_GB2312" w:hAnsi="仿宋_GB2312" w:cs="仿宋_GB2312"/>
          <w:sz w:val="32"/>
          <w:szCs w:val="32"/>
        </w:rPr>
      </w:pPr>
      <w:bookmarkStart w:id="24" w:name="_Hlk59017441"/>
      <w:bookmarkEnd w:id="22"/>
      <w:r>
        <w:rPr>
          <w:rFonts w:ascii="仿宋_GB2312" w:eastAsia="仿宋_GB2312" w:hAnsi="仿宋_GB2312" w:cs="仿宋_GB2312" w:hint="eastAsia"/>
          <w:sz w:val="32"/>
          <w:szCs w:val="32"/>
        </w:rPr>
        <w:t>把实施扩大内需战略同深化供给侧结构性改革有机结合起来，顺应消费升级新趋势，创造消费增长新热点，积极拓展投资空间，畅通内外循环通道，不断放大市场优势，成为服务新发展格局的重要链接。</w:t>
      </w:r>
    </w:p>
    <w:p w:rsidR="00D92198" w:rsidRDefault="00AE1128" w:rsidP="00A61652">
      <w:pPr>
        <w:spacing w:afterLines="100" w:after="312" w:line="600" w:lineRule="exact"/>
        <w:jc w:val="center"/>
        <w:rPr>
          <w:rFonts w:ascii="黑体" w:eastAsia="黑体" w:hAnsi="黑体"/>
          <w:bCs/>
          <w:sz w:val="32"/>
          <w:szCs w:val="32"/>
        </w:rPr>
      </w:pPr>
      <w:r>
        <w:rPr>
          <w:rFonts w:ascii="黑体" w:eastAsia="黑体" w:hAnsi="黑体" w:hint="eastAsia"/>
          <w:bCs/>
          <w:sz w:val="32"/>
          <w:szCs w:val="32"/>
        </w:rPr>
        <w:t>第二十六章 着力畅通经济循环</w:t>
      </w:r>
    </w:p>
    <w:p w:rsidR="00D92198" w:rsidRDefault="00AE1128" w:rsidP="00A61652">
      <w:pPr>
        <w:spacing w:afterLines="100" w:after="312" w:line="60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发挥内需市场、产业基础和</w:t>
      </w:r>
      <w:r>
        <w:rPr>
          <w:rFonts w:ascii="仿宋_GB2312" w:eastAsia="仿宋_GB2312" w:hint="eastAsia"/>
          <w:sz w:val="32"/>
          <w:szCs w:val="32"/>
        </w:rPr>
        <w:t>地处</w:t>
      </w:r>
      <w:r>
        <w:rPr>
          <w:rFonts w:ascii="仿宋_GB2312" w:eastAsia="仿宋_GB2312" w:hAnsi="仿宋_GB2312" w:cs="仿宋_GB2312" w:hint="eastAsia"/>
          <w:sz w:val="32"/>
          <w:szCs w:val="32"/>
        </w:rPr>
        <w:t>郑州、武汉、西安</w:t>
      </w:r>
      <w:r>
        <w:rPr>
          <w:rFonts w:ascii="仿宋_GB2312" w:eastAsia="仿宋_GB2312" w:hint="eastAsia"/>
          <w:sz w:val="32"/>
          <w:szCs w:val="32"/>
        </w:rPr>
        <w:t>“三大都市圈”结合部的区位优势，积极融入全国统一大市场，贯通</w:t>
      </w:r>
      <w:r>
        <w:rPr>
          <w:rFonts w:ascii="仿宋_GB2312" w:eastAsia="仿宋_GB2312" w:hint="eastAsia"/>
          <w:sz w:val="32"/>
          <w:szCs w:val="32"/>
        </w:rPr>
        <w:lastRenderedPageBreak/>
        <w:t>生产、分配、流通、消费各环节，促进经济循环流转和产业关联畅通。</w:t>
      </w:r>
    </w:p>
    <w:p w:rsidR="00D92198" w:rsidRDefault="00D92198" w:rsidP="00A61652">
      <w:pPr>
        <w:spacing w:afterLines="100" w:after="312" w:line="600" w:lineRule="exact"/>
        <w:jc w:val="center"/>
        <w:rPr>
          <w:rFonts w:ascii="楷体_GB2312" w:eastAsia="楷体_GB2312" w:hAnsi="仿宋_GB2312" w:cs="仿宋_GB2312"/>
          <w:b/>
          <w:sz w:val="32"/>
          <w:szCs w:val="32"/>
        </w:rPr>
      </w:pPr>
    </w:p>
    <w:p w:rsidR="00D92198" w:rsidRDefault="00AE1128" w:rsidP="00A61652">
      <w:pPr>
        <w:spacing w:afterLines="100" w:after="312" w:line="600" w:lineRule="exact"/>
        <w:jc w:val="center"/>
        <w:rPr>
          <w:rFonts w:ascii="楷体_GB2312" w:eastAsia="楷体_GB2312" w:hAnsi="仿宋"/>
          <w:b/>
          <w:sz w:val="32"/>
          <w:szCs w:val="32"/>
        </w:rPr>
      </w:pPr>
      <w:r>
        <w:rPr>
          <w:rFonts w:ascii="楷体_GB2312" w:eastAsia="楷体_GB2312" w:hAnsi="仿宋_GB2312" w:cs="仿宋_GB2312" w:hint="eastAsia"/>
          <w:b/>
          <w:sz w:val="32"/>
          <w:szCs w:val="32"/>
        </w:rPr>
        <w:t>第一</w:t>
      </w:r>
      <w:r>
        <w:rPr>
          <w:rFonts w:ascii="楷体_GB2312" w:eastAsia="楷体_GB2312" w:hAnsi="仿宋" w:hint="eastAsia"/>
          <w:b/>
          <w:sz w:val="32"/>
          <w:szCs w:val="32"/>
        </w:rPr>
        <w:t>节  构建开放融合的大市场大流通</w:t>
      </w:r>
    </w:p>
    <w:p w:rsidR="00D92198" w:rsidRDefault="00AE1128" w:rsidP="00A61652">
      <w:pPr>
        <w:spacing w:afterLines="100" w:after="312" w:line="60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发挥南阳区位优势，加强国内外市场联接，促进市场结构优化、功能完善、业态创新，推动大市场、大流通建设。充分利用全国骨干流通大通道体系和全国区域流通节点城市规划布局优势，加强与郑州、武汉、西安、重庆等流通节点城市链接与合作，通过共建共享大型流通设施，实现功能衔接、优势互补，把南阳建设成为区域经济流通的重要节点。推进城乡流通网络一体化，统筹规划城乡商业网点功能布局，提升农产品进城和工业品下乡双向流通效率。利用好国内国际两个市场两种资源，培育一批经营模式、交易模式与国际接轨的商品交易市场，发展一批连接国内外市场、运行规范有序的跨境电子商务综合服务平台，打造内外融合发展的流通网络。</w:t>
      </w:r>
    </w:p>
    <w:p w:rsidR="00D92198" w:rsidRDefault="00AE1128" w:rsidP="00A61652">
      <w:pPr>
        <w:spacing w:afterLines="100" w:after="312" w:line="600" w:lineRule="exact"/>
        <w:jc w:val="center"/>
        <w:rPr>
          <w:rFonts w:ascii="楷体_GB2312" w:eastAsia="楷体_GB2312" w:hAnsi="Times New Roman"/>
          <w:b/>
          <w:bCs/>
          <w:sz w:val="32"/>
          <w:szCs w:val="32"/>
        </w:rPr>
      </w:pPr>
      <w:r>
        <w:rPr>
          <w:rFonts w:ascii="楷体_GB2312" w:eastAsia="楷体_GB2312" w:hAnsi="Times New Roman" w:hint="eastAsia"/>
          <w:b/>
          <w:bCs/>
          <w:sz w:val="32"/>
          <w:szCs w:val="32"/>
        </w:rPr>
        <w:t>第二节  健全流通体制机制</w:t>
      </w:r>
    </w:p>
    <w:p w:rsidR="00D92198" w:rsidRDefault="00AE1128" w:rsidP="00A61652">
      <w:pPr>
        <w:spacing w:afterLines="100" w:after="312" w:line="60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破除妨碍生产要素市场化配置和商品服务流通的体制机制障碍，降低全社会交易成本。坚持需求牵引供给、供给创造需</w:t>
      </w:r>
      <w:r>
        <w:rPr>
          <w:rFonts w:ascii="仿宋_GB2312" w:eastAsia="仿宋_GB2312" w:hAnsi="仿宋_GB2312" w:cs="仿宋_GB2312" w:hint="eastAsia"/>
          <w:sz w:val="32"/>
          <w:szCs w:val="32"/>
        </w:rPr>
        <w:lastRenderedPageBreak/>
        <w:t>求，畅通供给与需求互促共进、投资与消费良性互动的高效循环。依托千万人口市场优势，加大促消费扩投资政策支持，充分释放需求潜力。依托产业门类齐全优势，深化供给侧结构性改革，增强供给适配性，打通传统市场和网上市场通道，推动上下游、产供销有效衔接。完善促进要素市场化配置体制机制，引进和培育具有较强流通能力的市场主体，加快建设现代流通体系。</w:t>
      </w:r>
    </w:p>
    <w:p w:rsidR="00D92198" w:rsidRDefault="00AE1128" w:rsidP="00A61652">
      <w:pPr>
        <w:spacing w:afterLines="100" w:after="312" w:line="600" w:lineRule="exact"/>
        <w:jc w:val="center"/>
        <w:rPr>
          <w:rFonts w:ascii="黑体" w:eastAsia="黑体" w:hAnsi="黑体"/>
          <w:bCs/>
          <w:sz w:val="32"/>
          <w:szCs w:val="32"/>
        </w:rPr>
      </w:pPr>
      <w:r>
        <w:rPr>
          <w:rFonts w:ascii="黑体" w:eastAsia="黑体" w:hAnsi="黑体" w:cs="仿宋_GB2312" w:hint="eastAsia"/>
          <w:bCs/>
          <w:sz w:val="32"/>
          <w:szCs w:val="32"/>
        </w:rPr>
        <w:t>第二十七章</w:t>
      </w:r>
      <w:r>
        <w:rPr>
          <w:rFonts w:ascii="黑体" w:eastAsia="黑体" w:hAnsi="黑体" w:hint="eastAsia"/>
          <w:bCs/>
          <w:sz w:val="32"/>
          <w:szCs w:val="32"/>
        </w:rPr>
        <w:t xml:space="preserve">  积极扩大有效投资</w:t>
      </w:r>
    </w:p>
    <w:p w:rsidR="00D92198" w:rsidRDefault="00AE1128" w:rsidP="00A61652">
      <w:pPr>
        <w:spacing w:afterLines="100" w:after="312"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优化投资结构，</w:t>
      </w:r>
      <w:r>
        <w:rPr>
          <w:rFonts w:ascii="仿宋_GB2312" w:eastAsia="仿宋_GB2312" w:hAnsi="黑体" w:cs="仿宋_GB2312" w:hint="eastAsia"/>
          <w:sz w:val="32"/>
          <w:szCs w:val="32"/>
        </w:rPr>
        <w:t>深化投融资体制改革，加强发展规划、产业政策、行业准入标准对投资活动的引导，激发民间投资活力，</w:t>
      </w:r>
      <w:r>
        <w:rPr>
          <w:rFonts w:ascii="仿宋_GB2312" w:eastAsia="仿宋_GB2312" w:hAnsi="仿宋_GB2312" w:cs="仿宋_GB2312" w:hint="eastAsia"/>
          <w:sz w:val="32"/>
          <w:szCs w:val="32"/>
        </w:rPr>
        <w:t>加快补齐发展短板，保持投资合理稳定增长。</w:t>
      </w:r>
    </w:p>
    <w:p w:rsidR="00D92198" w:rsidRDefault="00AE1128" w:rsidP="00A61652">
      <w:pPr>
        <w:spacing w:afterLines="100" w:after="312" w:line="600" w:lineRule="exact"/>
        <w:jc w:val="center"/>
        <w:rPr>
          <w:rFonts w:ascii="楷体_GB2312" w:eastAsia="楷体_GB2312" w:hAnsi="仿宋_GB2312" w:cs="仿宋_GB2312"/>
          <w:b/>
          <w:sz w:val="32"/>
          <w:szCs w:val="32"/>
        </w:rPr>
      </w:pPr>
      <w:r>
        <w:rPr>
          <w:rFonts w:ascii="楷体_GB2312" w:eastAsia="楷体_GB2312" w:hAnsi="仿宋_GB2312" w:cs="仿宋_GB2312" w:hint="eastAsia"/>
          <w:b/>
          <w:sz w:val="32"/>
          <w:szCs w:val="32"/>
        </w:rPr>
        <w:t>第一节  优化投资结构和方向</w:t>
      </w:r>
    </w:p>
    <w:p w:rsidR="00D92198" w:rsidRDefault="00AE1128" w:rsidP="00A61652">
      <w:pPr>
        <w:spacing w:afterLines="100" w:after="312"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加强传统基础设施和新型基础设施投资，持续扩大实体经济投资尤其是工业投资，促进传统产业改造升级，扩大战略新兴产业投资。加大基础设施、市政工程、农业农村、公共安全、生态环保、公共卫生、物资储备、防灾救灾、民生保障等领域投资力度。推进新型基础设施、新型城镇化、交通水利能源等重大工程建设。深入推进投资审批体制改革，健全</w:t>
      </w:r>
      <w:r>
        <w:rPr>
          <w:rFonts w:ascii="仿宋_GB2312" w:eastAsia="仿宋_GB2312" w:hAnsi="黑体" w:cs="仿宋_GB2312" w:hint="eastAsia"/>
          <w:sz w:val="32"/>
          <w:szCs w:val="32"/>
        </w:rPr>
        <w:t>土地、能源、环境容量、资金等要素跟着项目走的综合协调保</w:t>
      </w:r>
      <w:r>
        <w:rPr>
          <w:rFonts w:ascii="仿宋_GB2312" w:eastAsia="仿宋_GB2312" w:hAnsi="仿宋_GB2312" w:cs="仿宋_GB2312" w:hint="eastAsia"/>
          <w:sz w:val="32"/>
          <w:szCs w:val="32"/>
        </w:rPr>
        <w:t>障机制，统筹</w:t>
      </w:r>
      <w:r>
        <w:rPr>
          <w:rFonts w:ascii="仿宋_GB2312" w:eastAsia="仿宋_GB2312" w:hAnsi="仿宋_GB2312" w:cs="仿宋_GB2312" w:hint="eastAsia"/>
          <w:sz w:val="32"/>
          <w:szCs w:val="32"/>
        </w:rPr>
        <w:lastRenderedPageBreak/>
        <w:t>谋划实施一批促消费、惠民生、调结构、增后劲的重大项目，积极推行“拿地即开工”。加强政府投资统筹管理，优化政府投资方向，创新政府投资方式，发挥政府投资撬动作用，规范有序推进政府和社会资本合作模式，积极盘活存量优质资产，形成良性投资循环。拓展技术、人力资本等</w:t>
      </w:r>
      <w:r>
        <w:rPr>
          <w:rFonts w:ascii="仿宋_GB2312" w:eastAsia="仿宋_GB2312" w:hAnsi="黑体" w:cs="仿宋_GB2312" w:hint="eastAsia"/>
          <w:sz w:val="32"/>
          <w:szCs w:val="32"/>
        </w:rPr>
        <w:t>要素投入，推广股权、债券、融资租赁等融资模式，</w:t>
      </w:r>
      <w:r>
        <w:rPr>
          <w:rFonts w:ascii="仿宋_GB2312" w:eastAsia="仿宋_GB2312" w:hAnsi="仿宋_GB2312" w:cs="仿宋_GB2312" w:hint="eastAsia"/>
          <w:sz w:val="32"/>
          <w:szCs w:val="32"/>
        </w:rPr>
        <w:t>形成市场主导的投资内生增长机制。</w:t>
      </w:r>
    </w:p>
    <w:p w:rsidR="00D92198" w:rsidRDefault="00AE1128" w:rsidP="00A61652">
      <w:pPr>
        <w:spacing w:afterLines="100" w:after="312" w:line="600" w:lineRule="exact"/>
        <w:jc w:val="center"/>
        <w:rPr>
          <w:rFonts w:ascii="楷体_GB2312" w:eastAsia="楷体_GB2312" w:hAnsi="仿宋_GB2312" w:cs="仿宋_GB2312"/>
          <w:sz w:val="32"/>
          <w:szCs w:val="32"/>
        </w:rPr>
      </w:pPr>
      <w:bookmarkStart w:id="25" w:name="_Toc57642450"/>
      <w:bookmarkStart w:id="26" w:name="_Toc13901"/>
      <w:r>
        <w:rPr>
          <w:rFonts w:ascii="楷体_GB2312" w:eastAsia="楷体_GB2312" w:hAnsi="仿宋_GB2312" w:cs="仿宋_GB2312" w:hint="eastAsia"/>
          <w:b/>
          <w:sz w:val="32"/>
          <w:szCs w:val="32"/>
        </w:rPr>
        <w:t>第二节 激发民间投资活力</w:t>
      </w:r>
      <w:bookmarkEnd w:id="25"/>
      <w:bookmarkEnd w:id="26"/>
    </w:p>
    <w:p w:rsidR="00D92198" w:rsidRDefault="00AE1128" w:rsidP="00A61652">
      <w:pPr>
        <w:spacing w:afterLines="100" w:after="312" w:line="600" w:lineRule="exact"/>
        <w:ind w:firstLineChars="150" w:firstLine="48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扩大民间投资领域，建立健全市场化合理回报机制，以基础设施、社会事业等领域为重点，放宽民间投资准入门槛，在行业准入、资质标准、招投标等方面对各类性质企业一视同仁，进一步激发民间投资活力。</w:t>
      </w:r>
      <w:r>
        <w:rPr>
          <w:rFonts w:ascii="仿宋_GB2312" w:eastAsia="仿宋_GB2312" w:hAnsi="黑体" w:cs="仿宋_GB2312" w:hint="eastAsia"/>
          <w:sz w:val="32"/>
          <w:szCs w:val="32"/>
        </w:rPr>
        <w:t>强化规划政策引导，及时向社会发布产业政策、行业准入标准等信息，健全向民间资本推介项目长效机制。落实国家税收优惠政策,简化办理程序,优化纳税服务。支持有市场、有前景、守信用的暂时困难民营企业脱困发展。</w:t>
      </w:r>
      <w:r>
        <w:rPr>
          <w:rFonts w:ascii="仿宋_GB2312" w:eastAsia="仿宋_GB2312" w:hAnsi="仿宋_GB2312" w:cs="仿宋_GB2312" w:hint="eastAsia"/>
          <w:sz w:val="32"/>
          <w:szCs w:val="32"/>
        </w:rPr>
        <w:t>深化投融资体制改革，推动投资项目管理重心由事前审批向事前政策引导、事中事后监管约束和过程服务转变。</w:t>
      </w:r>
      <w:r>
        <w:rPr>
          <w:rFonts w:ascii="仿宋_GB2312" w:eastAsia="仿宋_GB2312" w:hAnsi="仿宋_GB2312" w:cs="仿宋_GB2312"/>
          <w:sz w:val="32"/>
          <w:szCs w:val="32"/>
        </w:rPr>
        <w:t>支持具备条件的建筑、交通、水利施工企业申请国际工程承包资质，承接境外工程项目。</w:t>
      </w:r>
      <w:r>
        <w:rPr>
          <w:rFonts w:ascii="仿宋_GB2312" w:eastAsia="仿宋_GB2312" w:hAnsi="仿宋_GB2312" w:cs="仿宋_GB2312" w:hint="eastAsia"/>
          <w:sz w:val="32"/>
          <w:szCs w:val="32"/>
        </w:rPr>
        <w:t xml:space="preserve">                                                                                                                                                                                                                                                                                                                                                                                 </w:t>
      </w:r>
    </w:p>
    <w:p w:rsidR="00D92198" w:rsidRDefault="00AE1128" w:rsidP="00A61652">
      <w:pPr>
        <w:spacing w:afterLines="100" w:after="312" w:line="600" w:lineRule="exact"/>
        <w:jc w:val="center"/>
        <w:rPr>
          <w:rFonts w:ascii="黑体" w:eastAsia="黑体" w:hAnsi="黑体"/>
          <w:bCs/>
          <w:sz w:val="32"/>
          <w:szCs w:val="32"/>
        </w:rPr>
      </w:pPr>
      <w:r>
        <w:lastRenderedPageBreak/>
        <w:tab/>
      </w:r>
      <w:r>
        <w:rPr>
          <w:rFonts w:ascii="黑体" w:eastAsia="黑体" w:hAnsi="黑体" w:hint="eastAsia"/>
          <w:bCs/>
          <w:sz w:val="32"/>
          <w:szCs w:val="32"/>
        </w:rPr>
        <w:t>第二十八章  加快消费扩容提质</w:t>
      </w:r>
    </w:p>
    <w:p w:rsidR="00D92198" w:rsidRDefault="00AE1128" w:rsidP="00A61652">
      <w:pPr>
        <w:spacing w:afterLines="100" w:after="312" w:line="580" w:lineRule="exact"/>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充分发挥消费对经济发展的基础性作用，提高居民收入水平和消费能力，改善消费环境、促进消费升级、扩大消费市场，最大限度释放消费潜力。</w:t>
      </w:r>
    </w:p>
    <w:p w:rsidR="00D92198" w:rsidRDefault="00AE1128" w:rsidP="00A61652">
      <w:pPr>
        <w:spacing w:afterLines="100" w:after="312" w:line="600" w:lineRule="exact"/>
        <w:jc w:val="center"/>
        <w:rPr>
          <w:rFonts w:ascii="楷体_GB2312" w:eastAsia="楷体_GB2312" w:hAnsi="仿宋"/>
          <w:b/>
          <w:sz w:val="32"/>
          <w:szCs w:val="32"/>
        </w:rPr>
      </w:pPr>
      <w:r>
        <w:rPr>
          <w:rFonts w:ascii="楷体_GB2312" w:eastAsia="楷体_GB2312" w:hAnsi="仿宋_GB2312" w:cs="仿宋_GB2312" w:hint="eastAsia"/>
          <w:b/>
          <w:sz w:val="32"/>
          <w:szCs w:val="32"/>
        </w:rPr>
        <w:t>第一节  促进消费升级</w:t>
      </w:r>
    </w:p>
    <w:p w:rsidR="00D92198" w:rsidRDefault="00AE1128" w:rsidP="00A61652">
      <w:pPr>
        <w:spacing w:afterLines="100" w:after="312"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顺应消费数字化、品质化、个性化、多元化趋势，提升传统消费，培育新型消费，适度增加公共消费，培育区域消费中心和特色消费中心。加强消费品和服务质量标准建设，以质量品牌为重点，深入实施“同线同标同质”工程，促进消费向绿色、健康、安全发展，建设品牌强市。拓展丰富消费场景，完善“互联网</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消费”生态体系，大力发展夜经济、假日经济和旅游经济，鼓励发展首店经济、小店经济等业态模式，促进供需在更高水平上良性循环。推动传统零售服务和渠道电商资源整合，加快建设智慧商超、智慧街区、智慧商圈和智慧体验馆，大力发展无接触配送、无人零售、直播电商等消费新方式。积极培育信息、时尚、体验等新兴消费热点。拓展城乡消费市场，激发农村消费潜力。鼓励老旧机动车、电器提前报废更新，促进汽车、家电等大宗消费，推动住房消费健康发展。发展服务消费，放宽服务消费领域市场准入。</w:t>
      </w:r>
    </w:p>
    <w:p w:rsidR="00D92198" w:rsidRDefault="00AE1128" w:rsidP="00A61652">
      <w:pPr>
        <w:spacing w:afterLines="100" w:after="312" w:line="600" w:lineRule="exact"/>
        <w:jc w:val="center"/>
        <w:rPr>
          <w:rFonts w:ascii="楷体_GB2312" w:eastAsia="楷体_GB2312" w:hAnsi="仿宋"/>
          <w:b/>
          <w:sz w:val="32"/>
          <w:szCs w:val="32"/>
        </w:rPr>
      </w:pPr>
      <w:r>
        <w:rPr>
          <w:rFonts w:ascii="楷体_GB2312" w:eastAsia="楷体_GB2312" w:hAnsi="仿宋" w:hint="eastAsia"/>
          <w:b/>
          <w:sz w:val="32"/>
          <w:szCs w:val="32"/>
        </w:rPr>
        <w:lastRenderedPageBreak/>
        <w:t>第二节 改善消费环境</w:t>
      </w:r>
    </w:p>
    <w:p w:rsidR="00D92198" w:rsidRDefault="00AE1128" w:rsidP="00A61652">
      <w:pPr>
        <w:spacing w:afterLines="100" w:after="312"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完善促进消费体制机制，强化消费者权益保护，营造放心消费环境。优化市域商业网点布局，建设多层次、特色化区域商圈和商业街区。推动汽车等消费品由购买管理向使用管理转变。完善新能源汽车在城市建成区减免停车费、便利通行等支持政策。支持具备条件的景区建设自驾车、旅居车营地，鼓励发展租赁式公寓、精品民宿等旅游短租服务。完善重点消费品废旧回收循环利用体系，规范发展汽车、家电、电子产品回收利用产业。健全农村流通网络，扩大电商、快递、品牌商超农村覆盖面，打通农村消费“最后一公里”。强化市场秩序监管，严厉打击各种侵犯知识产权和制售伪劣商品等违法犯罪活动，完善产品质量安全追溯和服务责任追溯机制，加强消费领域信用建设，畅通消费者维权渠道。鼓励消费金融创新，规范发展消费信贷，创新网上消费信贷监管模式。</w:t>
      </w:r>
    </w:p>
    <w:p w:rsidR="00D92198" w:rsidRDefault="00AE1128" w:rsidP="00A61652">
      <w:pPr>
        <w:spacing w:afterLines="100" w:after="312" w:line="580" w:lineRule="exact"/>
        <w:jc w:val="center"/>
        <w:rPr>
          <w:rFonts w:ascii="楷体_GB2312" w:eastAsia="楷体_GB2312" w:hAnsi="仿宋"/>
          <w:b/>
          <w:sz w:val="32"/>
          <w:szCs w:val="32"/>
        </w:rPr>
      </w:pPr>
      <w:r>
        <w:rPr>
          <w:rFonts w:ascii="楷体_GB2312" w:eastAsia="楷体_GB2312" w:hAnsi="仿宋" w:hint="eastAsia"/>
          <w:b/>
          <w:sz w:val="32"/>
          <w:szCs w:val="32"/>
        </w:rPr>
        <w:t>第三节 提升消费能力</w:t>
      </w:r>
    </w:p>
    <w:p w:rsidR="00D92198" w:rsidRDefault="00AE1128" w:rsidP="00A61652">
      <w:pPr>
        <w:spacing w:afterLines="100" w:after="312"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实施中等收入群体培育战略，完善落实收入分配制度，提高劳动报酬在初次分配中的比重。提高高校毕业生就业质量，拓宽技术工人上升通道，实施高素质农民培育计划，完善小微创业者和低收入群体扶持政策。拓宽低收入群体增收渠道，完善企业最低工资保障制度，促进农民工资性、经营性、财产性、</w:t>
      </w:r>
      <w:r>
        <w:rPr>
          <w:rFonts w:ascii="仿宋_GB2312" w:eastAsia="仿宋_GB2312" w:hAnsi="仿宋_GB2312" w:cs="仿宋_GB2312" w:hint="eastAsia"/>
          <w:sz w:val="32"/>
          <w:szCs w:val="32"/>
        </w:rPr>
        <w:lastRenderedPageBreak/>
        <w:t>转移性收入稳定增长。完善公务员工资正常增长机制，深化事业单位工资制度改革，提高技能人才和专业技术人员工资水平。完善以家庭为单位的福利支持政策，减轻家庭支出负担。</w:t>
      </w:r>
      <w:bookmarkEnd w:id="24"/>
      <w:r>
        <w:rPr>
          <w:rFonts w:ascii="仿宋_GB2312" w:eastAsia="仿宋_GB2312" w:hAnsi="仿宋_GB2312" w:cs="仿宋_GB2312" w:hint="eastAsia"/>
          <w:sz w:val="32"/>
          <w:szCs w:val="32"/>
        </w:rPr>
        <w:t>落实带薪休假制度，扩大节假日消费。</w:t>
      </w:r>
    </w:p>
    <w:p w:rsidR="00D92198" w:rsidRDefault="00AE1128">
      <w:pPr>
        <w:spacing w:line="580" w:lineRule="exact"/>
        <w:jc w:val="center"/>
        <w:rPr>
          <w:rFonts w:ascii="方正小标宋简体" w:eastAsia="方正小标宋简体" w:hAnsi="黑体"/>
          <w:sz w:val="32"/>
          <w:szCs w:val="32"/>
        </w:rPr>
      </w:pPr>
      <w:r>
        <w:rPr>
          <w:rFonts w:ascii="方正小标宋简体" w:eastAsia="方正小标宋简体" w:hAnsi="黑体" w:hint="eastAsia"/>
          <w:sz w:val="32"/>
          <w:szCs w:val="32"/>
        </w:rPr>
        <w:t>第八篇  全面深化改革，加快构建充满活力的</w:t>
      </w:r>
    </w:p>
    <w:p w:rsidR="00D92198" w:rsidRDefault="00AE1128" w:rsidP="00A61652">
      <w:pPr>
        <w:spacing w:afterLines="100" w:after="312" w:line="580" w:lineRule="exact"/>
        <w:jc w:val="center"/>
        <w:rPr>
          <w:rFonts w:ascii="方正小标宋简体" w:eastAsia="方正小标宋简体" w:hAnsi="黑体"/>
          <w:sz w:val="32"/>
          <w:szCs w:val="32"/>
        </w:rPr>
      </w:pPr>
      <w:r>
        <w:rPr>
          <w:rFonts w:ascii="方正小标宋简体" w:eastAsia="方正小标宋简体" w:hAnsi="黑体" w:hint="eastAsia"/>
          <w:sz w:val="32"/>
          <w:szCs w:val="32"/>
        </w:rPr>
        <w:t>市场经济体制机制</w:t>
      </w:r>
    </w:p>
    <w:p w:rsidR="00D92198" w:rsidRDefault="00AE1128" w:rsidP="00A61652">
      <w:pPr>
        <w:spacing w:afterLines="100" w:after="312"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全面推进市场化改革，强化改革举措系统集成、协同高效，充分发挥市场在资源配置中的决定性作用，更好发挥政府作用，推动有效市场和有为政府更好结合。</w:t>
      </w:r>
    </w:p>
    <w:p w:rsidR="00D92198" w:rsidRDefault="00AE1128" w:rsidP="00A61652">
      <w:pPr>
        <w:spacing w:afterLines="100" w:after="312" w:line="580" w:lineRule="exact"/>
        <w:jc w:val="center"/>
        <w:rPr>
          <w:rFonts w:ascii="黑体" w:eastAsia="黑体" w:hAnsi="黑体"/>
          <w:bCs/>
          <w:sz w:val="32"/>
          <w:szCs w:val="32"/>
        </w:rPr>
      </w:pPr>
      <w:bookmarkStart w:id="27" w:name="_Hlk59028111"/>
      <w:r>
        <w:rPr>
          <w:rFonts w:ascii="黑体" w:eastAsia="黑体" w:hAnsi="黑体" w:hint="eastAsia"/>
          <w:bCs/>
          <w:sz w:val="32"/>
          <w:szCs w:val="32"/>
        </w:rPr>
        <w:t>第二十九章 提升政府治理能力</w:t>
      </w:r>
    </w:p>
    <w:p w:rsidR="00D92198" w:rsidRDefault="00AE1128" w:rsidP="00A61652">
      <w:pPr>
        <w:spacing w:afterLines="100" w:after="312" w:line="600" w:lineRule="exact"/>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加快转变政府职能，持续优化营商环境，创新行政管理，优化服务方式，提高行政效能，增强治理能力。</w:t>
      </w:r>
    </w:p>
    <w:p w:rsidR="00D92198" w:rsidRDefault="00AE1128" w:rsidP="00A61652">
      <w:pPr>
        <w:widowControl/>
        <w:numPr>
          <w:ilvl w:val="255"/>
          <w:numId w:val="0"/>
        </w:numPr>
        <w:spacing w:afterLines="100" w:after="312" w:line="600" w:lineRule="exact"/>
        <w:jc w:val="center"/>
        <w:rPr>
          <w:rFonts w:ascii="楷体_GB2312" w:eastAsia="楷体_GB2312" w:hAnsi="仿宋"/>
          <w:b/>
          <w:sz w:val="32"/>
          <w:szCs w:val="32"/>
        </w:rPr>
      </w:pPr>
      <w:r>
        <w:rPr>
          <w:rFonts w:ascii="楷体_GB2312" w:eastAsia="楷体_GB2312" w:hAnsi="仿宋" w:hint="eastAsia"/>
          <w:b/>
          <w:sz w:val="32"/>
          <w:szCs w:val="32"/>
        </w:rPr>
        <w:t>第一节  加强宏观经济调控</w:t>
      </w:r>
    </w:p>
    <w:p w:rsidR="00D92198" w:rsidRDefault="00AE1128" w:rsidP="00A61652">
      <w:pPr>
        <w:widowControl/>
        <w:numPr>
          <w:ilvl w:val="255"/>
          <w:numId w:val="0"/>
        </w:numPr>
        <w:spacing w:afterLines="100" w:after="312" w:line="600" w:lineRule="exact"/>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贯彻落实国家、省宏观调控政策，健全规划引导和就业、产业、投资、消费、环保等政策协同发力的调节机制。注重处理好政府和市场、短期和长期的关系，统筹稳增长、促改革、调结构、惠民生、防风险、保稳定，保持经济运行在合理区间。坚持问题导向和目标导向，增强宏观经济调节的前瞻性、针对</w:t>
      </w:r>
      <w:r>
        <w:rPr>
          <w:rFonts w:ascii="仿宋_GB2312" w:eastAsia="仿宋_GB2312" w:hAnsi="黑体" w:cs="仿宋_GB2312" w:hint="eastAsia"/>
          <w:sz w:val="32"/>
          <w:szCs w:val="32"/>
        </w:rPr>
        <w:lastRenderedPageBreak/>
        <w:t>性和有效性，更好发挥政策组合效应，提高精准性和有效性，增强经济抵御风险能力。充分利用现代技术手段，加强经济监测分析，推进统计现代化改革，创新统计制度和方法，健全宏观经济政策和市场信息权威发布机制，建设经济运行监测分析平台。</w:t>
      </w:r>
    </w:p>
    <w:p w:rsidR="00D92198" w:rsidRDefault="00AE1128" w:rsidP="00A61652">
      <w:pPr>
        <w:spacing w:afterLines="100" w:after="312" w:line="600" w:lineRule="exact"/>
        <w:jc w:val="center"/>
        <w:rPr>
          <w:rFonts w:ascii="楷体_GB2312" w:eastAsia="楷体_GB2312" w:hAnsi="仿宋"/>
          <w:b/>
          <w:sz w:val="32"/>
          <w:szCs w:val="32"/>
        </w:rPr>
      </w:pPr>
      <w:r>
        <w:rPr>
          <w:rFonts w:ascii="楷体_GB2312" w:eastAsia="楷体_GB2312" w:hAnsi="仿宋" w:hint="eastAsia"/>
          <w:b/>
          <w:sz w:val="32"/>
          <w:szCs w:val="32"/>
        </w:rPr>
        <w:t>第二节  打造一流营商环境</w:t>
      </w:r>
    </w:p>
    <w:bookmarkEnd w:id="27"/>
    <w:p w:rsidR="00D92198" w:rsidRDefault="00AE1128" w:rsidP="00A61652">
      <w:pPr>
        <w:spacing w:afterLines="100" w:after="312" w:line="600" w:lineRule="exact"/>
        <w:ind w:firstLineChars="200" w:firstLine="640"/>
        <w:rPr>
          <w:rFonts w:ascii="楷体" w:eastAsia="楷体" w:hAnsi="楷体"/>
          <w:b/>
          <w:sz w:val="32"/>
          <w:szCs w:val="32"/>
        </w:rPr>
      </w:pPr>
      <w:r>
        <w:rPr>
          <w:rFonts w:ascii="仿宋_GB2312" w:eastAsia="仿宋_GB2312" w:hAnsi="仿宋_GB2312" w:cs="仿宋_GB2312" w:hint="eastAsia"/>
          <w:sz w:val="32"/>
          <w:szCs w:val="32"/>
        </w:rPr>
        <w:t>加快转变政府职能，建设职责明确、依法行政的政府治理体系。全面落实《河南省优化营商环境条例》。纵深推进“放管服”改革，加快政务数据联通共享，全面实行政府权责清单制度。深化政务公开，持续做好政务服务标准化和政务流程再造，进一步精简行政审批事项，全面推行“一件事一次办”,探索以投资项目告知承诺制为核心的极简审批。深化“证照分离”“照后减证”等商事制度改革，完善便利各类市场主体的注册经营、扶持政策享受、注销退出等机制。实施涉企经营许可事项清单管理，强化事中事后监管，完善跨领域跨部门协同监管机制，全面推行“双随机、一公开”监管，加强“互联网+监管”应用。强化</w:t>
      </w:r>
      <w:r>
        <w:rPr>
          <w:rFonts w:ascii="仿宋_GB2312" w:eastAsia="仿宋_GB2312" w:hAnsi="仿宋_GB2312" w:cs="仿宋_GB2312"/>
          <w:sz w:val="32"/>
          <w:szCs w:val="32"/>
        </w:rPr>
        <w:t>营商环境评价</w:t>
      </w:r>
      <w:r>
        <w:rPr>
          <w:rFonts w:ascii="仿宋_GB2312" w:eastAsia="仿宋_GB2312" w:hAnsi="仿宋_GB2312" w:cs="仿宋_GB2312" w:hint="eastAsia"/>
          <w:sz w:val="32"/>
          <w:szCs w:val="32"/>
        </w:rPr>
        <w:t>结果运用</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着力打造一流的</w:t>
      </w:r>
      <w:r>
        <w:rPr>
          <w:rFonts w:ascii="仿宋_GB2312" w:eastAsia="仿宋_GB2312" w:hAnsi="仿宋_GB2312" w:cs="仿宋_GB2312"/>
          <w:sz w:val="32"/>
          <w:szCs w:val="32"/>
        </w:rPr>
        <w:t>市场化法治化国际化营商环境。</w:t>
      </w:r>
    </w:p>
    <w:p w:rsidR="00D92198" w:rsidRDefault="00AE1128" w:rsidP="00A61652">
      <w:pPr>
        <w:spacing w:afterLines="100" w:after="312" w:line="600" w:lineRule="exact"/>
        <w:jc w:val="center"/>
        <w:rPr>
          <w:rFonts w:ascii="楷体_GB2312" w:eastAsia="楷体_GB2312" w:hAnsi="仿宋_GB2312" w:cs="仿宋_GB2312"/>
          <w:b/>
          <w:sz w:val="32"/>
          <w:szCs w:val="32"/>
        </w:rPr>
      </w:pPr>
      <w:r>
        <w:rPr>
          <w:rFonts w:ascii="楷体_GB2312" w:eastAsia="楷体_GB2312" w:hAnsi="仿宋_GB2312" w:cs="仿宋_GB2312" w:hint="eastAsia"/>
          <w:b/>
          <w:sz w:val="32"/>
          <w:szCs w:val="32"/>
        </w:rPr>
        <w:t>第三节  深化地方财税体制改革</w:t>
      </w:r>
    </w:p>
    <w:p w:rsidR="00D92198" w:rsidRDefault="00AE1128" w:rsidP="00A61652">
      <w:pPr>
        <w:widowControl/>
        <w:numPr>
          <w:ilvl w:val="255"/>
          <w:numId w:val="0"/>
        </w:numPr>
        <w:spacing w:afterLines="100" w:after="312" w:line="600" w:lineRule="exact"/>
        <w:ind w:firstLineChars="200" w:firstLine="640"/>
        <w:rPr>
          <w:rFonts w:ascii="仿宋_GB2312" w:eastAsia="仿宋_GB2312" w:hAnsi="黑体" w:cs="仿宋_GB2312"/>
          <w:sz w:val="32"/>
          <w:szCs w:val="32"/>
        </w:rPr>
      </w:pPr>
      <w:r>
        <w:rPr>
          <w:rFonts w:ascii="仿宋_GB2312" w:eastAsia="仿宋_GB2312" w:hAnsi="仿宋_GB2312" w:cs="仿宋_GB2312" w:hint="eastAsia"/>
          <w:sz w:val="32"/>
          <w:szCs w:val="32"/>
        </w:rPr>
        <w:lastRenderedPageBreak/>
        <w:t>加强财政资源统筹，加强中期财政规划管理，增强重大决策部署财力保障。深化预算管理制度改革，完善政府预算体系，推进零基预算和财政支出标准化，强化预算约束和绩效管理。健全市县两级财政管理体制，增强基层公共服务保障能力。推进综合治税，深化税收征管制度改革，统筹推进非税收入改革。完善政府债务管理及风险预警机制</w:t>
      </w:r>
      <w:r>
        <w:rPr>
          <w:rFonts w:ascii="仿宋_GB2312" w:eastAsia="仿宋_GB2312" w:hAnsi="黑体" w:cs="仿宋_GB2312" w:hint="eastAsia"/>
          <w:sz w:val="32"/>
          <w:szCs w:val="32"/>
        </w:rPr>
        <w:t>。强化审计职能，实现审计全覆盖，开展常态化“经济体检”。</w:t>
      </w:r>
    </w:p>
    <w:p w:rsidR="00D92198" w:rsidRDefault="00AE1128" w:rsidP="00A61652">
      <w:pPr>
        <w:spacing w:afterLines="100" w:after="312" w:line="600" w:lineRule="exact"/>
        <w:jc w:val="center"/>
        <w:rPr>
          <w:rFonts w:ascii="楷体_GB2312" w:eastAsia="楷体_GB2312" w:hAnsi="仿宋_GB2312" w:cs="仿宋_GB2312"/>
          <w:b/>
          <w:sz w:val="32"/>
          <w:szCs w:val="32"/>
        </w:rPr>
      </w:pPr>
      <w:r>
        <w:rPr>
          <w:rFonts w:ascii="楷体_GB2312" w:eastAsia="楷体_GB2312" w:hAnsi="仿宋_GB2312" w:cs="仿宋_GB2312" w:hint="eastAsia"/>
          <w:b/>
          <w:sz w:val="32"/>
          <w:szCs w:val="32"/>
        </w:rPr>
        <w:t>第四节  加快社会信用体系建设</w:t>
      </w:r>
    </w:p>
    <w:p w:rsidR="00D92198" w:rsidRDefault="00AE1128" w:rsidP="00A61652">
      <w:pPr>
        <w:spacing w:afterLines="100" w:after="312" w:line="600" w:lineRule="exact"/>
        <w:ind w:firstLineChars="200" w:firstLine="640"/>
        <w:rPr>
          <w:rFonts w:ascii="仿宋_GB2312" w:eastAsia="仿宋_GB2312" w:hAnsi="仿宋_GB2312" w:cs="仿宋_GB2312"/>
          <w:sz w:val="32"/>
          <w:szCs w:val="32"/>
        </w:rPr>
      </w:pPr>
      <w:r>
        <w:rPr>
          <w:rFonts w:ascii="仿宋_GB2312" w:eastAsia="仿宋_GB2312" w:hAnsi="黑体" w:cs="仿宋_GB2312" w:hint="eastAsia"/>
          <w:bCs/>
          <w:sz w:val="32"/>
          <w:szCs w:val="32"/>
        </w:rPr>
        <w:t>全面落实《河南省社会信用条例》，完善配套政策措施和地方信用标准规范。推进政务诚信监测治理，建立健全政府诚信履约和失信责任追究制度。</w:t>
      </w:r>
      <w:r>
        <w:rPr>
          <w:rFonts w:ascii="仿宋_GB2312" w:eastAsia="仿宋_GB2312" w:hAnsi="仿宋_GB2312" w:cs="仿宋_GB2312" w:hint="eastAsia"/>
          <w:sz w:val="32"/>
          <w:szCs w:val="32"/>
        </w:rPr>
        <w:t>加强公共信用信息归集共享，推动基础性信用信息查询服务便利化。推广以信用为基础的新型监管，完善信用承诺制度，全面建立市场主体信用记录，开展市场主体公共信用综合评价和分级分类监管。完善实施守信联合激励和失信联合惩戒，健全信用修复机制。推进征信平台建设，加快培育征信、信用评级等信用服务机构。深入推进社会信用体系与大数据融合发展。推动信用惠民便企，大力推广“信易贷”，支持信用融资发展，推动“信易租”“信易行”等创新应用，激励市民和市场主体守信行为。加强涉企政务数据与金融机构共享，助力中小微企业信用融资。广泛开展信用宣传，</w:t>
      </w:r>
      <w:r>
        <w:rPr>
          <w:rFonts w:ascii="仿宋_GB2312" w:eastAsia="仿宋_GB2312" w:hAnsi="仿宋_GB2312" w:cs="仿宋_GB2312" w:hint="eastAsia"/>
          <w:sz w:val="32"/>
          <w:szCs w:val="32"/>
        </w:rPr>
        <w:lastRenderedPageBreak/>
        <w:t>宣扬诚信文化，组织诚信教育，全面提升社会诚信意识。加快国家社会信用体系示范区创建。</w:t>
      </w:r>
    </w:p>
    <w:p w:rsidR="00D92198" w:rsidRDefault="00AE1128" w:rsidP="00A61652">
      <w:pPr>
        <w:spacing w:afterLines="100" w:after="312" w:line="600" w:lineRule="exact"/>
        <w:jc w:val="center"/>
        <w:rPr>
          <w:rFonts w:ascii="黑体" w:eastAsia="黑体" w:hAnsi="黑体" w:cs="仿宋_GB2312"/>
          <w:bCs/>
          <w:sz w:val="32"/>
          <w:szCs w:val="32"/>
        </w:rPr>
      </w:pPr>
      <w:r>
        <w:rPr>
          <w:rFonts w:ascii="黑体" w:eastAsia="黑体" w:hAnsi="黑体" w:hint="eastAsia"/>
          <w:bCs/>
          <w:sz w:val="32"/>
          <w:szCs w:val="32"/>
        </w:rPr>
        <w:t>第三十章  激发市场主体活力</w:t>
      </w:r>
    </w:p>
    <w:p w:rsidR="00D92198" w:rsidRDefault="00AE1128" w:rsidP="00A61652">
      <w:pPr>
        <w:spacing w:afterLines="100" w:after="312" w:line="600" w:lineRule="exact"/>
        <w:ind w:firstLineChars="200" w:firstLine="640"/>
        <w:rPr>
          <w:rFonts w:ascii="仿宋_GB2312" w:eastAsia="仿宋_GB2312" w:hAnsi="仿宋_GB2312" w:cs="仿宋_GB2312"/>
          <w:sz w:val="32"/>
          <w:szCs w:val="32"/>
        </w:rPr>
      </w:pPr>
      <w:r>
        <w:rPr>
          <w:rFonts w:ascii="仿宋_GB2312" w:eastAsia="仿宋_GB2312" w:hAnsi="黑体" w:cs="仿宋_GB2312" w:hint="eastAsia"/>
          <w:bCs/>
          <w:sz w:val="32"/>
          <w:szCs w:val="32"/>
        </w:rPr>
        <w:t>加快推进政府投融资平台改革，促进民营企业健康发展，构建亲清政商关系，促进企业活力提升。</w:t>
      </w:r>
      <w:bookmarkStart w:id="28" w:name="_Toc57642471"/>
      <w:bookmarkStart w:id="29" w:name="_Toc19498"/>
    </w:p>
    <w:p w:rsidR="00D92198" w:rsidRDefault="00AE1128" w:rsidP="00A61652">
      <w:pPr>
        <w:spacing w:afterLines="100" w:after="312" w:line="600" w:lineRule="exact"/>
        <w:jc w:val="center"/>
        <w:rPr>
          <w:rFonts w:ascii="楷体_GB2312" w:eastAsia="楷体_GB2312" w:hAnsi="仿宋_GB2312" w:cs="仿宋_GB2312"/>
          <w:b/>
          <w:sz w:val="32"/>
          <w:szCs w:val="32"/>
        </w:rPr>
      </w:pPr>
      <w:r>
        <w:rPr>
          <w:rFonts w:ascii="楷体_GB2312" w:eastAsia="楷体_GB2312" w:hAnsi="仿宋_GB2312" w:cs="仿宋_GB2312" w:hint="eastAsia"/>
          <w:b/>
          <w:sz w:val="32"/>
          <w:szCs w:val="32"/>
        </w:rPr>
        <w:t>第一节  深化政府投融资平台公司市场化改革</w:t>
      </w:r>
    </w:p>
    <w:p w:rsidR="00D92198" w:rsidRDefault="00AE1128" w:rsidP="00A61652">
      <w:pPr>
        <w:spacing w:afterLines="100" w:after="312" w:line="600" w:lineRule="exact"/>
        <w:ind w:firstLineChars="200" w:firstLine="640"/>
        <w:rPr>
          <w:rFonts w:ascii="仿宋_GB2312" w:eastAsia="仿宋_GB2312" w:hAnsi="黑体" w:cs="仿宋_GB2312"/>
          <w:bCs/>
          <w:sz w:val="32"/>
          <w:szCs w:val="32"/>
        </w:rPr>
      </w:pPr>
      <w:r>
        <w:rPr>
          <w:rFonts w:ascii="仿宋_GB2312" w:eastAsia="仿宋_GB2312" w:hAnsi="黑体" w:cs="仿宋_GB2312" w:hint="eastAsia"/>
          <w:bCs/>
          <w:sz w:val="32"/>
          <w:szCs w:val="32"/>
        </w:rPr>
        <w:t>按照政府引导、平台自主、市场化运营的原则，</w:t>
      </w:r>
      <w:r>
        <w:rPr>
          <w:rFonts w:ascii="仿宋_GB2312" w:eastAsia="仿宋_GB2312" w:hAnsi="仿宋_GB2312" w:cs="仿宋_GB2312" w:hint="eastAsia"/>
          <w:sz w:val="32"/>
          <w:szCs w:val="32"/>
        </w:rPr>
        <w:t>推进政府投融资平台公司市场化改革和转型，</w:t>
      </w:r>
      <w:r>
        <w:rPr>
          <w:rFonts w:ascii="仿宋_GB2312" w:eastAsia="仿宋_GB2312" w:hAnsi="黑体" w:cs="仿宋_GB2312" w:hint="eastAsia"/>
          <w:bCs/>
          <w:sz w:val="32"/>
          <w:szCs w:val="32"/>
        </w:rPr>
        <w:t>着力提升平台“注”“融”“投”“管”能力。注入优质资产，扩充资本规模；创新融资方式，提升发展活力；拓宽投资领域，增强造血功能；强化监管考评，保障平台良性运转，推动市级平台进一步做大做优做强。</w:t>
      </w:r>
      <w:r>
        <w:rPr>
          <w:rFonts w:ascii="仿宋_GB2312" w:eastAsia="仿宋_GB2312" w:hAnsi="仿宋_GB2312" w:cs="仿宋_GB2312" w:hint="eastAsia"/>
          <w:sz w:val="32"/>
          <w:szCs w:val="32"/>
        </w:rPr>
        <w:t>加快推进政府资金基金化改革，做大做强政府基金。</w:t>
      </w:r>
      <w:r>
        <w:rPr>
          <w:rFonts w:ascii="仿宋_GB2312" w:eastAsia="仿宋_GB2312" w:hAnsi="黑体" w:cs="仿宋_GB2312" w:hint="eastAsia"/>
          <w:bCs/>
          <w:sz w:val="32"/>
          <w:szCs w:val="32"/>
        </w:rPr>
        <w:t>发挥投融资对产业培育、城市建设、社会事业等支撑撬动作用</w:t>
      </w:r>
      <w:r>
        <w:rPr>
          <w:rFonts w:ascii="仿宋_GB2312" w:eastAsia="仿宋_GB2312" w:hAnsi="黑体" w:cs="仿宋_GB2312"/>
          <w:bCs/>
          <w:sz w:val="32"/>
          <w:szCs w:val="32"/>
        </w:rPr>
        <w:t>。</w:t>
      </w:r>
    </w:p>
    <w:p w:rsidR="00D92198" w:rsidRDefault="00AE1128" w:rsidP="00A61652">
      <w:pPr>
        <w:spacing w:afterLines="100" w:after="312" w:line="600" w:lineRule="exact"/>
        <w:jc w:val="center"/>
        <w:rPr>
          <w:rFonts w:ascii="楷体_GB2312" w:eastAsia="楷体_GB2312" w:hAnsi="仿宋_GB2312" w:cs="仿宋_GB2312"/>
          <w:sz w:val="32"/>
          <w:szCs w:val="32"/>
        </w:rPr>
      </w:pPr>
      <w:r>
        <w:rPr>
          <w:rFonts w:ascii="楷体_GB2312" w:eastAsia="楷体_GB2312" w:hAnsi="仿宋_GB2312" w:cs="仿宋_GB2312" w:hint="eastAsia"/>
          <w:b/>
          <w:sz w:val="32"/>
          <w:szCs w:val="32"/>
        </w:rPr>
        <w:t>第二节  促进民营企业健康发展</w:t>
      </w:r>
      <w:bookmarkEnd w:id="28"/>
      <w:bookmarkEnd w:id="29"/>
    </w:p>
    <w:p w:rsidR="00D92198" w:rsidRDefault="00AE1128" w:rsidP="00A61652">
      <w:pPr>
        <w:spacing w:afterLines="100" w:after="312" w:line="600" w:lineRule="exact"/>
        <w:ind w:firstLineChars="200" w:firstLine="640"/>
        <w:rPr>
          <w:rFonts w:ascii="仿宋_GB2312" w:eastAsia="仿宋_GB2312" w:hAnsi="黑体" w:cs="仿宋_GB2312"/>
          <w:bCs/>
          <w:sz w:val="32"/>
          <w:szCs w:val="32"/>
        </w:rPr>
      </w:pPr>
      <w:r>
        <w:rPr>
          <w:rFonts w:ascii="仿宋_GB2312" w:eastAsia="仿宋_GB2312" w:hAnsi="黑体" w:cs="仿宋_GB2312" w:hint="eastAsia"/>
          <w:bCs/>
          <w:sz w:val="32"/>
          <w:szCs w:val="32"/>
        </w:rPr>
        <w:t>优化民营经济发展环境，促进民营企业健康发展，培育更多充满活力的市场主体。完善支持民营企业创新发展政策体系，依法保护民营企业产权和企业家权益，破除制约民营企业发展的各种壁垒，落实减税降费各项政策。强化金融支持，降低企</w:t>
      </w:r>
      <w:r>
        <w:rPr>
          <w:rFonts w:ascii="仿宋_GB2312" w:eastAsia="仿宋_GB2312" w:hAnsi="黑体" w:cs="仿宋_GB2312" w:hint="eastAsia"/>
          <w:bCs/>
          <w:sz w:val="32"/>
          <w:szCs w:val="32"/>
        </w:rPr>
        <w:lastRenderedPageBreak/>
        <w:t>业用能用地和融资成本，减轻民营企业负担。健全民营企业融资增信和直接融资支持制度，增加面向小微企业和民营企业的金融服务供给。大力营造企业家健康成长环境，更好发挥企业家作用。</w:t>
      </w:r>
    </w:p>
    <w:p w:rsidR="00D92198" w:rsidRDefault="00AE1128" w:rsidP="00A61652">
      <w:pPr>
        <w:spacing w:afterLines="100" w:after="312" w:line="600" w:lineRule="exact"/>
        <w:jc w:val="center"/>
        <w:rPr>
          <w:rFonts w:ascii="楷体_GB2312" w:eastAsia="楷体_GB2312" w:hAnsi="仿宋_GB2312" w:cs="仿宋_GB2312"/>
          <w:b/>
          <w:sz w:val="32"/>
          <w:szCs w:val="32"/>
        </w:rPr>
      </w:pPr>
      <w:r>
        <w:rPr>
          <w:rFonts w:ascii="楷体_GB2312" w:eastAsia="楷体_GB2312" w:hAnsi="仿宋_GB2312" w:cs="仿宋_GB2312" w:hint="eastAsia"/>
          <w:b/>
          <w:sz w:val="32"/>
          <w:szCs w:val="32"/>
        </w:rPr>
        <w:t>第三节  构建新型亲清政商关系</w:t>
      </w:r>
    </w:p>
    <w:p w:rsidR="00D92198" w:rsidRDefault="00AE1128" w:rsidP="00A61652">
      <w:pPr>
        <w:spacing w:afterLines="100" w:after="312" w:line="6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畅通企业家意见诉求通道，建立规范化政企沟通渠道，健全政府重大经济决策主动向企业家问计求策和意见处理反馈机制。加强涉企政策宣传解读和执行监督，健全评估调整程序，合理设置缓冲过渡期。完善企业全生命周期服务模式和服务链条，推广首席服务员、企业服务日、企业家恳谈日等制度。规范党政领导干部与民营经济人士联系交往，坚持正面清单引导与负面清单约束并重，构建“亲”而有度、“清”而有为的政商关系。</w:t>
      </w:r>
    </w:p>
    <w:p w:rsidR="00D92198" w:rsidRDefault="00AE1128" w:rsidP="00A61652">
      <w:pPr>
        <w:spacing w:afterLines="100" w:after="312" w:line="620" w:lineRule="exact"/>
        <w:jc w:val="center"/>
        <w:rPr>
          <w:rFonts w:ascii="黑体" w:eastAsia="黑体" w:hAnsi="黑体"/>
          <w:bCs/>
          <w:sz w:val="32"/>
          <w:szCs w:val="32"/>
        </w:rPr>
      </w:pPr>
      <w:r>
        <w:rPr>
          <w:rFonts w:ascii="黑体" w:eastAsia="黑体" w:hAnsi="黑体" w:hint="eastAsia"/>
          <w:bCs/>
          <w:sz w:val="32"/>
          <w:szCs w:val="32"/>
        </w:rPr>
        <w:t>第</w:t>
      </w:r>
      <w:bookmarkStart w:id="30" w:name="_Hlk59027038"/>
      <w:r>
        <w:rPr>
          <w:rFonts w:ascii="黑体" w:eastAsia="黑体" w:hAnsi="黑体" w:hint="eastAsia"/>
          <w:bCs/>
          <w:sz w:val="32"/>
          <w:szCs w:val="32"/>
        </w:rPr>
        <w:t>三十一章  完善要素市场化配置</w:t>
      </w:r>
      <w:bookmarkEnd w:id="30"/>
    </w:p>
    <w:p w:rsidR="00D92198" w:rsidRDefault="00AE1128" w:rsidP="00A61652">
      <w:pPr>
        <w:spacing w:afterLines="100" w:after="312" w:line="620" w:lineRule="exact"/>
        <w:ind w:firstLineChars="200" w:firstLine="640"/>
        <w:jc w:val="left"/>
        <w:rPr>
          <w:rFonts w:ascii="仿宋_GB2312" w:eastAsia="仿宋_GB2312" w:hAnsi="黑体" w:cs="仿宋_GB2312"/>
          <w:sz w:val="32"/>
          <w:szCs w:val="32"/>
        </w:rPr>
      </w:pPr>
      <w:r>
        <w:rPr>
          <w:rFonts w:ascii="仿宋_GB2312" w:eastAsia="仿宋_GB2312" w:hAnsi="黑体" w:cs="仿宋_GB2312" w:hint="eastAsia"/>
          <w:sz w:val="32"/>
          <w:szCs w:val="32"/>
        </w:rPr>
        <w:t>深化要素市场化配置改革，完善主要由市场决定要素价格机制和统一开放的要素市场。</w:t>
      </w:r>
    </w:p>
    <w:p w:rsidR="00D92198" w:rsidRDefault="00AE1128" w:rsidP="00A61652">
      <w:pPr>
        <w:spacing w:afterLines="100" w:after="312" w:line="620" w:lineRule="exact"/>
        <w:jc w:val="center"/>
        <w:rPr>
          <w:rFonts w:ascii="楷体_GB2312" w:eastAsia="楷体_GB2312"/>
          <w:b/>
          <w:sz w:val="32"/>
          <w:szCs w:val="32"/>
        </w:rPr>
      </w:pPr>
      <w:r>
        <w:rPr>
          <w:rFonts w:ascii="楷体_GB2312" w:eastAsia="楷体_GB2312" w:hint="eastAsia"/>
          <w:b/>
          <w:sz w:val="32"/>
          <w:szCs w:val="32"/>
        </w:rPr>
        <w:t>第一节  建设统一开放的要素市场</w:t>
      </w:r>
    </w:p>
    <w:p w:rsidR="00D92198" w:rsidRDefault="00AE1128" w:rsidP="00A61652">
      <w:pPr>
        <w:spacing w:afterLines="100" w:after="312" w:line="620" w:lineRule="exact"/>
        <w:ind w:firstLine="636"/>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推进土地、劳动力、资本、技术、数据等要素市场化改革，健全市场体系制度基础，坚持平等进入，</w:t>
      </w:r>
      <w:bookmarkStart w:id="31" w:name="_Hlk59027345"/>
      <w:r>
        <w:rPr>
          <w:rFonts w:ascii="仿宋_GB2312" w:eastAsia="仿宋_GB2312" w:hAnsi="仿宋_GB2312" w:cs="仿宋_GB2312" w:hint="eastAsia"/>
          <w:sz w:val="32"/>
          <w:szCs w:val="32"/>
        </w:rPr>
        <w:t>扩大要素市场化配置范围，提高资源配置效率和全要素生产率。</w:t>
      </w:r>
      <w:bookmarkStart w:id="32" w:name="_Hlk59027562"/>
      <w:bookmarkEnd w:id="31"/>
      <w:r>
        <w:rPr>
          <w:rFonts w:ascii="仿宋_GB2312" w:eastAsia="仿宋_GB2312" w:hAnsi="仿宋_GB2312" w:cs="仿宋_GB2312" w:hint="eastAsia"/>
          <w:sz w:val="32"/>
          <w:szCs w:val="32"/>
        </w:rPr>
        <w:t>深化中心城区土地管理“六统一”，加快建设城乡统一的建设用地市场，创新存量土地和低效用地盘活利用机制，完善“标准地”制度，探索增加混合产业用地供给。加快建立协调衔接的劳动力、人才流动政策体系和交流合作机制，</w:t>
      </w:r>
      <w:bookmarkEnd w:id="32"/>
      <w:r>
        <w:rPr>
          <w:rFonts w:ascii="仿宋_GB2312" w:eastAsia="仿宋_GB2312" w:hAnsi="仿宋_GB2312" w:cs="仿宋_GB2312" w:hint="eastAsia"/>
          <w:sz w:val="32"/>
          <w:szCs w:val="32"/>
        </w:rPr>
        <w:t>引导劳动力要素合理畅通有序流动。深化金融供给侧结构性改革，健全地方金融监管机制。</w:t>
      </w:r>
      <w:bookmarkStart w:id="33" w:name="_Hlk59027809"/>
      <w:r>
        <w:rPr>
          <w:rFonts w:ascii="仿宋_GB2312" w:eastAsia="仿宋_GB2312" w:hAnsi="仿宋_GB2312" w:cs="仿宋_GB2312" w:hint="eastAsia"/>
          <w:sz w:val="32"/>
          <w:szCs w:val="32"/>
        </w:rPr>
        <w:t>加快发展技术要素市场，推动科技成果资本化，推进优势产业领域自主知识产权市场化运营。</w:t>
      </w:r>
      <w:bookmarkEnd w:id="33"/>
    </w:p>
    <w:p w:rsidR="00D92198" w:rsidRDefault="00AE1128" w:rsidP="00A61652">
      <w:pPr>
        <w:spacing w:afterLines="100" w:after="312" w:line="580" w:lineRule="exact"/>
        <w:jc w:val="center"/>
        <w:rPr>
          <w:rFonts w:ascii="楷体_GB2312" w:eastAsia="楷体_GB2312" w:hAnsi="仿宋_GB2312" w:cs="仿宋_GB2312"/>
          <w:b/>
          <w:sz w:val="32"/>
          <w:szCs w:val="32"/>
        </w:rPr>
      </w:pPr>
      <w:r>
        <w:rPr>
          <w:rFonts w:ascii="楷体_GB2312" w:eastAsia="楷体_GB2312" w:hAnsi="仿宋_GB2312" w:cs="仿宋_GB2312" w:hint="eastAsia"/>
          <w:b/>
          <w:sz w:val="32"/>
          <w:szCs w:val="32"/>
        </w:rPr>
        <w:t>第二节 加快要素价格市场化改革</w:t>
      </w:r>
    </w:p>
    <w:p w:rsidR="00D92198" w:rsidRDefault="00AE1128" w:rsidP="00A61652">
      <w:pPr>
        <w:spacing w:afterLines="100" w:after="312" w:line="58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完善主要由市场决定要素价格机制，推动政府定价机制由制定具体价格水平向制定定价规则转变，引导市场主体依法合理行使要素定价自主权。</w:t>
      </w:r>
      <w:r>
        <w:rPr>
          <w:rFonts w:ascii="仿宋_GB2312" w:eastAsia="仿宋_GB2312" w:hAnsi="黑体" w:cs="仿宋_GB2312" w:hint="eastAsia"/>
          <w:sz w:val="32"/>
          <w:szCs w:val="32"/>
        </w:rPr>
        <w:t>健全最低工资标准调整、工资集体协商和企业薪酬调查制度。</w:t>
      </w:r>
      <w:r>
        <w:rPr>
          <w:rFonts w:ascii="仿宋_GB2312" w:eastAsia="仿宋_GB2312" w:hAnsi="仿宋_GB2312" w:cs="仿宋_GB2312" w:hint="eastAsia"/>
          <w:sz w:val="32"/>
          <w:szCs w:val="32"/>
        </w:rPr>
        <w:t>健全各类要素市场化交易平台，完善要素交易规则和服务，增强要素应急配置能力。</w:t>
      </w:r>
      <w:r>
        <w:rPr>
          <w:rFonts w:ascii="仿宋_GB2312" w:eastAsia="仿宋_GB2312" w:hAnsi="黑体" w:cs="仿宋_GB2312" w:hint="eastAsia"/>
          <w:sz w:val="32"/>
          <w:szCs w:val="32"/>
        </w:rPr>
        <w:t>健全生产要素由市场评价贡献、按贡献决定报酬的机制。着重保护劳动所得，增加劳动者特别是一线劳动者劳动报酬。</w:t>
      </w:r>
    </w:p>
    <w:p w:rsidR="00D92198" w:rsidRDefault="00AE1128" w:rsidP="00A61652">
      <w:pPr>
        <w:spacing w:afterLines="100" w:after="312" w:line="580" w:lineRule="exact"/>
        <w:jc w:val="center"/>
        <w:rPr>
          <w:rFonts w:ascii="楷体_GB2312" w:eastAsia="楷体_GB2312" w:hAnsi="仿宋_GB2312" w:cs="仿宋_GB2312"/>
          <w:b/>
          <w:sz w:val="32"/>
          <w:szCs w:val="32"/>
        </w:rPr>
      </w:pPr>
      <w:r>
        <w:rPr>
          <w:rFonts w:ascii="楷体_GB2312" w:eastAsia="楷体_GB2312" w:hAnsi="仿宋_GB2312" w:cs="仿宋_GB2312" w:hint="eastAsia"/>
          <w:b/>
          <w:sz w:val="32"/>
          <w:szCs w:val="32"/>
        </w:rPr>
        <w:t>第三节  加强公共资源交易管理</w:t>
      </w:r>
    </w:p>
    <w:p w:rsidR="00D92198" w:rsidRDefault="00AE1128" w:rsidP="00A61652">
      <w:pPr>
        <w:spacing w:afterLines="100" w:after="312" w:line="580" w:lineRule="exact"/>
        <w:ind w:firstLineChars="200" w:firstLine="640"/>
        <w:rPr>
          <w:rFonts w:ascii="仿宋_GB2312" w:eastAsia="仿宋_GB2312"/>
          <w:sz w:val="32"/>
          <w:szCs w:val="32"/>
        </w:rPr>
      </w:pPr>
      <w:r>
        <w:rPr>
          <w:rFonts w:ascii="仿宋_GB2312" w:eastAsia="仿宋_GB2312" w:hint="eastAsia"/>
          <w:sz w:val="32"/>
          <w:szCs w:val="32"/>
        </w:rPr>
        <w:lastRenderedPageBreak/>
        <w:t>深化公共资源交易领域改革，着力提高公共资源交易活动规范化、便利性和透明度。推进交易全过程电子化和不见面开标，精简进场手续，优化交易流程，实现交易活动高效规范。探索电子保函“全链条”应用，推广标后金融服务，提升服务实效、降低交易成本。加快公共资源交易平台整合共享，拓展交易、服务功能，推动远程异地评标常态化。创新交易监管方式、完善交易监管制度，形成全过程全覆盖的公共资源交易监管体系。</w:t>
      </w:r>
    </w:p>
    <w:p w:rsidR="00D92198" w:rsidRDefault="00AE1128" w:rsidP="00A61652">
      <w:pPr>
        <w:spacing w:afterLines="100" w:after="312" w:line="580" w:lineRule="exact"/>
        <w:jc w:val="center"/>
        <w:rPr>
          <w:rFonts w:ascii="方正小标宋简体" w:eastAsia="方正小标宋简体" w:hAnsi="黑体"/>
          <w:sz w:val="32"/>
          <w:szCs w:val="32"/>
        </w:rPr>
      </w:pPr>
      <w:r>
        <w:rPr>
          <w:rFonts w:ascii="方正小标宋简体" w:eastAsia="方正小标宋简体" w:hAnsi="黑体" w:hint="eastAsia"/>
          <w:sz w:val="32"/>
          <w:szCs w:val="32"/>
        </w:rPr>
        <w:t>第九篇</w:t>
      </w:r>
      <w:bookmarkStart w:id="34" w:name="_Hlk59029643"/>
      <w:r>
        <w:rPr>
          <w:rFonts w:ascii="方正小标宋简体" w:eastAsia="方正小标宋简体" w:hAnsi="黑体" w:hint="eastAsia"/>
          <w:sz w:val="32"/>
          <w:szCs w:val="32"/>
        </w:rPr>
        <w:t xml:space="preserve">  构筑高层次开放平台，</w:t>
      </w:r>
      <w:bookmarkStart w:id="35" w:name="_Toc439969463"/>
      <w:bookmarkStart w:id="36" w:name="_Toc450810618"/>
      <w:bookmarkStart w:id="37" w:name="_Toc452298417"/>
      <w:bookmarkEnd w:id="34"/>
      <w:r>
        <w:rPr>
          <w:rFonts w:ascii="方正小标宋简体" w:eastAsia="方正小标宋简体" w:hAnsi="黑体" w:hint="eastAsia"/>
          <w:sz w:val="32"/>
          <w:szCs w:val="32"/>
        </w:rPr>
        <w:t>建设区域开放高地</w:t>
      </w:r>
    </w:p>
    <w:p w:rsidR="00D92198" w:rsidRDefault="00AE1128" w:rsidP="00A61652">
      <w:pPr>
        <w:spacing w:afterLines="100" w:after="312" w:line="600" w:lineRule="exact"/>
        <w:ind w:firstLineChars="200" w:firstLine="640"/>
        <w:rPr>
          <w:rFonts w:ascii="仿宋_GB2312" w:eastAsia="仿宋_GB2312" w:hAnsi="仿宋_GB2312" w:cs="仿宋_GB2312"/>
          <w:sz w:val="32"/>
          <w:szCs w:val="32"/>
        </w:rPr>
      </w:pPr>
      <w:bookmarkStart w:id="38" w:name="_Hlk59030225"/>
      <w:r>
        <w:rPr>
          <w:rFonts w:ascii="仿宋_GB2312" w:eastAsia="仿宋_GB2312" w:hAnsi="仿宋_GB2312" w:cs="仿宋_GB2312" w:hint="eastAsia"/>
          <w:sz w:val="32"/>
          <w:szCs w:val="32"/>
        </w:rPr>
        <w:t>坚持开放带动，积极参与全国、全省经济发展布局调整、格局重构，推动开放载体集中布局、集聚发展，承接产业转移，推动更高水平、更宽领域、更大规模对外开放。</w:t>
      </w:r>
    </w:p>
    <w:p w:rsidR="00D92198" w:rsidRDefault="00AE1128" w:rsidP="00A61652">
      <w:pPr>
        <w:spacing w:afterLines="100" w:after="312" w:line="600" w:lineRule="exact"/>
        <w:jc w:val="center"/>
        <w:rPr>
          <w:rFonts w:ascii="黑体" w:eastAsia="黑体" w:hAnsi="黑体"/>
          <w:sz w:val="32"/>
          <w:szCs w:val="32"/>
        </w:rPr>
      </w:pPr>
      <w:r>
        <w:rPr>
          <w:rFonts w:ascii="黑体" w:eastAsia="黑体" w:hAnsi="黑体" w:hint="eastAsia"/>
          <w:sz w:val="32"/>
          <w:szCs w:val="32"/>
        </w:rPr>
        <w:t xml:space="preserve">第三十二章  </w:t>
      </w:r>
      <w:bookmarkEnd w:id="35"/>
      <w:bookmarkEnd w:id="36"/>
      <w:bookmarkEnd w:id="37"/>
      <w:r>
        <w:rPr>
          <w:rFonts w:ascii="黑体" w:eastAsia="黑体" w:hAnsi="黑体" w:hint="eastAsia"/>
          <w:sz w:val="32"/>
          <w:szCs w:val="32"/>
        </w:rPr>
        <w:t>加强开放载体建设</w:t>
      </w:r>
    </w:p>
    <w:p w:rsidR="00D92198" w:rsidRDefault="00AE1128" w:rsidP="00A61652">
      <w:pPr>
        <w:spacing w:afterLines="100" w:after="312"/>
        <w:ind w:firstLineChars="150" w:firstLine="480"/>
        <w:rPr>
          <w:rFonts w:ascii="仿宋_GB2312" w:eastAsia="仿宋_GB2312" w:hAnsi="黑体" w:cs="仿宋_GB2312"/>
          <w:sz w:val="32"/>
          <w:szCs w:val="32"/>
        </w:rPr>
      </w:pPr>
      <w:r>
        <w:rPr>
          <w:rFonts w:ascii="仿宋_GB2312" w:eastAsia="仿宋_GB2312" w:hAnsi="黑体" w:cs="仿宋_GB2312" w:hint="eastAsia"/>
          <w:sz w:val="32"/>
          <w:szCs w:val="32"/>
        </w:rPr>
        <w:t>提升开放服务平台能级，放大各类开放平台联动集成效应，构建开放流通体系，推进全方位、多层次、多元化开放合作，全面提升开放水平。</w:t>
      </w:r>
    </w:p>
    <w:p w:rsidR="00D92198" w:rsidRDefault="00AE1128" w:rsidP="00A61652">
      <w:pPr>
        <w:spacing w:afterLines="100" w:after="312" w:line="600" w:lineRule="exact"/>
        <w:jc w:val="center"/>
        <w:rPr>
          <w:rFonts w:ascii="楷体_GB2312" w:eastAsia="楷体_GB2312" w:hAnsi="楷体"/>
          <w:b/>
          <w:bCs/>
          <w:sz w:val="32"/>
          <w:szCs w:val="32"/>
        </w:rPr>
      </w:pPr>
      <w:bookmarkStart w:id="39" w:name="_Hlk59030243"/>
      <w:bookmarkEnd w:id="38"/>
      <w:r>
        <w:rPr>
          <w:rFonts w:ascii="楷体_GB2312" w:eastAsia="楷体_GB2312" w:hAnsi="楷体" w:hint="eastAsia"/>
          <w:b/>
          <w:bCs/>
          <w:sz w:val="32"/>
          <w:szCs w:val="32"/>
        </w:rPr>
        <w:t>第一节  加快构建开放流通体系</w:t>
      </w:r>
    </w:p>
    <w:p w:rsidR="00D92198" w:rsidRDefault="00AE1128" w:rsidP="00A61652">
      <w:pPr>
        <w:spacing w:afterLines="100" w:after="312" w:line="600" w:lineRule="exact"/>
        <w:ind w:firstLineChars="196" w:firstLine="627"/>
        <w:rPr>
          <w:rFonts w:ascii="仿宋_GB2312" w:eastAsia="仿宋_GB2312" w:hAnsi="楷体"/>
          <w:bCs/>
          <w:sz w:val="32"/>
          <w:szCs w:val="32"/>
        </w:rPr>
      </w:pPr>
      <w:r>
        <w:rPr>
          <w:rFonts w:ascii="仿宋_GB2312" w:eastAsia="仿宋_GB2312" w:hAnsi="仿宋_GB2312" w:cs="仿宋_GB2312" w:hint="eastAsia"/>
          <w:sz w:val="32"/>
          <w:szCs w:val="32"/>
        </w:rPr>
        <w:t>加快建设国家级跨境电子商务综合试验区和零售进口试点</w:t>
      </w:r>
      <w:r>
        <w:rPr>
          <w:rFonts w:ascii="仿宋_GB2312" w:eastAsia="仿宋_GB2312" w:hAnsi="仿宋_GB2312" w:cs="仿宋_GB2312" w:hint="eastAsia"/>
          <w:sz w:val="32"/>
          <w:szCs w:val="32"/>
        </w:rPr>
        <w:lastRenderedPageBreak/>
        <w:t>城市，培育跨境电商特色产业集群和产业园区，完善跨境电商产业链和生态圈，建成区域进出口商品分拨集散和消费中心。</w:t>
      </w:r>
      <w:r>
        <w:rPr>
          <w:rFonts w:ascii="仿宋_GB2312" w:eastAsia="仿宋_GB2312" w:hAnsi="楷体" w:hint="eastAsia"/>
          <w:bCs/>
          <w:sz w:val="32"/>
          <w:szCs w:val="32"/>
        </w:rPr>
        <w:t>积极申建南阳机场航空口岸，强化南阳机场与国内外主要枢纽机场战略合作，发展全货机航班，建成连接国内主要经济体的航空运输网络，拓展连接日韩及东南亚等国家航空运输通道。力争打通卧龙综保区货物经北京、上海等机场转运出口的航空物流通道，增加中欧班列、南阳</w:t>
      </w:r>
      <w:r>
        <w:rPr>
          <w:rFonts w:ascii="仿宋_GB2312" w:eastAsia="仿宋_GB2312" w:hAnsi="楷体"/>
          <w:bCs/>
          <w:sz w:val="32"/>
          <w:szCs w:val="32"/>
        </w:rPr>
        <w:t>-</w:t>
      </w:r>
      <w:r>
        <w:rPr>
          <w:rFonts w:ascii="仿宋_GB2312" w:eastAsia="仿宋_GB2312" w:hAnsi="楷体" w:hint="eastAsia"/>
          <w:bCs/>
          <w:sz w:val="32"/>
          <w:szCs w:val="32"/>
        </w:rPr>
        <w:t>宁波、南阳</w:t>
      </w:r>
      <w:r>
        <w:rPr>
          <w:rFonts w:ascii="仿宋_GB2312" w:eastAsia="仿宋_GB2312" w:hAnsi="楷体"/>
          <w:bCs/>
          <w:sz w:val="32"/>
          <w:szCs w:val="32"/>
        </w:rPr>
        <w:t>-</w:t>
      </w:r>
      <w:r>
        <w:rPr>
          <w:rFonts w:ascii="仿宋_GB2312" w:eastAsia="仿宋_GB2312" w:hAnsi="楷体" w:hint="eastAsia"/>
          <w:bCs/>
          <w:sz w:val="32"/>
          <w:szCs w:val="32"/>
        </w:rPr>
        <w:t>青岛、南阳</w:t>
      </w:r>
      <w:r>
        <w:rPr>
          <w:rFonts w:ascii="仿宋_GB2312" w:eastAsia="仿宋_GB2312" w:hAnsi="楷体"/>
          <w:bCs/>
          <w:sz w:val="32"/>
          <w:szCs w:val="32"/>
        </w:rPr>
        <w:t>-</w:t>
      </w:r>
      <w:r>
        <w:rPr>
          <w:rFonts w:ascii="仿宋_GB2312" w:eastAsia="仿宋_GB2312" w:hAnsi="楷体" w:hint="eastAsia"/>
          <w:bCs/>
          <w:sz w:val="32"/>
          <w:szCs w:val="32"/>
        </w:rPr>
        <w:t>连云港等多港口海铁联运班列开行频次，稳步拓展海铁联运线路，打造覆盖豫西南、连接国内主要经济区、联通“一带一路”沿线国家的综合交通物流枢纽。</w:t>
      </w:r>
      <w:r>
        <w:rPr>
          <w:rFonts w:ascii="仿宋_GB2312" w:eastAsia="仿宋_GB2312" w:hAnsi="仿宋_GB2312" w:cs="仿宋_GB2312" w:hint="eastAsia"/>
          <w:sz w:val="32"/>
          <w:szCs w:val="32"/>
        </w:rPr>
        <w:t>引导优势外贸产业转型升级，申建粮食、肉类等各类海关指定监管场地，申建食用菌市场采购贸易方式试点。</w:t>
      </w:r>
      <w:r>
        <w:rPr>
          <w:rFonts w:ascii="仿宋_GB2312" w:eastAsia="仿宋_GB2312" w:hAnsi="楷体" w:hint="eastAsia"/>
          <w:bCs/>
          <w:sz w:val="32"/>
          <w:szCs w:val="32"/>
        </w:rPr>
        <w:t>实施铁路专用线及口岸作业区建设,加快大宗商贸物流园区建设。</w:t>
      </w:r>
    </w:p>
    <w:p w:rsidR="00D92198" w:rsidRDefault="00AE1128" w:rsidP="00A61652">
      <w:pPr>
        <w:spacing w:afterLines="100" w:after="312" w:line="600" w:lineRule="exact"/>
        <w:jc w:val="center"/>
        <w:rPr>
          <w:rFonts w:ascii="楷体_GB2312" w:eastAsia="楷体_GB2312" w:hAnsi="楷体"/>
          <w:b/>
          <w:bCs/>
          <w:sz w:val="32"/>
          <w:szCs w:val="32"/>
        </w:rPr>
      </w:pPr>
      <w:r>
        <w:rPr>
          <w:rFonts w:ascii="楷体_GB2312" w:eastAsia="楷体_GB2312" w:hAnsi="楷体" w:hint="eastAsia"/>
          <w:b/>
          <w:bCs/>
          <w:sz w:val="32"/>
          <w:szCs w:val="32"/>
        </w:rPr>
        <w:t>第二节  加快推进南阳国际陆港建设</w:t>
      </w:r>
    </w:p>
    <w:p w:rsidR="00D92198" w:rsidRDefault="00AE1128" w:rsidP="00A61652">
      <w:pPr>
        <w:spacing w:afterLines="100" w:after="312"/>
        <w:ind w:firstLineChars="200" w:firstLine="640"/>
        <w:rPr>
          <w:rFonts w:ascii="仿宋" w:eastAsia="仿宋" w:hAnsi="仿宋" w:cs="仿宋"/>
          <w:sz w:val="28"/>
          <w:szCs w:val="28"/>
        </w:rPr>
      </w:pPr>
      <w:r>
        <w:rPr>
          <w:rFonts w:ascii="仿宋_GB2312" w:eastAsia="仿宋_GB2312" w:hAnsi="楷体" w:hint="eastAsia"/>
          <w:bCs/>
          <w:sz w:val="32"/>
          <w:szCs w:val="32"/>
        </w:rPr>
        <w:t>依托卧龙综保区、铁路二级物流基地，高标准规划建设南阳国际陆港。积极稳妥推进卧龙综保区体制机制改革，推行“管委会+公司”发展模式，破除发展障碍。加快卧龙综保区</w:t>
      </w:r>
      <w:r>
        <w:rPr>
          <w:rFonts w:ascii="仿宋_GB2312" w:eastAsia="仿宋_GB2312" w:hAnsi="仿宋_GB2312" w:cs="仿宋_GB2312" w:hint="eastAsia"/>
          <w:sz w:val="32"/>
          <w:szCs w:val="32"/>
        </w:rPr>
        <w:t>申建河南自贸区联动发展区，打造全市开放型经济新引擎</w:t>
      </w:r>
      <w:r>
        <w:rPr>
          <w:rFonts w:ascii="仿宋_GB2312" w:eastAsia="仿宋_GB2312" w:hAnsi="楷体" w:hint="eastAsia"/>
          <w:bCs/>
          <w:sz w:val="32"/>
          <w:szCs w:val="32"/>
        </w:rPr>
        <w:t>。围绕跨境电商、食品加工、建筑新材料、数字经济等产业，加快规划一批产业园区，</w:t>
      </w:r>
      <w:r>
        <w:rPr>
          <w:rFonts w:ascii="仿宋_GB2312" w:eastAsia="仿宋_GB2312" w:hAnsi="仿宋_GB2312" w:cs="仿宋_GB2312" w:hint="eastAsia"/>
          <w:sz w:val="32"/>
          <w:szCs w:val="32"/>
        </w:rPr>
        <w:t>争取引进中科遥感和北斗应用、新能源汽车</w:t>
      </w:r>
      <w:r>
        <w:rPr>
          <w:rFonts w:ascii="仿宋_GB2312" w:eastAsia="仿宋_GB2312" w:hint="eastAsia"/>
          <w:sz w:val="32"/>
          <w:szCs w:val="32"/>
        </w:rPr>
        <w:t>及总</w:t>
      </w:r>
      <w:r>
        <w:rPr>
          <w:rFonts w:ascii="仿宋_GB2312" w:eastAsia="仿宋_GB2312" w:hAnsi="仿宋_GB2312" w:cs="仿宋_GB2312" w:hint="eastAsia"/>
          <w:sz w:val="32"/>
          <w:szCs w:val="32"/>
        </w:rPr>
        <w:lastRenderedPageBreak/>
        <w:t>成制造、新型真空玻璃制造、军民融合等项目，形成具有较强竞争力的产业集群。</w:t>
      </w:r>
    </w:p>
    <w:bookmarkEnd w:id="39"/>
    <w:p w:rsidR="00D92198" w:rsidRDefault="00AE1128" w:rsidP="00A61652">
      <w:pPr>
        <w:spacing w:afterLines="100" w:after="312" w:line="600" w:lineRule="exact"/>
        <w:jc w:val="center"/>
        <w:rPr>
          <w:rFonts w:ascii="黑体" w:eastAsia="黑体" w:hAnsi="黑体" w:cs="仿宋_GB2312"/>
          <w:bCs/>
          <w:sz w:val="32"/>
          <w:szCs w:val="32"/>
        </w:rPr>
      </w:pPr>
      <w:r>
        <w:rPr>
          <w:rFonts w:ascii="黑体" w:eastAsia="黑体" w:hAnsi="黑体" w:hint="eastAsia"/>
          <w:bCs/>
          <w:sz w:val="30"/>
          <w:szCs w:val="30"/>
        </w:rPr>
        <w:t xml:space="preserve">第三十三章   </w:t>
      </w:r>
      <w:bookmarkStart w:id="40" w:name="_Hlk59030756"/>
      <w:r>
        <w:rPr>
          <w:rFonts w:ascii="黑体" w:eastAsia="黑体" w:hAnsi="黑体" w:cs="仿宋_GB2312" w:hint="eastAsia"/>
          <w:bCs/>
          <w:sz w:val="32"/>
          <w:szCs w:val="32"/>
        </w:rPr>
        <w:t>构建开放招商新格局</w:t>
      </w:r>
    </w:p>
    <w:p w:rsidR="00D92198" w:rsidRDefault="00AE1128" w:rsidP="00A61652">
      <w:pPr>
        <w:spacing w:afterLines="100" w:after="312" w:line="600" w:lineRule="exact"/>
        <w:ind w:firstLine="600"/>
        <w:rPr>
          <w:rFonts w:ascii="仿宋_GB2312" w:eastAsia="仿宋_GB2312" w:hAnsi="仿宋_GB2312" w:cs="仿宋_GB2312"/>
          <w:sz w:val="32"/>
          <w:szCs w:val="32"/>
        </w:rPr>
      </w:pPr>
      <w:bookmarkStart w:id="41" w:name="_Hlk59030814"/>
      <w:bookmarkEnd w:id="40"/>
      <w:r>
        <w:rPr>
          <w:rFonts w:ascii="仿宋_GB2312" w:eastAsia="仿宋_GB2312" w:hAnsi="仿宋_GB2312" w:cs="仿宋_GB2312" w:hint="eastAsia"/>
          <w:sz w:val="32"/>
          <w:szCs w:val="32"/>
        </w:rPr>
        <w:t>推动实施“招商引资招才引智一号工程”，创新精准招商模式，形成多领域、全覆盖、辐射性招商局面。</w:t>
      </w:r>
    </w:p>
    <w:bookmarkEnd w:id="41"/>
    <w:p w:rsidR="00D92198" w:rsidRDefault="00AE1128" w:rsidP="00A61652">
      <w:pPr>
        <w:spacing w:afterLines="100" w:after="312" w:line="600" w:lineRule="exact"/>
        <w:jc w:val="center"/>
        <w:rPr>
          <w:rFonts w:ascii="楷体_GB2312" w:eastAsia="楷体_GB2312" w:hAnsi="仿宋_GB2312" w:cs="仿宋_GB2312"/>
          <w:b/>
          <w:sz w:val="32"/>
          <w:szCs w:val="32"/>
        </w:rPr>
      </w:pPr>
      <w:r>
        <w:rPr>
          <w:rFonts w:ascii="楷体_GB2312" w:eastAsia="楷体_GB2312" w:hAnsi="仿宋_GB2312" w:cs="仿宋_GB2312" w:hint="eastAsia"/>
          <w:b/>
          <w:sz w:val="32"/>
          <w:szCs w:val="32"/>
        </w:rPr>
        <w:t>第一节  强化精准招商</w:t>
      </w:r>
    </w:p>
    <w:p w:rsidR="00D92198" w:rsidRDefault="00AE1128" w:rsidP="00A61652">
      <w:pPr>
        <w:spacing w:afterLines="100" w:after="312" w:line="600" w:lineRule="exact"/>
        <w:ind w:firstLine="600"/>
        <w:rPr>
          <w:rFonts w:ascii="仿宋_GB2312" w:eastAsia="仿宋_GB2312" w:hAnsi="仿宋_GB2312" w:cs="仿宋_GB2312"/>
          <w:sz w:val="32"/>
          <w:szCs w:val="32"/>
        </w:rPr>
      </w:pPr>
      <w:bookmarkStart w:id="42" w:name="_Hlk59030845"/>
      <w:r>
        <w:rPr>
          <w:rFonts w:ascii="仿宋_GB2312" w:eastAsia="仿宋_GB2312" w:hAnsi="仿宋_GB2312" w:cs="仿宋_GB2312" w:hint="eastAsia"/>
          <w:sz w:val="32"/>
          <w:szCs w:val="32"/>
        </w:rPr>
        <w:t>坚持招大引强、招强引优，立足产业延链补链，绘制产业链图谱和产业链招商行动路线图，推动招商引资精准升级。紧扣千百亿产业集群和重大基础设施支撑项目，锁定</w:t>
      </w:r>
      <w:r>
        <w:rPr>
          <w:rFonts w:ascii="仿宋_GB2312" w:eastAsia="仿宋_GB2312" w:hAnsi="仿宋_GB2312" w:cs="仿宋_GB2312"/>
          <w:sz w:val="32"/>
          <w:szCs w:val="32"/>
        </w:rPr>
        <w:t>500</w:t>
      </w:r>
      <w:r>
        <w:rPr>
          <w:rFonts w:ascii="仿宋_GB2312" w:eastAsia="仿宋_GB2312" w:hAnsi="仿宋_GB2312" w:cs="仿宋_GB2312" w:hint="eastAsia"/>
          <w:sz w:val="32"/>
          <w:szCs w:val="32"/>
        </w:rPr>
        <w:t>强及其关联企业，集中招引落户一批具有支撑性、引领性、带动性的大企业、大集团、大项目。丰富招商引资模式，鼓励园区招商，用活资本招商，做精节会招商、驻地招商、回归创业、委托招商，探索开展股权招商、</w:t>
      </w:r>
      <w:r>
        <w:rPr>
          <w:rFonts w:ascii="仿宋_GB2312" w:eastAsia="仿宋_GB2312" w:hAnsi="仿宋_GB2312" w:cs="仿宋_GB2312" w:hint="eastAsia"/>
          <w:spacing w:val="8"/>
          <w:sz w:val="32"/>
          <w:szCs w:val="32"/>
          <w:shd w:val="clear" w:color="auto" w:fill="FFFFFF"/>
        </w:rPr>
        <w:t>“头部企业”招商、核心节点企业招商、产业集群招商、众创孵化招商、“技术团队+资本+项目”招商、云招商</w:t>
      </w:r>
      <w:r>
        <w:rPr>
          <w:rFonts w:ascii="仿宋_GB2312" w:eastAsia="仿宋_GB2312" w:hAnsi="仿宋_GB2312" w:cs="仿宋_GB2312" w:hint="eastAsia"/>
          <w:sz w:val="32"/>
          <w:szCs w:val="32"/>
        </w:rPr>
        <w:t>，促进产业链延伸、拉长，把区位资源优势转化为经济优势。</w:t>
      </w:r>
    </w:p>
    <w:p w:rsidR="00D92198" w:rsidRDefault="00AE1128" w:rsidP="00A61652">
      <w:pPr>
        <w:spacing w:afterLines="100" w:after="312" w:line="600" w:lineRule="exact"/>
        <w:jc w:val="center"/>
        <w:rPr>
          <w:rFonts w:ascii="楷体_GB2312" w:eastAsia="楷体_GB2312" w:hAnsi="仿宋"/>
          <w:b/>
          <w:sz w:val="32"/>
          <w:szCs w:val="32"/>
        </w:rPr>
      </w:pPr>
      <w:r>
        <w:rPr>
          <w:rFonts w:ascii="楷体_GB2312" w:eastAsia="楷体_GB2312" w:hAnsi="仿宋" w:hint="eastAsia"/>
          <w:b/>
          <w:sz w:val="32"/>
          <w:szCs w:val="32"/>
        </w:rPr>
        <w:t>第二节  推动区域合作招商</w:t>
      </w:r>
    </w:p>
    <w:p w:rsidR="00D92198" w:rsidRDefault="00AE1128" w:rsidP="00A61652">
      <w:pPr>
        <w:spacing w:afterLines="100" w:after="312" w:line="600" w:lineRule="exact"/>
        <w:ind w:firstLine="600"/>
        <w:rPr>
          <w:rFonts w:ascii="仿宋_GB2312" w:eastAsia="仿宋_GB2312" w:hAnsi="仿宋_GB2312" w:cs="仿宋_GB2312"/>
          <w:sz w:val="32"/>
          <w:szCs w:val="32"/>
        </w:rPr>
      </w:pPr>
      <w:r>
        <w:rPr>
          <w:rFonts w:ascii="仿宋_GB2312" w:eastAsia="仿宋_GB2312" w:hAnsi="仿宋_GB2312" w:cs="仿宋_GB2312" w:hint="eastAsia"/>
          <w:sz w:val="32"/>
          <w:szCs w:val="32"/>
        </w:rPr>
        <w:t>建立县（市）产业规划沟通协调机制，以产业集聚区、服</w:t>
      </w:r>
      <w:r>
        <w:rPr>
          <w:rFonts w:ascii="仿宋_GB2312" w:eastAsia="仿宋_GB2312" w:hAnsi="仿宋_GB2312" w:cs="仿宋_GB2312" w:hint="eastAsia"/>
          <w:sz w:val="32"/>
          <w:szCs w:val="32"/>
        </w:rPr>
        <w:lastRenderedPageBreak/>
        <w:t>务业“两区”等为主体发展飞地经济，共建合作示范产业园区，探索收益分享机制。开展区域性产业合作，组建联合招商联盟、联合采购联盟，成立产业园区联盟。积极承接以京、津、沪、杭、广、深等发达地区产业转移，深化与长三角、珠三角、粤港澳大湾区合作。探索在境外设立工商中心，加强与领军型跨国公司企业及行业领军企业总部交流，促进双向投资贸易合作。</w:t>
      </w:r>
    </w:p>
    <w:p w:rsidR="00D92198" w:rsidRDefault="00AE1128" w:rsidP="00A61652">
      <w:pPr>
        <w:spacing w:afterLines="100" w:after="312" w:line="600" w:lineRule="exact"/>
        <w:jc w:val="center"/>
        <w:rPr>
          <w:rFonts w:ascii="楷体_GB2312" w:eastAsia="楷体_GB2312" w:hAnsi="仿宋"/>
          <w:b/>
          <w:sz w:val="32"/>
          <w:szCs w:val="32"/>
        </w:rPr>
      </w:pPr>
      <w:r>
        <w:rPr>
          <w:rFonts w:ascii="楷体_GB2312" w:eastAsia="楷体_GB2312" w:hAnsi="仿宋" w:hint="eastAsia"/>
          <w:b/>
          <w:sz w:val="32"/>
          <w:szCs w:val="32"/>
        </w:rPr>
        <w:t>第三节  创新招商引资机制</w:t>
      </w:r>
    </w:p>
    <w:p w:rsidR="00D92198" w:rsidRDefault="00AE1128" w:rsidP="00A61652">
      <w:pPr>
        <w:spacing w:afterLines="100" w:after="312" w:line="600" w:lineRule="exact"/>
        <w:ind w:firstLine="600"/>
        <w:rPr>
          <w:rFonts w:ascii="仿宋_GB2312" w:eastAsia="仿宋_GB2312" w:hAnsi="仿宋_GB2312" w:cs="仿宋_GB2312"/>
          <w:sz w:val="32"/>
          <w:szCs w:val="32"/>
        </w:rPr>
      </w:pPr>
      <w:r>
        <w:rPr>
          <w:rFonts w:ascii="仿宋_GB2312" w:eastAsia="仿宋_GB2312" w:hAnsi="仿宋_GB2312" w:cs="仿宋_GB2312" w:hint="eastAsia"/>
          <w:sz w:val="32"/>
          <w:szCs w:val="32"/>
        </w:rPr>
        <w:t>制定社会化专业招商促进办法，鼓励社会力量发展专业化招商公司，建立“招商局+专业化公司”互为补充的运行模式，实行从招商洽谈到项目落地、从投产运营到后续服务“一条龙”招商服务模式。集成创新招商优惠政策，简化企业入区程序，对入驻企业提供手续代办等一站式服务。推动县（市）间投资数据共享，促进科创资源自由流动。推动企业、工商信息数据共享，便于企业上下游对接和金融机构精准放贷。建立健全招商引资奖励政策，对工作业绩突出的招商引资部门予以绩效奖金上浮奖励。</w:t>
      </w:r>
    </w:p>
    <w:bookmarkEnd w:id="42"/>
    <w:p w:rsidR="00D92198" w:rsidRDefault="00AE1128" w:rsidP="00A61652">
      <w:pPr>
        <w:spacing w:afterLines="100" w:after="312" w:line="600" w:lineRule="exact"/>
        <w:jc w:val="center"/>
        <w:rPr>
          <w:rFonts w:ascii="黑体" w:eastAsia="黑体" w:hAnsi="黑体"/>
          <w:bCs/>
          <w:sz w:val="32"/>
          <w:szCs w:val="32"/>
        </w:rPr>
      </w:pPr>
      <w:r>
        <w:rPr>
          <w:rFonts w:ascii="黑体" w:eastAsia="黑体" w:hAnsi="黑体" w:hint="eastAsia"/>
          <w:bCs/>
          <w:sz w:val="32"/>
          <w:szCs w:val="32"/>
        </w:rPr>
        <w:t>第三十四章   拓展开放合作空间</w:t>
      </w:r>
    </w:p>
    <w:p w:rsidR="00D92198" w:rsidRDefault="00AE1128" w:rsidP="00A61652">
      <w:pPr>
        <w:spacing w:afterLines="100" w:after="312" w:line="600" w:lineRule="exact"/>
        <w:ind w:firstLine="636"/>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积极参与全省“四路”协同和国家级开放平台联动发展，深度融入“一带一路”建设，密切京宛合作，主动融入长江经</w:t>
      </w:r>
      <w:r>
        <w:rPr>
          <w:rFonts w:ascii="仿宋_GB2312" w:eastAsia="仿宋_GB2312" w:hAnsi="仿宋_GB2312" w:cs="仿宋_GB2312" w:hint="eastAsia"/>
          <w:sz w:val="32"/>
          <w:szCs w:val="32"/>
        </w:rPr>
        <w:lastRenderedPageBreak/>
        <w:t>济带、汉江生态经济带、淮河生态经济带、黄河流域生态保护和高质量发展等国家重大战略。</w:t>
      </w:r>
    </w:p>
    <w:p w:rsidR="00D92198" w:rsidRDefault="00AE1128" w:rsidP="00A61652">
      <w:pPr>
        <w:spacing w:afterLines="100" w:after="312" w:line="600" w:lineRule="exact"/>
        <w:jc w:val="center"/>
        <w:rPr>
          <w:rFonts w:ascii="楷体_GB2312" w:eastAsia="楷体_GB2312" w:hAnsi="仿宋"/>
          <w:b/>
          <w:sz w:val="32"/>
          <w:szCs w:val="32"/>
        </w:rPr>
      </w:pPr>
      <w:r>
        <w:rPr>
          <w:rFonts w:ascii="楷体_GB2312" w:eastAsia="楷体_GB2312" w:hAnsi="仿宋" w:hint="eastAsia"/>
          <w:b/>
          <w:sz w:val="32"/>
          <w:szCs w:val="32"/>
        </w:rPr>
        <w:t>第一节   积极融入“一带一路”建设</w:t>
      </w:r>
    </w:p>
    <w:p w:rsidR="00D92198" w:rsidRDefault="00AE1128" w:rsidP="00A61652">
      <w:pPr>
        <w:spacing w:afterLines="100" w:after="312" w:line="600" w:lineRule="exact"/>
        <w:ind w:firstLine="600"/>
        <w:rPr>
          <w:rFonts w:ascii="仿宋_GB2312" w:eastAsia="仿宋_GB2312" w:hAnsi="仿宋_GB2312" w:cs="仿宋_GB2312"/>
          <w:sz w:val="32"/>
          <w:szCs w:val="32"/>
        </w:rPr>
      </w:pPr>
      <w:r>
        <w:rPr>
          <w:rFonts w:ascii="仿宋_GB2312" w:eastAsia="仿宋_GB2312" w:hAnsi="仿宋_GB2312" w:cs="仿宋_GB2312" w:hint="eastAsia"/>
          <w:sz w:val="32"/>
          <w:szCs w:val="32"/>
        </w:rPr>
        <w:t>深化与</w:t>
      </w:r>
      <w:r>
        <w:rPr>
          <w:rFonts w:ascii="仿宋_GB2312" w:eastAsia="仿宋_GB2312" w:hAnsi="仿宋" w:hint="eastAsia"/>
          <w:bCs/>
          <w:sz w:val="32"/>
          <w:szCs w:val="32"/>
        </w:rPr>
        <w:t>“</w:t>
      </w:r>
      <w:r>
        <w:rPr>
          <w:rFonts w:ascii="仿宋_GB2312" w:eastAsia="仿宋_GB2312" w:hAnsi="仿宋_GB2312" w:cs="仿宋_GB2312" w:hint="eastAsia"/>
          <w:sz w:val="32"/>
          <w:szCs w:val="32"/>
        </w:rPr>
        <w:t>一带一路”沿线重点国家和地区在产能、经贸、技术、中医药、旅游等方面合作，支持境外经贸合作园区建设，实现经贸跨国联动。充分发挥“走出去”龙头企业带动作用，推动优势企业承揽海外工程，带动设备和技术出口，加大与俄罗斯、中亚及欧洲各国产能合作，建立生产研发基地、营销网络和战略资源渠道。推动纺织、建材、装备制造、汽车零部件、机电等产业开展境外投资合作，支持有实力的企业积极参与境外矿产、农业等资源开发。支持南阳高等院校吸收外国留学人员，与国外机构开展合作办学。推动劳务外派，拓展外派劳务市场。积极融入丝绸之路文化之旅，弘扬丝路文化、万里茶道文化、南阳汉文化，带动南阳全面开放。</w:t>
      </w:r>
    </w:p>
    <w:p w:rsidR="00D92198" w:rsidRDefault="00AE1128" w:rsidP="00A61652">
      <w:pPr>
        <w:spacing w:afterLines="100" w:after="312" w:line="600" w:lineRule="exact"/>
        <w:jc w:val="center"/>
        <w:rPr>
          <w:rFonts w:ascii="楷体_GB2312" w:eastAsia="楷体_GB2312" w:hAnsi="仿宋"/>
          <w:b/>
          <w:sz w:val="32"/>
          <w:szCs w:val="32"/>
        </w:rPr>
      </w:pPr>
      <w:r>
        <w:rPr>
          <w:rFonts w:ascii="楷体_GB2312" w:eastAsia="楷体_GB2312" w:hAnsi="仿宋" w:hint="eastAsia"/>
          <w:b/>
          <w:sz w:val="32"/>
          <w:szCs w:val="32"/>
        </w:rPr>
        <w:t>第二节  深化京宛对口协作</w:t>
      </w:r>
    </w:p>
    <w:p w:rsidR="00D92198" w:rsidRDefault="00AE1128" w:rsidP="00A61652">
      <w:pPr>
        <w:spacing w:afterLines="100" w:after="312" w:line="600" w:lineRule="exact"/>
        <w:ind w:firstLine="600"/>
        <w:rPr>
          <w:rFonts w:ascii="仿宋_GB2312" w:eastAsia="仿宋_GB2312" w:hAnsi="仿宋_GB2312" w:cs="仿宋_GB2312"/>
          <w:sz w:val="32"/>
          <w:szCs w:val="32"/>
        </w:rPr>
      </w:pPr>
      <w:r>
        <w:rPr>
          <w:rFonts w:ascii="仿宋_GB2312" w:eastAsia="仿宋_GB2312" w:hAnsi="仿宋_GB2312" w:cs="仿宋_GB2312" w:hint="eastAsia"/>
          <w:sz w:val="32"/>
          <w:szCs w:val="32"/>
        </w:rPr>
        <w:t>精准对接北京非首都功能疏解，积极承接北京产业转移。深入落实京宛战略合作框架协议，加强交流对接，推动与中关村、首创、北控等驻京企业合作项目建设。拓展有机农产品进京种类和渠道，巩固扩大南阳农产品在京市场占有率，打造北</w:t>
      </w:r>
      <w:r>
        <w:rPr>
          <w:rFonts w:ascii="仿宋_GB2312" w:eastAsia="仿宋_GB2312" w:hAnsi="仿宋_GB2312" w:cs="仿宋_GB2312" w:hint="eastAsia"/>
          <w:sz w:val="32"/>
          <w:szCs w:val="32"/>
        </w:rPr>
        <w:lastRenderedPageBreak/>
        <w:t>京重要的农产品供应基地。建立完善“共塑市场、互送客源、同步宣传”旅游合作机制，打造南水北调精品旅游线路，建成北京市民旅游目的地。积极对接北京教育、科技资源，争取在宛设立分校和科技孵化园，打造北京科技成果南阳转化基地。加强南阳三甲医院与北京知名医院在远程会诊、人才培养、基础设施等方面协作，实现北京优质医疗资源共享。深入开展干部交流互访活动，增加互派干部的人数和频次，充分发挥挂职干部的纽带作用助推产业合作。结合乡村振兴战略，实施京宛对口协作援助项目。</w:t>
      </w:r>
    </w:p>
    <w:p w:rsidR="00D92198" w:rsidRDefault="00AE1128" w:rsidP="00A61652">
      <w:pPr>
        <w:spacing w:afterLines="100" w:after="312" w:line="600" w:lineRule="exact"/>
        <w:jc w:val="center"/>
        <w:rPr>
          <w:rFonts w:ascii="楷体_GB2312" w:eastAsia="楷体_GB2312" w:hAnsi="仿宋"/>
          <w:b/>
          <w:sz w:val="32"/>
          <w:szCs w:val="32"/>
        </w:rPr>
      </w:pPr>
      <w:r>
        <w:rPr>
          <w:rFonts w:ascii="楷体_GB2312" w:eastAsia="楷体_GB2312" w:hAnsi="仿宋" w:hint="eastAsia"/>
          <w:b/>
          <w:sz w:val="32"/>
          <w:szCs w:val="32"/>
        </w:rPr>
        <w:t>第三节  主动融入区域重大战略</w:t>
      </w:r>
    </w:p>
    <w:p w:rsidR="00D92198" w:rsidRDefault="00AE1128" w:rsidP="00A61652">
      <w:pPr>
        <w:spacing w:afterLines="100" w:after="312" w:line="600" w:lineRule="exact"/>
        <w:ind w:firstLine="600"/>
        <w:rPr>
          <w:rFonts w:ascii="仿宋_GB2312" w:eastAsia="仿宋_GB2312" w:hAnsi="仿宋_GB2312" w:cs="仿宋_GB2312"/>
          <w:sz w:val="32"/>
          <w:szCs w:val="32"/>
        </w:rPr>
      </w:pPr>
      <w:r>
        <w:rPr>
          <w:rFonts w:ascii="仿宋_GB2312" w:eastAsia="仿宋_GB2312" w:hAnsi="仿宋_GB2312" w:cs="仿宋_GB2312" w:hint="eastAsia"/>
          <w:sz w:val="32"/>
          <w:szCs w:val="32"/>
        </w:rPr>
        <w:t>以淮河生态经济带为纽带，依托合西高铁通道和淮河水运通道，创新与长三角地区跨省域对接合作机制，提升承接产业转移能力、积极融入长三角地区产业链供应链，构建东向开放新的产业带。加强与汉江生态经济带、淮河生态经济带区域合作联动发展，推动建立省际协商合作机制，在基础设施、产业发展、生态建设等方面全方位合作，打造面向长三角地区、融入长江经济带的先行区。推动我市在汉江生态经济带建设中成为国家战略水资源保障区、绿色发展先行区、省际毗邻地区联动发展实验区。加强淮河源头生态保护，建设沿淮生态经济走廊，充分利用淮河源头特殊地标位置，提升淮源品牌，加快淮</w:t>
      </w:r>
      <w:r>
        <w:rPr>
          <w:rFonts w:ascii="仿宋_GB2312" w:eastAsia="仿宋_GB2312" w:hAnsi="仿宋_GB2312" w:cs="仿宋_GB2312" w:hint="eastAsia"/>
          <w:sz w:val="32"/>
          <w:szCs w:val="32"/>
        </w:rPr>
        <w:lastRenderedPageBreak/>
        <w:t>河源头生态经济发展。抢抓大别山革命老区振兴重大机遇，全面提升革命老区基础设施建设水平，把唐河、桐柏建成全国重要的粮食生产和特色农产品加工基地、全国重要的生态旅游目的地。积极融入黄河流域生态保护和高质量发展重大战略，借势推动重大项目建设。</w:t>
      </w:r>
    </w:p>
    <w:p w:rsidR="00D92198" w:rsidRDefault="00AE1128">
      <w:pPr>
        <w:pStyle w:val="ab"/>
        <w:spacing w:before="0" w:beforeAutospacing="0" w:afterAutospacing="0" w:line="560" w:lineRule="exact"/>
        <w:ind w:firstLineChars="0" w:firstLine="0"/>
        <w:jc w:val="center"/>
        <w:textAlignment w:val="baseline"/>
        <w:rPr>
          <w:rFonts w:ascii="方正小标宋简体" w:eastAsia="方正小标宋简体" w:hAnsi="黑体"/>
          <w:sz w:val="32"/>
          <w:szCs w:val="32"/>
        </w:rPr>
      </w:pPr>
      <w:r>
        <w:rPr>
          <w:rFonts w:ascii="方正小标宋简体" w:eastAsia="方正小标宋简体" w:hAnsi="黑体" w:cs="黑体" w:hint="eastAsia"/>
          <w:sz w:val="32"/>
          <w:szCs w:val="32"/>
        </w:rPr>
        <w:t>第十篇  繁荣发展文化事业和文化产业，</w:t>
      </w:r>
      <w:r>
        <w:rPr>
          <w:rFonts w:ascii="方正小标宋简体" w:eastAsia="方正小标宋简体" w:hAnsi="黑体" w:hint="eastAsia"/>
          <w:sz w:val="32"/>
          <w:szCs w:val="32"/>
        </w:rPr>
        <w:t>建设</w:t>
      </w:r>
    </w:p>
    <w:p w:rsidR="00D92198" w:rsidRDefault="00AE1128">
      <w:pPr>
        <w:pStyle w:val="ab"/>
        <w:spacing w:before="0" w:beforeAutospacing="0" w:afterAutospacing="0" w:line="560" w:lineRule="exact"/>
        <w:ind w:firstLineChars="0" w:firstLine="0"/>
        <w:jc w:val="center"/>
        <w:textAlignment w:val="baseline"/>
        <w:rPr>
          <w:rFonts w:ascii="方正小标宋简体" w:eastAsia="方正小标宋简体" w:hAnsi="黑体"/>
          <w:sz w:val="32"/>
          <w:szCs w:val="32"/>
        </w:rPr>
      </w:pPr>
      <w:r>
        <w:rPr>
          <w:rFonts w:ascii="方正小标宋简体" w:eastAsia="方正小标宋简体" w:hAnsi="黑体" w:hint="eastAsia"/>
          <w:sz w:val="32"/>
          <w:szCs w:val="32"/>
        </w:rPr>
        <w:t>区域文化高地</w:t>
      </w:r>
    </w:p>
    <w:p w:rsidR="00D92198" w:rsidRDefault="00AE1128" w:rsidP="00A61652">
      <w:pPr>
        <w:autoSpaceDE w:val="0"/>
        <w:autoSpaceDN w:val="0"/>
        <w:spacing w:beforeLines="100" w:before="312" w:afterLines="100" w:after="312" w:line="600" w:lineRule="exact"/>
        <w:ind w:firstLineChars="200" w:firstLine="640"/>
        <w:rPr>
          <w:rFonts w:ascii="楷体_GB2312" w:eastAsia="楷体_GB2312" w:hAnsi="仿宋" w:cs="仿宋"/>
          <w:b/>
          <w:kern w:val="0"/>
          <w:sz w:val="32"/>
          <w:szCs w:val="32"/>
        </w:rPr>
      </w:pPr>
      <w:bookmarkStart w:id="43" w:name="_Toc439969445"/>
      <w:bookmarkStart w:id="44" w:name="_Toc452298399"/>
      <w:bookmarkStart w:id="45" w:name="_Toc450810600"/>
      <w:bookmarkEnd w:id="23"/>
      <w:r>
        <w:rPr>
          <w:rFonts w:ascii="仿宋_GB2312" w:eastAsia="仿宋_GB2312" w:cs="宋体" w:hint="eastAsia"/>
          <w:bCs/>
          <w:kern w:val="0"/>
          <w:sz w:val="32"/>
          <w:szCs w:val="32"/>
        </w:rPr>
        <w:t>牢牢把握社会主义先进文化前进方向，坚持马克思主义在意识形态领域指导地位，坚定文化自信，围绕举旗帜、聚民心、育新人、兴文化、展形象使命任务，加强社会主义精神文明建设，丰富群众精神世界，增强人民精神力量。</w:t>
      </w:r>
    </w:p>
    <w:p w:rsidR="00D92198" w:rsidRDefault="00AE1128" w:rsidP="00A61652">
      <w:pPr>
        <w:autoSpaceDE w:val="0"/>
        <w:autoSpaceDN w:val="0"/>
        <w:spacing w:afterLines="100" w:after="312" w:line="600" w:lineRule="exact"/>
        <w:jc w:val="center"/>
        <w:rPr>
          <w:rFonts w:ascii="黑体" w:eastAsia="黑体" w:hAnsi="黑体" w:cs="宋体"/>
          <w:kern w:val="0"/>
          <w:sz w:val="32"/>
          <w:szCs w:val="32"/>
        </w:rPr>
      </w:pPr>
      <w:r>
        <w:rPr>
          <w:rFonts w:ascii="黑体" w:eastAsia="黑体" w:hAnsi="黑体" w:cs="Adobe 楷体 Std R" w:hint="eastAsia"/>
          <w:sz w:val="32"/>
          <w:szCs w:val="32"/>
        </w:rPr>
        <w:t>第三十五章  提高</w:t>
      </w:r>
      <w:bookmarkEnd w:id="43"/>
      <w:bookmarkEnd w:id="44"/>
      <w:bookmarkEnd w:id="45"/>
      <w:r>
        <w:rPr>
          <w:rFonts w:ascii="黑体" w:eastAsia="黑体" w:hAnsi="黑体" w:cs="Adobe 楷体 Std R" w:hint="eastAsia"/>
          <w:sz w:val="32"/>
          <w:szCs w:val="32"/>
        </w:rPr>
        <w:t>社会文明程度</w:t>
      </w:r>
    </w:p>
    <w:p w:rsidR="00D92198" w:rsidRDefault="00AE1128" w:rsidP="00A61652">
      <w:pPr>
        <w:autoSpaceDE w:val="0"/>
        <w:autoSpaceDN w:val="0"/>
        <w:spacing w:afterLines="100" w:after="312" w:line="600" w:lineRule="exact"/>
        <w:ind w:firstLineChars="200" w:firstLine="640"/>
        <w:jc w:val="left"/>
        <w:rPr>
          <w:rFonts w:ascii="仿宋_GB2312" w:eastAsia="仿宋_GB2312" w:hAnsi="新宋体"/>
          <w:sz w:val="32"/>
          <w:szCs w:val="32"/>
        </w:rPr>
      </w:pPr>
      <w:bookmarkStart w:id="46" w:name="_Hlk58713253"/>
      <w:r>
        <w:rPr>
          <w:rFonts w:ascii="仿宋_GB2312" w:eastAsia="仿宋_GB2312" w:hAnsi="新宋体" w:hint="eastAsia"/>
          <w:sz w:val="32"/>
          <w:szCs w:val="32"/>
        </w:rPr>
        <w:t>以社会主义核心价值观为引领，以德育人、以文化人，全面提高公民素质和社会文明程度，</w:t>
      </w:r>
      <w:r>
        <w:rPr>
          <w:rFonts w:ascii="仿宋_GB2312" w:eastAsia="仿宋_GB2312" w:hAnsi="仿宋_GB2312" w:cs="仿宋_GB2312" w:hint="eastAsia"/>
          <w:sz w:val="32"/>
          <w:szCs w:val="32"/>
        </w:rPr>
        <w:t>推动形成适应新时代要求的思想观念、精神面貌、文明风尚、行为规范。</w:t>
      </w:r>
      <w:bookmarkEnd w:id="46"/>
    </w:p>
    <w:p w:rsidR="00D92198" w:rsidRDefault="00AE1128" w:rsidP="00A61652">
      <w:pPr>
        <w:autoSpaceDE w:val="0"/>
        <w:autoSpaceDN w:val="0"/>
        <w:spacing w:afterLines="100" w:after="312" w:line="600" w:lineRule="exact"/>
        <w:jc w:val="center"/>
        <w:rPr>
          <w:rFonts w:ascii="楷体_GB2312" w:eastAsia="楷体_GB2312" w:hAnsi="新宋体"/>
          <w:sz w:val="32"/>
          <w:szCs w:val="32"/>
        </w:rPr>
      </w:pPr>
      <w:r>
        <w:rPr>
          <w:rFonts w:ascii="楷体_GB2312" w:eastAsia="楷体_GB2312" w:hAnsi="新宋体" w:hint="eastAsia"/>
          <w:b/>
          <w:bCs/>
          <w:sz w:val="32"/>
          <w:szCs w:val="32"/>
        </w:rPr>
        <w:t>第一节  加强理想信念教育</w:t>
      </w:r>
    </w:p>
    <w:p w:rsidR="00D92198" w:rsidRDefault="00AE1128" w:rsidP="00A61652">
      <w:pPr>
        <w:autoSpaceDE w:val="0"/>
        <w:autoSpaceDN w:val="0"/>
        <w:spacing w:afterLines="100" w:after="312" w:line="600" w:lineRule="exact"/>
        <w:ind w:firstLineChars="200" w:firstLine="640"/>
        <w:rPr>
          <w:rFonts w:ascii="仿宋_GB2312" w:eastAsia="仿宋_GB2312" w:hAnsi="新宋体"/>
          <w:sz w:val="32"/>
          <w:szCs w:val="32"/>
        </w:rPr>
      </w:pPr>
      <w:r>
        <w:rPr>
          <w:rFonts w:ascii="仿宋_GB2312" w:eastAsia="仿宋_GB2312" w:hAnsi="仿宋_GB2312" w:cs="仿宋_GB2312" w:hint="eastAsia"/>
          <w:sz w:val="32"/>
          <w:szCs w:val="32"/>
        </w:rPr>
        <w:t>深入开展习近平新时代中国特色社会主义思想学习教育，健全用党的创新理论武装全党、教育人民工作体系。</w:t>
      </w:r>
      <w:bookmarkStart w:id="47" w:name="_Hlk58713287"/>
      <w:r>
        <w:rPr>
          <w:rFonts w:ascii="仿宋_GB2312" w:eastAsia="仿宋_GB2312" w:hAnsi="仿宋_GB2312" w:cs="仿宋_GB2312" w:hint="eastAsia"/>
          <w:sz w:val="32"/>
          <w:szCs w:val="32"/>
        </w:rPr>
        <w:t>推动理想</w:t>
      </w:r>
      <w:r>
        <w:rPr>
          <w:rFonts w:ascii="仿宋_GB2312" w:eastAsia="仿宋_GB2312" w:hAnsi="仿宋_GB2312" w:cs="仿宋_GB2312" w:hint="eastAsia"/>
          <w:sz w:val="32"/>
          <w:szCs w:val="32"/>
        </w:rPr>
        <w:lastRenderedPageBreak/>
        <w:t>信念教育常态化、制度化，加强党史、新中国史、改革开放史、社会主义发展史教育，加强爱国主义、集体主义、社会主义教育，传承红色基因，弘扬南水北调移民精神。加强和改进新时代思想政治工作，强化对青少年的思想政治引领。</w:t>
      </w:r>
    </w:p>
    <w:bookmarkEnd w:id="47"/>
    <w:p w:rsidR="00D92198" w:rsidRDefault="00AE1128" w:rsidP="00A61652">
      <w:pPr>
        <w:autoSpaceDE w:val="0"/>
        <w:autoSpaceDN w:val="0"/>
        <w:spacing w:afterLines="100" w:after="312" w:line="600" w:lineRule="exact"/>
        <w:jc w:val="center"/>
        <w:rPr>
          <w:rFonts w:ascii="楷体_GB2312" w:eastAsia="楷体_GB2312" w:hAnsi="新宋体"/>
          <w:b/>
          <w:sz w:val="32"/>
          <w:szCs w:val="32"/>
        </w:rPr>
      </w:pPr>
      <w:r>
        <w:rPr>
          <w:rFonts w:ascii="楷体_GB2312" w:eastAsia="楷体_GB2312" w:hAnsi="新宋体" w:hint="eastAsia"/>
          <w:b/>
          <w:sz w:val="32"/>
          <w:szCs w:val="32"/>
        </w:rPr>
        <w:t>第二节  加强思想道德建设</w:t>
      </w:r>
    </w:p>
    <w:p w:rsidR="00D92198" w:rsidRDefault="00AE1128" w:rsidP="00A61652">
      <w:pPr>
        <w:spacing w:afterLines="100" w:after="312" w:line="600" w:lineRule="exact"/>
        <w:ind w:firstLineChars="200" w:firstLine="640"/>
        <w:rPr>
          <w:rFonts w:ascii="仿宋_GB2312" w:eastAsia="仿宋_GB2312" w:hAnsi="宋体"/>
          <w:sz w:val="32"/>
          <w:szCs w:val="32"/>
        </w:rPr>
      </w:pPr>
      <w:r>
        <w:rPr>
          <w:rFonts w:ascii="仿宋_GB2312" w:eastAsia="仿宋_GB2312" w:hAnsi="宋体" w:hint="eastAsia"/>
          <w:sz w:val="32"/>
          <w:szCs w:val="32"/>
        </w:rPr>
        <w:t>强化教育引导，创新方式方法，健全制度保障，推动践行社会主义核心价值观。</w:t>
      </w:r>
      <w:r>
        <w:rPr>
          <w:rFonts w:ascii="仿宋_GB2312" w:eastAsia="仿宋_GB2312" w:hAnsi="仿宋_GB2312" w:cs="仿宋_GB2312" w:hint="eastAsia"/>
          <w:sz w:val="32"/>
          <w:szCs w:val="32"/>
        </w:rPr>
        <w:t>弘扬诚信文化，推进诚信建设。</w:t>
      </w:r>
      <w:bookmarkStart w:id="48" w:name="_Hlk58713354"/>
      <w:r>
        <w:rPr>
          <w:rFonts w:ascii="仿宋_GB2312" w:eastAsia="仿宋_GB2312" w:hAnsi="仿宋_GB2312" w:cs="仿宋_GB2312" w:hint="eastAsia"/>
          <w:sz w:val="32"/>
          <w:szCs w:val="32"/>
        </w:rPr>
        <w:t>大力实施文明创建工程，深化群众性精神文明创建，拓展新时代文明实践中心建设。加强家庭、家教、家风建设。提倡艰苦奋斗、勤俭节约，开展以劳动创造幸福为主题的宣传教育。健全志愿服务体系，广泛开展志愿服务关爱行动。</w:t>
      </w:r>
      <w:r>
        <w:rPr>
          <w:rFonts w:ascii="仿宋_GB2312" w:eastAsia="仿宋_GB2312" w:hAnsi="宋体" w:hint="eastAsia"/>
          <w:sz w:val="32"/>
          <w:szCs w:val="32"/>
        </w:rPr>
        <w:t>大力倡导“做文明人、办文明事”，</w:t>
      </w:r>
      <w:r>
        <w:rPr>
          <w:rFonts w:ascii="仿宋_GB2312" w:eastAsia="仿宋_GB2312" w:hint="eastAsia"/>
          <w:sz w:val="32"/>
          <w:szCs w:val="32"/>
        </w:rPr>
        <w:t>不断提升公民文明素质和城市文明程度，</w:t>
      </w:r>
      <w:r>
        <w:rPr>
          <w:rFonts w:ascii="仿宋_GB2312" w:eastAsia="仿宋_GB2312" w:hAnsi="仿宋_GB2312" w:cs="仿宋_GB2312" w:hint="eastAsia"/>
          <w:sz w:val="32"/>
          <w:szCs w:val="32"/>
        </w:rPr>
        <w:t>推动形成适应新时代要求的行为规范和人文氛围。</w:t>
      </w:r>
      <w:bookmarkStart w:id="49" w:name="_Toc452298400"/>
      <w:bookmarkStart w:id="50" w:name="_Toc450810601"/>
      <w:bookmarkStart w:id="51" w:name="_Toc439969446"/>
    </w:p>
    <w:bookmarkEnd w:id="48"/>
    <w:p w:rsidR="00D92198" w:rsidRDefault="00AE1128" w:rsidP="00A61652">
      <w:pPr>
        <w:spacing w:afterLines="100" w:after="312" w:line="600" w:lineRule="exact"/>
        <w:jc w:val="center"/>
        <w:rPr>
          <w:rFonts w:ascii="楷体_GB2312" w:eastAsia="楷体_GB2312" w:hAnsi="宋体"/>
          <w:b/>
          <w:sz w:val="32"/>
          <w:szCs w:val="32"/>
        </w:rPr>
      </w:pPr>
      <w:r>
        <w:rPr>
          <w:rFonts w:ascii="楷体_GB2312" w:eastAsia="楷体_GB2312" w:hAnsi="宋体" w:hint="eastAsia"/>
          <w:b/>
          <w:sz w:val="32"/>
          <w:szCs w:val="32"/>
        </w:rPr>
        <w:t>第三节  巩固壮大主流思想舆论</w:t>
      </w:r>
    </w:p>
    <w:p w:rsidR="00D92198" w:rsidRDefault="00AE1128" w:rsidP="00A61652">
      <w:pPr>
        <w:spacing w:afterLines="100" w:after="312" w:line="600" w:lineRule="exact"/>
        <w:ind w:firstLineChars="200" w:firstLine="640"/>
        <w:jc w:val="left"/>
        <w:rPr>
          <w:rFonts w:ascii="仿宋_GB2312" w:eastAsia="仿宋_GB2312" w:hAnsi="宋体"/>
          <w:b/>
          <w:sz w:val="32"/>
          <w:szCs w:val="32"/>
        </w:rPr>
      </w:pPr>
      <w:r>
        <w:rPr>
          <w:rFonts w:ascii="仿宋_GB2312" w:eastAsia="仿宋_GB2312" w:hAnsi="仿宋_GB2312" w:cs="仿宋_GB2312" w:hint="eastAsia"/>
          <w:sz w:val="32"/>
          <w:szCs w:val="32"/>
        </w:rPr>
        <w:t>推进马克思主义理论研究和建设工程，加强高校马克思主义重点学科建设。坚持和落实党管媒体原则，牢牢把握正确舆论导向，实施全媒体传播工程，常态化开展重大主题宣传。推进媒体深度融合，做强新型主流媒体，建强用好市级融媒体中心，统筹推进市县两级融媒体中心建设发展。建立健全优质网</w:t>
      </w:r>
      <w:r>
        <w:rPr>
          <w:rFonts w:ascii="仿宋_GB2312" w:eastAsia="仿宋_GB2312" w:hAnsi="仿宋_GB2312" w:cs="仿宋_GB2312" w:hint="eastAsia"/>
          <w:sz w:val="32"/>
          <w:szCs w:val="32"/>
        </w:rPr>
        <w:lastRenderedPageBreak/>
        <w:t>络内容生产体系、网络正能量传播体系、网络综合治理体系，发展积极健康的网络文化，加强青少年网络文明建设，</w:t>
      </w:r>
    </w:p>
    <w:p w:rsidR="00D92198" w:rsidRDefault="00AE1128" w:rsidP="00A61652">
      <w:pPr>
        <w:spacing w:afterLines="100" w:after="312" w:line="600" w:lineRule="exact"/>
        <w:jc w:val="center"/>
        <w:rPr>
          <w:rFonts w:ascii="楷体_GB2312" w:eastAsia="楷体_GB2312" w:hAnsi="宋体"/>
          <w:b/>
          <w:sz w:val="32"/>
          <w:szCs w:val="32"/>
        </w:rPr>
      </w:pPr>
      <w:r>
        <w:rPr>
          <w:rFonts w:ascii="楷体_GB2312" w:eastAsia="楷体_GB2312" w:hAnsi="宋体" w:hint="eastAsia"/>
          <w:b/>
          <w:sz w:val="32"/>
          <w:szCs w:val="32"/>
        </w:rPr>
        <w:t>第四节  加强全民国防教育</w:t>
      </w:r>
    </w:p>
    <w:p w:rsidR="00D92198" w:rsidRDefault="00AE1128" w:rsidP="00A61652">
      <w:pPr>
        <w:spacing w:afterLines="100" w:after="312" w:line="600" w:lineRule="exact"/>
        <w:ind w:firstLineChars="200" w:firstLine="640"/>
        <w:rPr>
          <w:rFonts w:ascii="仿宋_GB2312" w:eastAsia="仿宋_GB2312" w:cs="宋体"/>
          <w:bCs/>
          <w:kern w:val="0"/>
          <w:sz w:val="32"/>
          <w:szCs w:val="32"/>
        </w:rPr>
      </w:pPr>
      <w:bookmarkStart w:id="52" w:name="_Hlk58713543"/>
      <w:r>
        <w:rPr>
          <w:rFonts w:ascii="仿宋_GB2312" w:eastAsia="仿宋_GB2312" w:hAnsi="宋体" w:hint="eastAsia"/>
          <w:sz w:val="32"/>
          <w:szCs w:val="32"/>
        </w:rPr>
        <w:t>弘扬爱国主义精神，普及国防教育，使全民增强国防观念，掌握必要的国防知识和军事技能，自觉履行国防义务，关心、支持、参与国防建设，营造人人重视国防、关心和支持国防的良好氛围。加强国防教育基础设施建设，建成南阳全民国防教育基地，为人民群众接受国防教育、军事训练和社会教育实践活动提供场所保障。</w:t>
      </w:r>
    </w:p>
    <w:bookmarkEnd w:id="52"/>
    <w:p w:rsidR="00D92198" w:rsidRDefault="00AE1128" w:rsidP="00A61652">
      <w:pPr>
        <w:autoSpaceDE w:val="0"/>
        <w:autoSpaceDN w:val="0"/>
        <w:spacing w:afterLines="100" w:after="312" w:line="600" w:lineRule="exact"/>
        <w:jc w:val="center"/>
        <w:rPr>
          <w:rFonts w:ascii="黑体" w:eastAsia="黑体" w:hAnsi="黑体"/>
          <w:bCs/>
          <w:sz w:val="32"/>
          <w:szCs w:val="32"/>
        </w:rPr>
      </w:pPr>
      <w:r>
        <w:rPr>
          <w:rFonts w:ascii="黑体" w:eastAsia="黑体" w:hAnsi="黑体" w:hint="eastAsia"/>
          <w:bCs/>
          <w:sz w:val="32"/>
          <w:szCs w:val="32"/>
        </w:rPr>
        <w:t xml:space="preserve">第三十六章  </w:t>
      </w:r>
      <w:bookmarkStart w:id="53" w:name="_Hlk58713643"/>
      <w:r>
        <w:rPr>
          <w:rFonts w:ascii="黑体" w:eastAsia="黑体" w:hAnsi="黑体" w:hint="eastAsia"/>
          <w:bCs/>
          <w:sz w:val="32"/>
          <w:szCs w:val="32"/>
        </w:rPr>
        <w:t>丰富文化产品和服务</w:t>
      </w:r>
      <w:bookmarkEnd w:id="49"/>
      <w:bookmarkEnd w:id="50"/>
      <w:bookmarkEnd w:id="51"/>
    </w:p>
    <w:p w:rsidR="00D92198" w:rsidRDefault="00AE1128" w:rsidP="00A61652">
      <w:pPr>
        <w:autoSpaceDE w:val="0"/>
        <w:autoSpaceDN w:val="0"/>
        <w:spacing w:afterLines="100" w:after="312" w:line="600" w:lineRule="exact"/>
        <w:ind w:firstLineChars="200" w:firstLine="640"/>
        <w:rPr>
          <w:rFonts w:ascii="仿宋_GB2312" w:eastAsia="仿宋_GB2312" w:hAnsi="新宋体"/>
          <w:sz w:val="32"/>
          <w:szCs w:val="32"/>
        </w:rPr>
      </w:pPr>
      <w:r>
        <w:rPr>
          <w:rFonts w:ascii="仿宋_GB2312" w:eastAsia="仿宋_GB2312" w:hAnsi="新宋体" w:hint="eastAsia"/>
          <w:sz w:val="32"/>
          <w:szCs w:val="32"/>
        </w:rPr>
        <w:t>推进文化事业和文化产业协调发展，完善公共文化服务体系、文化产业体系、文化市场体系，为人民提供昂扬向上、丰富多彩的精神食粮。</w:t>
      </w:r>
    </w:p>
    <w:p w:rsidR="00D92198" w:rsidRDefault="00AE1128" w:rsidP="00A61652">
      <w:pPr>
        <w:autoSpaceDE w:val="0"/>
        <w:autoSpaceDN w:val="0"/>
        <w:spacing w:afterLines="100" w:after="312" w:line="600" w:lineRule="exact"/>
        <w:jc w:val="center"/>
        <w:rPr>
          <w:rFonts w:ascii="楷体_GB2312" w:eastAsia="楷体_GB2312" w:hAnsi="新宋体"/>
          <w:b/>
          <w:sz w:val="32"/>
          <w:szCs w:val="32"/>
        </w:rPr>
      </w:pPr>
      <w:r>
        <w:rPr>
          <w:rFonts w:ascii="楷体_GB2312" w:eastAsia="楷体_GB2312" w:hAnsi="新宋体" w:hint="eastAsia"/>
          <w:b/>
          <w:sz w:val="32"/>
          <w:szCs w:val="32"/>
        </w:rPr>
        <w:t>第一节   提升公共文化发展水平</w:t>
      </w:r>
    </w:p>
    <w:p w:rsidR="00D92198" w:rsidRDefault="00AE1128" w:rsidP="00A61652">
      <w:pPr>
        <w:autoSpaceDE w:val="0"/>
        <w:autoSpaceDN w:val="0"/>
        <w:spacing w:afterLines="100" w:after="312" w:line="600" w:lineRule="exact"/>
        <w:ind w:firstLineChars="200" w:firstLine="640"/>
        <w:rPr>
          <w:rFonts w:ascii="仿宋_GB2312" w:eastAsia="仿宋_GB2312"/>
          <w:sz w:val="32"/>
          <w:szCs w:val="32"/>
        </w:rPr>
      </w:pPr>
      <w:r>
        <w:rPr>
          <w:rFonts w:ascii="仿宋_GB2312" w:eastAsia="仿宋_GB2312" w:hAnsi="仿宋_GB2312" w:cs="仿宋_GB2312" w:hint="eastAsia"/>
          <w:sz w:val="32"/>
          <w:szCs w:val="32"/>
        </w:rPr>
        <w:t>全面繁荣新闻出版、广播影视、文学艺术、哲学社会科学事业。发展壮大以南阳作家群为代表的文艺家群体，不断推出反映时代新气象、讴歌人民新创造、具有南阳地域特色的精品力作。推进城乡公共文化服务体系一体建设，创新实施文化惠</w:t>
      </w:r>
      <w:r>
        <w:rPr>
          <w:rFonts w:ascii="仿宋_GB2312" w:eastAsia="仿宋_GB2312" w:hAnsi="仿宋_GB2312" w:cs="仿宋_GB2312" w:hint="eastAsia"/>
          <w:sz w:val="32"/>
          <w:szCs w:val="32"/>
        </w:rPr>
        <w:lastRenderedPageBreak/>
        <w:t>民工程，广泛开展群众性、娱乐性、健康性文化活动，推动公共文化数字化建设，加快建设书香南阳、学习型社会。大力弘扬红色文化，联动建设楚长城、长征等国家文化公园，建成红二十五军鏖战独树镇长征文化教育基地，改造提升桐柏叶家大庄革命纪念馆，建设南水北调移民博物馆。提升中心城区历史文化资源开发利用水平。</w:t>
      </w:r>
      <w:r>
        <w:rPr>
          <w:rFonts w:ascii="仿宋_GB2312" w:eastAsia="仿宋_GB2312" w:hint="eastAsia"/>
          <w:sz w:val="32"/>
          <w:szCs w:val="32"/>
        </w:rPr>
        <w:t>规划建设文化综合体，整合基层宣传文化、党员教育、科学普及、体育健身等资源，推动县（市）图书馆、文化馆、博物馆达标提升，基本实现行政村综合性文化服务中心全覆盖。引导和鼓励社会力量通过多种形式参与公共文化服务，培育文化非盈利组织。</w:t>
      </w:r>
    </w:p>
    <w:p w:rsidR="00D92198" w:rsidRDefault="00AE1128" w:rsidP="00A61652">
      <w:pPr>
        <w:autoSpaceDE w:val="0"/>
        <w:autoSpaceDN w:val="0"/>
        <w:spacing w:afterLines="100" w:after="312" w:line="600" w:lineRule="exact"/>
        <w:jc w:val="center"/>
        <w:rPr>
          <w:rFonts w:ascii="楷体_GB2312" w:eastAsia="楷体_GB2312" w:hAnsi="新宋体"/>
          <w:b/>
          <w:sz w:val="32"/>
          <w:szCs w:val="32"/>
        </w:rPr>
      </w:pPr>
      <w:r>
        <w:rPr>
          <w:rFonts w:ascii="楷体_GB2312" w:eastAsia="楷体_GB2312" w:hAnsi="新宋体" w:hint="eastAsia"/>
          <w:b/>
          <w:sz w:val="32"/>
          <w:szCs w:val="32"/>
        </w:rPr>
        <w:t>第二节 加快发展文化产业</w:t>
      </w:r>
    </w:p>
    <w:p w:rsidR="00D92198" w:rsidRDefault="00AE1128" w:rsidP="00A61652">
      <w:pPr>
        <w:autoSpaceDE w:val="0"/>
        <w:autoSpaceDN w:val="0"/>
        <w:spacing w:afterLines="100" w:after="312" w:line="600" w:lineRule="exact"/>
        <w:ind w:firstLineChars="200" w:firstLine="640"/>
        <w:rPr>
          <w:rFonts w:ascii="仿宋_GB2312" w:eastAsia="仿宋_GB2312"/>
          <w:sz w:val="32"/>
          <w:szCs w:val="32"/>
        </w:rPr>
      </w:pPr>
      <w:r>
        <w:rPr>
          <w:rFonts w:ascii="仿宋_GB2312" w:eastAsia="仿宋_GB2312" w:hint="eastAsia"/>
          <w:sz w:val="32"/>
          <w:szCs w:val="32"/>
        </w:rPr>
        <w:t>实施文化产业数字化工程，加快发展新型文化企业、文化业态、文化消费模式，壮大数字创意、网络视听、数字出版、数字娱乐、线上演播等产业。加快提升超高清电视节目制播能力，推进电视频道高清化改造，推进沉浸式视频、云转播等应用。实施文化品牌工程，打造一批有影响力、代表性的文化品牌。创新文化产业项目和园区建设经营机制，</w:t>
      </w:r>
      <w:bookmarkStart w:id="54" w:name="_Toc439969447"/>
      <w:bookmarkStart w:id="55" w:name="_Toc450810602"/>
      <w:bookmarkStart w:id="56" w:name="_Toc452298401"/>
      <w:bookmarkEnd w:id="53"/>
      <w:r>
        <w:rPr>
          <w:rFonts w:ascii="仿宋_GB2312" w:eastAsia="仿宋_GB2312" w:hint="eastAsia"/>
          <w:sz w:val="32"/>
          <w:szCs w:val="32"/>
        </w:rPr>
        <w:t>推动文化产业园区建设，加快发展新型文化企业、文化业态、文化消费模式，健全文化市场体系，扩大优质文化产品供给。深化文化体制改革，推动文化产业与科技、金融、贸易、教育、体育等产业融</w:t>
      </w:r>
      <w:r>
        <w:rPr>
          <w:rFonts w:ascii="仿宋_GB2312" w:eastAsia="仿宋_GB2312" w:hint="eastAsia"/>
          <w:sz w:val="32"/>
          <w:szCs w:val="32"/>
        </w:rPr>
        <w:lastRenderedPageBreak/>
        <w:t>合创新发展，增强文化发展活力。鼓励利用老旧厂房、工业遗址、商业楼宇等区域，建设文化创意园（空间）、城市文化旅游综合体。</w:t>
      </w:r>
    </w:p>
    <w:p w:rsidR="00D92198" w:rsidRDefault="00AE1128" w:rsidP="00A61652">
      <w:pPr>
        <w:autoSpaceDE w:val="0"/>
        <w:autoSpaceDN w:val="0"/>
        <w:spacing w:afterLines="100" w:after="312" w:line="600" w:lineRule="exact"/>
        <w:jc w:val="center"/>
        <w:rPr>
          <w:rFonts w:ascii="黑体" w:eastAsia="黑体" w:hAnsi="黑体"/>
          <w:bCs/>
          <w:sz w:val="32"/>
          <w:szCs w:val="32"/>
        </w:rPr>
      </w:pPr>
      <w:r>
        <w:rPr>
          <w:rFonts w:ascii="黑体" w:eastAsia="黑体" w:hAnsi="黑体" w:hint="eastAsia"/>
          <w:bCs/>
          <w:sz w:val="32"/>
          <w:szCs w:val="32"/>
        </w:rPr>
        <w:t>第三十七章  保护传承弘扬南阳文化</w:t>
      </w:r>
      <w:bookmarkEnd w:id="54"/>
      <w:bookmarkEnd w:id="55"/>
      <w:bookmarkEnd w:id="56"/>
    </w:p>
    <w:p w:rsidR="00D92198" w:rsidRDefault="00AE1128" w:rsidP="00A61652">
      <w:pPr>
        <w:autoSpaceDE w:val="0"/>
        <w:autoSpaceDN w:val="0"/>
        <w:spacing w:afterLines="100" w:after="312" w:line="600" w:lineRule="exact"/>
        <w:ind w:firstLineChars="150" w:firstLine="480"/>
        <w:jc w:val="left"/>
        <w:rPr>
          <w:rFonts w:ascii="楷体" w:eastAsia="楷体" w:hAnsi="楷体"/>
          <w:b/>
          <w:sz w:val="32"/>
          <w:szCs w:val="32"/>
        </w:rPr>
      </w:pPr>
      <w:r>
        <w:rPr>
          <w:rFonts w:ascii="仿宋_GB2312" w:eastAsia="仿宋_GB2312" w:hAnsi="仿宋_GB2312" w:cs="仿宋_GB2312" w:hint="eastAsia"/>
          <w:sz w:val="32"/>
          <w:szCs w:val="32"/>
        </w:rPr>
        <w:t>加强南阳人文历史资源挖掘、保护和利用，深入挖掘南阳文化精神内涵和价值，讲好新时代南阳故事，增强南阳文化影响力。</w:t>
      </w:r>
    </w:p>
    <w:p w:rsidR="00D92198" w:rsidRDefault="00AE1128" w:rsidP="00A61652">
      <w:pPr>
        <w:autoSpaceDE w:val="0"/>
        <w:autoSpaceDN w:val="0"/>
        <w:spacing w:afterLines="100" w:after="312" w:line="600" w:lineRule="exact"/>
        <w:jc w:val="center"/>
        <w:rPr>
          <w:rFonts w:ascii="楷体_GB2312" w:eastAsia="楷体_GB2312" w:hAnsi="宋体"/>
          <w:b/>
          <w:sz w:val="32"/>
          <w:szCs w:val="32"/>
        </w:rPr>
      </w:pPr>
      <w:r>
        <w:rPr>
          <w:rFonts w:ascii="楷体_GB2312" w:eastAsia="楷体_GB2312" w:hAnsi="宋体" w:hint="eastAsia"/>
          <w:b/>
          <w:sz w:val="32"/>
          <w:szCs w:val="32"/>
        </w:rPr>
        <w:t>第一节   加强文化遗产保护传承创新</w:t>
      </w:r>
    </w:p>
    <w:p w:rsidR="00D92198" w:rsidRDefault="00AE1128" w:rsidP="00A61652">
      <w:pPr>
        <w:autoSpaceDE w:val="0"/>
        <w:autoSpaceDN w:val="0"/>
        <w:spacing w:afterLines="100" w:after="312" w:line="600" w:lineRule="exact"/>
        <w:ind w:firstLineChars="200" w:firstLine="640"/>
        <w:rPr>
          <w:rFonts w:ascii="仿宋_GB2312" w:eastAsia="仿宋_GB2312" w:hAnsi="宋体"/>
          <w:sz w:val="32"/>
          <w:szCs w:val="32"/>
        </w:rPr>
      </w:pPr>
      <w:r>
        <w:rPr>
          <w:rFonts w:ascii="仿宋_GB2312" w:eastAsia="仿宋_GB2312" w:hAnsi="宋体" w:hint="eastAsia"/>
          <w:sz w:val="32"/>
          <w:szCs w:val="32"/>
        </w:rPr>
        <w:t>研究制定保护南阳特色传统文化的有效机制，推进文化典籍数字化和整理出版。加强非物质文化遗产开发、保护与传承，完善非物质文化遗产名录，建立保护制度和保护体系。振兴镇平玉雕、方城石猴、南阳烙画、邓州邓瓷、辛店毛笔制作等传统工艺，传承发展板头曲、大调曲、三弦书等传统音乐曲艺，增强南阳“中国曲艺之乡”的影响。加强文物和历史文化遗址保护利用，加强国家级重点文物保护单位、历史文化名城名镇名村、历史建筑保护，加大</w:t>
      </w:r>
      <w:hyperlink r:id="rId12" w:tgtFrame="_blank" w:history="1">
        <w:r>
          <w:rPr>
            <w:rFonts w:ascii="仿宋_GB2312" w:eastAsia="仿宋_GB2312" w:hAnsi="宋体" w:hint="eastAsia"/>
            <w:sz w:val="32"/>
            <w:szCs w:val="32"/>
          </w:rPr>
          <w:t>非物质文化遗产</w:t>
        </w:r>
      </w:hyperlink>
      <w:r>
        <w:rPr>
          <w:rFonts w:ascii="仿宋_GB2312" w:eastAsia="仿宋_GB2312" w:hAnsi="宋体" w:hint="eastAsia"/>
          <w:sz w:val="32"/>
          <w:szCs w:val="32"/>
        </w:rPr>
        <w:t>保护传承，建设非物质文化遗产传习展示馆，积极参与万里茶道等申报世界文化遗产。优化推进博物馆体系建设，加强馆藏文物保护修复，推进文物资源数字化建设，夯实文物保护科技支撑。</w:t>
      </w:r>
    </w:p>
    <w:p w:rsidR="00D92198" w:rsidRDefault="00AE1128" w:rsidP="00A61652">
      <w:pPr>
        <w:autoSpaceDE w:val="0"/>
        <w:autoSpaceDN w:val="0"/>
        <w:spacing w:afterLines="100" w:after="312" w:line="600" w:lineRule="exact"/>
        <w:jc w:val="center"/>
        <w:rPr>
          <w:rFonts w:ascii="楷体_GB2312" w:eastAsia="楷体_GB2312" w:hAnsi="宋体"/>
          <w:b/>
          <w:sz w:val="32"/>
          <w:szCs w:val="32"/>
        </w:rPr>
      </w:pPr>
      <w:r>
        <w:rPr>
          <w:rFonts w:ascii="楷体_GB2312" w:eastAsia="楷体_GB2312" w:hAnsi="宋体" w:hint="eastAsia"/>
          <w:b/>
          <w:sz w:val="32"/>
          <w:szCs w:val="32"/>
        </w:rPr>
        <w:lastRenderedPageBreak/>
        <w:t>第二节 增强南阳文化影响力</w:t>
      </w:r>
    </w:p>
    <w:p w:rsidR="00D92198" w:rsidRDefault="00AE1128" w:rsidP="00A61652">
      <w:pPr>
        <w:autoSpaceDE w:val="0"/>
        <w:autoSpaceDN w:val="0"/>
        <w:spacing w:afterLines="100" w:after="312" w:line="600" w:lineRule="exact"/>
        <w:ind w:firstLineChars="200" w:firstLine="640"/>
        <w:rPr>
          <w:rFonts w:ascii="仿宋_GB2312" w:eastAsia="仿宋_GB2312" w:hAnsi="仿宋_GB2312" w:cs="仿宋_GB2312"/>
          <w:sz w:val="32"/>
          <w:szCs w:val="32"/>
        </w:rPr>
      </w:pPr>
      <w:r>
        <w:rPr>
          <w:rFonts w:ascii="仿宋_GB2312" w:eastAsia="仿宋_GB2312" w:cs="宋体" w:hint="eastAsia"/>
          <w:bCs/>
          <w:kern w:val="0"/>
          <w:sz w:val="32"/>
          <w:szCs w:val="32"/>
        </w:rPr>
        <w:t>发挥南阳文化资源优势，开展多层次、广领域的国内外文化传播交流贸易。办好张仲景医药文化节、玉文化博览会、月季博览会等重大活动，</w:t>
      </w:r>
      <w:r>
        <w:rPr>
          <w:rFonts w:ascii="仿宋_GB2312" w:eastAsia="仿宋_GB2312" w:hAnsi="宋体" w:hint="eastAsia"/>
          <w:sz w:val="32"/>
          <w:szCs w:val="32"/>
        </w:rPr>
        <w:t>鼓励举办体现民族、民俗、民间特色的各类群众文化活动，</w:t>
      </w:r>
      <w:r>
        <w:rPr>
          <w:rFonts w:ascii="仿宋_GB2312" w:eastAsia="仿宋_GB2312" w:cs="宋体" w:hint="eastAsia"/>
          <w:bCs/>
          <w:kern w:val="0"/>
          <w:sz w:val="32"/>
          <w:szCs w:val="32"/>
        </w:rPr>
        <w:t>宣传展示南阳文化风采</w:t>
      </w:r>
      <w:r>
        <w:rPr>
          <w:rFonts w:ascii="仿宋_GB2312" w:eastAsia="仿宋_GB2312" w:hAnsi="宋体" w:hint="eastAsia"/>
          <w:sz w:val="32"/>
          <w:szCs w:val="32"/>
        </w:rPr>
        <w:t>。</w:t>
      </w:r>
      <w:r>
        <w:rPr>
          <w:rFonts w:ascii="仿宋_GB2312" w:eastAsia="仿宋_GB2312" w:hAnsi="仿宋_GB2312" w:cs="仿宋_GB2312" w:hint="eastAsia"/>
          <w:sz w:val="32"/>
          <w:szCs w:val="32"/>
        </w:rPr>
        <w:t>打响汉文化、中医药文化、官德文化、“四圣”文化、玉文化、商埠文化等文化品牌。加大南阳文化网络传播力度。</w:t>
      </w:r>
      <w:r>
        <w:rPr>
          <w:rFonts w:ascii="仿宋_GB2312" w:eastAsia="仿宋_GB2312" w:cs="宋体" w:hint="eastAsia"/>
          <w:bCs/>
          <w:kern w:val="0"/>
          <w:sz w:val="32"/>
          <w:szCs w:val="32"/>
        </w:rPr>
        <w:t>建立南阳文化“走出去”机制，推进国际国内文化交流、文</w:t>
      </w:r>
      <w:r>
        <w:rPr>
          <w:rFonts w:ascii="仿宋_GB2312" w:eastAsia="仿宋_GB2312" w:hAnsi="仿宋_GB2312" w:cs="仿宋_GB2312" w:hint="eastAsia"/>
          <w:sz w:val="32"/>
          <w:szCs w:val="32"/>
        </w:rPr>
        <w:t>化传播、文化贸易，</w:t>
      </w:r>
      <w:r>
        <w:rPr>
          <w:rFonts w:ascii="仿宋_GB2312" w:eastAsia="仿宋_GB2312" w:cs="宋体" w:hint="eastAsia"/>
          <w:bCs/>
          <w:kern w:val="0"/>
          <w:sz w:val="32"/>
          <w:szCs w:val="32"/>
        </w:rPr>
        <w:t>塑好南阳形象，</w:t>
      </w:r>
      <w:r>
        <w:rPr>
          <w:rFonts w:ascii="仿宋_GB2312" w:eastAsia="仿宋_GB2312" w:hAnsi="仿宋_GB2312" w:cs="仿宋_GB2312" w:hint="eastAsia"/>
          <w:sz w:val="32"/>
          <w:szCs w:val="32"/>
        </w:rPr>
        <w:t>唱响南阳文化。</w:t>
      </w:r>
    </w:p>
    <w:tbl>
      <w:tblPr>
        <w:tblpPr w:leftFromText="180" w:rightFromText="180" w:vertAnchor="text" w:horzAnchor="margin" w:tblpY="103"/>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48"/>
      </w:tblGrid>
      <w:tr w:rsidR="00D92198">
        <w:trPr>
          <w:trHeight w:val="461"/>
        </w:trPr>
        <w:tc>
          <w:tcPr>
            <w:tcW w:w="8748" w:type="dxa"/>
            <w:vAlign w:val="center"/>
          </w:tcPr>
          <w:p w:rsidR="00D92198" w:rsidRDefault="00AE1128">
            <w:pPr>
              <w:spacing w:line="600" w:lineRule="exact"/>
              <w:ind w:firstLineChars="100" w:firstLine="300"/>
              <w:jc w:val="center"/>
              <w:rPr>
                <w:rFonts w:ascii="黑体" w:eastAsia="黑体" w:hAnsi="黑体" w:cs="宋体"/>
                <w:bCs/>
                <w:kern w:val="0"/>
                <w:sz w:val="30"/>
                <w:szCs w:val="30"/>
              </w:rPr>
            </w:pPr>
            <w:r>
              <w:rPr>
                <w:rFonts w:ascii="黑体" w:eastAsia="黑体" w:hAnsi="黑体" w:cs="宋体" w:hint="eastAsia"/>
                <w:bCs/>
                <w:kern w:val="0"/>
                <w:sz w:val="30"/>
                <w:szCs w:val="30"/>
              </w:rPr>
              <w:t>专栏8：文化发展重点工程</w:t>
            </w:r>
          </w:p>
        </w:tc>
      </w:tr>
      <w:tr w:rsidR="00D92198">
        <w:trPr>
          <w:trHeight w:val="296"/>
        </w:trPr>
        <w:tc>
          <w:tcPr>
            <w:tcW w:w="8748" w:type="dxa"/>
          </w:tcPr>
          <w:p w:rsidR="00D92198" w:rsidRDefault="00AE1128">
            <w:pPr>
              <w:spacing w:line="500" w:lineRule="exact"/>
              <w:ind w:firstLineChars="200" w:firstLine="562"/>
              <w:rPr>
                <w:rFonts w:ascii="Times New Roman" w:eastAsia="仿宋_GB2312" w:hAnsi="Times New Roman" w:cs="仿宋"/>
                <w:kern w:val="0"/>
                <w:sz w:val="28"/>
                <w:szCs w:val="28"/>
              </w:rPr>
            </w:pPr>
            <w:r>
              <w:rPr>
                <w:rFonts w:ascii="仿宋_GB2312" w:eastAsia="仿宋_GB2312" w:hAnsi="宋体" w:cs="宋体" w:hint="eastAsia"/>
                <w:b/>
                <w:bCs/>
                <w:kern w:val="0"/>
                <w:sz w:val="28"/>
                <w:szCs w:val="28"/>
              </w:rPr>
              <w:t>1.文化遗产保护传承创新：</w:t>
            </w:r>
            <w:r>
              <w:rPr>
                <w:rFonts w:ascii="仿宋_GB2312" w:eastAsia="仿宋_GB2312" w:hint="eastAsia"/>
                <w:sz w:val="28"/>
                <w:szCs w:val="28"/>
              </w:rPr>
              <w:t>实施</w:t>
            </w:r>
            <w:r>
              <w:rPr>
                <w:rFonts w:ascii="Times New Roman" w:eastAsia="仿宋_GB2312" w:hAnsi="Times New Roman" w:cs="仿宋" w:hint="eastAsia"/>
                <w:kern w:val="0"/>
                <w:sz w:val="28"/>
                <w:szCs w:val="28"/>
              </w:rPr>
              <w:t>黄山遗址公园、不见冢遗址公园、汉代冶铁遗址公园、汉代宛城遗址公园、方城县博望镇三国文化遗址公园、邓州八里岗仰韶文化遗址公园等项目建设。</w:t>
            </w:r>
          </w:p>
          <w:p w:rsidR="00D92198" w:rsidRDefault="00AE1128">
            <w:pPr>
              <w:spacing w:line="500" w:lineRule="exact"/>
              <w:ind w:firstLineChars="200" w:firstLine="562"/>
              <w:rPr>
                <w:rFonts w:ascii="仿宋_GB2312" w:eastAsia="仿宋_GB2312"/>
                <w:sz w:val="28"/>
                <w:szCs w:val="28"/>
              </w:rPr>
            </w:pPr>
            <w:r>
              <w:rPr>
                <w:rFonts w:ascii="仿宋_GB2312" w:eastAsia="仿宋_GB2312" w:hAnsi="宋体" w:cs="宋体" w:hint="eastAsia"/>
                <w:b/>
                <w:bCs/>
                <w:kern w:val="0"/>
                <w:sz w:val="28"/>
                <w:szCs w:val="28"/>
              </w:rPr>
              <w:t>2.南阳古城保护利用工程：</w:t>
            </w:r>
            <w:r>
              <w:rPr>
                <w:rFonts w:ascii="仿宋_GB2312" w:eastAsia="仿宋_GB2312" w:hint="eastAsia"/>
                <w:sz w:val="28"/>
                <w:szCs w:val="28"/>
              </w:rPr>
              <w:t>以汉文化为底色，发掘建设王莽铸币厂遗址博物馆，保护整修明远顶、望仙台高台遗址，建设汉宛城城墙遗址公园，建设瓦房庄汉代冶铁博物馆。以梅花城为底版，建设南寨墙遗址公园。以明清古城风格为主调，打造“一城两府三环线四门七馆十大院”。“一城”：清代梅花城规划控制。“两府”：南阳府衙、王府山提升修复。“三环线”：民主街至解放路至联合街至人民路旅游环线、城墙贯通环线、护城河生态修复环线。“四门”：</w:t>
            </w:r>
            <w:r>
              <w:rPr>
                <w:rFonts w:ascii="仿宋" w:eastAsia="仿宋" w:hAnsi="仿宋" w:cs="微软雅黑" w:hint="eastAsia"/>
                <w:sz w:val="28"/>
                <w:szCs w:val="28"/>
              </w:rPr>
              <w:t>淯</w:t>
            </w:r>
            <w:r>
              <w:rPr>
                <w:rFonts w:ascii="仿宋_GB2312" w:eastAsia="仿宋_GB2312" w:hint="eastAsia"/>
                <w:sz w:val="28"/>
                <w:szCs w:val="28"/>
              </w:rPr>
              <w:t>阳门、延曦门、博望门、永安门复建。“七馆”：王莽铸币博物馆、县文庙</w:t>
            </w:r>
            <w:r>
              <w:rPr>
                <w:rFonts w:ascii="仿宋_GB2312" w:eastAsia="仿宋_GB2312" w:hint="eastAsia"/>
                <w:sz w:val="28"/>
                <w:szCs w:val="28"/>
              </w:rPr>
              <w:lastRenderedPageBreak/>
              <w:t>儒学博物馆、镇台衙门博物馆、察院廉政文化博物馆、张嘉谋故居博物馆、董作宾故居博物馆、孙家楼红色革命博物馆。“十大院”：沿十大坑塘区域打造具有地方特色的民俗院落。</w:t>
            </w:r>
          </w:p>
          <w:p w:rsidR="00D92198" w:rsidRDefault="00AE1128">
            <w:pPr>
              <w:spacing w:line="500" w:lineRule="exact"/>
              <w:ind w:firstLineChars="196" w:firstLine="551"/>
              <w:rPr>
                <w:rFonts w:ascii="仿宋_GB2312" w:eastAsia="仿宋_GB2312"/>
              </w:rPr>
            </w:pPr>
            <w:r>
              <w:rPr>
                <w:rFonts w:ascii="仿宋_GB2312" w:eastAsia="仿宋_GB2312" w:hAnsi="宋体" w:cs="宋体" w:hint="eastAsia"/>
                <w:b/>
                <w:bCs/>
                <w:kern w:val="0"/>
                <w:sz w:val="28"/>
                <w:szCs w:val="28"/>
              </w:rPr>
              <w:t>3.白河文化带：</w:t>
            </w:r>
            <w:r>
              <w:rPr>
                <w:rFonts w:ascii="仿宋_GB2312" w:eastAsia="仿宋_GB2312" w:hint="eastAsia"/>
                <w:sz w:val="28"/>
                <w:szCs w:val="28"/>
              </w:rPr>
              <w:t>依托白河两岸地理位置优越、生态自然环境良好、文化资源富集的有利条件，打造集旅游与休闲、历史文化鉴赏、湿地游赏、生态保护与修复、体育健身为主要功能的大型生态文化公园。</w:t>
            </w:r>
          </w:p>
        </w:tc>
      </w:tr>
    </w:tbl>
    <w:p w:rsidR="00D92198" w:rsidRDefault="00D92198">
      <w:pPr>
        <w:spacing w:line="600" w:lineRule="exact"/>
        <w:jc w:val="center"/>
        <w:rPr>
          <w:rFonts w:ascii="方正小标宋简体" w:eastAsia="方正小标宋简体" w:hAnsi="黑体"/>
          <w:sz w:val="32"/>
          <w:szCs w:val="32"/>
        </w:rPr>
      </w:pPr>
    </w:p>
    <w:p w:rsidR="00D92198" w:rsidRDefault="00AE1128">
      <w:pPr>
        <w:spacing w:line="600" w:lineRule="exact"/>
        <w:jc w:val="center"/>
        <w:rPr>
          <w:rFonts w:ascii="方正小标宋简体" w:eastAsia="方正小标宋简体" w:hAnsi="黑体"/>
          <w:sz w:val="32"/>
          <w:szCs w:val="32"/>
        </w:rPr>
      </w:pPr>
      <w:r>
        <w:rPr>
          <w:rFonts w:ascii="方正小标宋简体" w:eastAsia="方正小标宋简体" w:hAnsi="黑体" w:hint="eastAsia"/>
          <w:sz w:val="32"/>
          <w:szCs w:val="32"/>
        </w:rPr>
        <w:t xml:space="preserve">第十一篇  </w:t>
      </w:r>
      <w:bookmarkStart w:id="57" w:name="_Toc436470238"/>
      <w:bookmarkStart w:id="58" w:name="_Toc436469622"/>
      <w:bookmarkStart w:id="59" w:name="_Toc436398353"/>
      <w:bookmarkStart w:id="60" w:name="_Toc436386158"/>
      <w:bookmarkStart w:id="61" w:name="_Toc436469949"/>
      <w:bookmarkStart w:id="62" w:name="_Toc436386055"/>
      <w:r>
        <w:rPr>
          <w:rFonts w:ascii="方正小标宋简体" w:eastAsia="方正小标宋简体" w:hAnsi="黑体" w:hint="eastAsia"/>
          <w:sz w:val="32"/>
          <w:szCs w:val="32"/>
        </w:rPr>
        <w:t>践行绿水青山就是金山银山理念，建设</w:t>
      </w:r>
    </w:p>
    <w:p w:rsidR="00D92198" w:rsidRDefault="00AE1128">
      <w:pPr>
        <w:spacing w:line="600" w:lineRule="exact"/>
        <w:jc w:val="center"/>
        <w:rPr>
          <w:rFonts w:ascii="方正小标宋简体" w:eastAsia="方正小标宋简体" w:hAnsi="黑体"/>
          <w:sz w:val="32"/>
          <w:szCs w:val="32"/>
        </w:rPr>
      </w:pPr>
      <w:r>
        <w:rPr>
          <w:rFonts w:ascii="方正小标宋简体" w:eastAsia="方正小标宋简体" w:hAnsi="黑体" w:hint="eastAsia"/>
          <w:sz w:val="32"/>
          <w:szCs w:val="32"/>
        </w:rPr>
        <w:t>区域生态高地</w:t>
      </w:r>
    </w:p>
    <w:p w:rsidR="00D92198" w:rsidRDefault="00AE1128" w:rsidP="00A61652">
      <w:pPr>
        <w:spacing w:beforeLines="100" w:before="312" w:afterLines="100" w:after="312" w:line="600" w:lineRule="exact"/>
        <w:ind w:firstLineChars="200" w:firstLine="640"/>
        <w:rPr>
          <w:rFonts w:ascii="仿宋_GB2312" w:eastAsia="仿宋_GB2312" w:hAnsi="仿宋_GB2312" w:cs="仿宋_GB2312"/>
          <w:sz w:val="32"/>
          <w:szCs w:val="32"/>
        </w:rPr>
      </w:pPr>
      <w:bookmarkStart w:id="63" w:name="_Toc437542622"/>
      <w:bookmarkStart w:id="64" w:name="_Toc439969449"/>
      <w:bookmarkStart w:id="65" w:name="_Toc437539364"/>
      <w:bookmarkStart w:id="66" w:name="_Toc438382451"/>
      <w:bookmarkStart w:id="67" w:name="_Toc450810604"/>
      <w:bookmarkStart w:id="68" w:name="_Toc437539471"/>
      <w:bookmarkStart w:id="69" w:name="_Toc452298403"/>
      <w:r>
        <w:rPr>
          <w:rFonts w:ascii="仿宋_GB2312" w:eastAsia="仿宋_GB2312" w:hAnsi="仿宋_GB2312" w:cs="仿宋_GB2312" w:hint="eastAsia"/>
          <w:sz w:val="32"/>
          <w:szCs w:val="32"/>
        </w:rPr>
        <w:t>深入践行习近平生态文明思想，坚持生态优先、绿色发展，推进生态保护系统化、环境治理精细化、资源利用高效化，加快构建现代环境治理体系，推动经济社会发展绿色转型，建设天蓝地绿水秀的美丽南阳。</w:t>
      </w:r>
    </w:p>
    <w:p w:rsidR="00D92198" w:rsidRDefault="00AE1128" w:rsidP="00A61652">
      <w:pPr>
        <w:spacing w:afterLines="50" w:after="156" w:line="600" w:lineRule="exact"/>
        <w:jc w:val="center"/>
        <w:rPr>
          <w:rFonts w:ascii="黑体" w:eastAsia="黑体" w:hAnsi="黑体"/>
          <w:bCs/>
          <w:sz w:val="32"/>
          <w:szCs w:val="32"/>
        </w:rPr>
      </w:pPr>
      <w:r>
        <w:rPr>
          <w:rFonts w:ascii="黑体" w:eastAsia="黑体" w:hAnsi="黑体" w:cs="楷体" w:hint="eastAsia"/>
          <w:bCs/>
          <w:sz w:val="32"/>
          <w:szCs w:val="32"/>
        </w:rPr>
        <w:t>第三十八章</w:t>
      </w:r>
      <w:bookmarkStart w:id="70" w:name="_Hlk58741259"/>
      <w:bookmarkEnd w:id="57"/>
      <w:bookmarkEnd w:id="58"/>
      <w:bookmarkEnd w:id="59"/>
      <w:bookmarkEnd w:id="60"/>
      <w:bookmarkEnd w:id="61"/>
      <w:bookmarkEnd w:id="62"/>
      <w:bookmarkEnd w:id="63"/>
      <w:bookmarkEnd w:id="64"/>
      <w:bookmarkEnd w:id="65"/>
      <w:bookmarkEnd w:id="66"/>
      <w:bookmarkEnd w:id="67"/>
      <w:bookmarkEnd w:id="68"/>
      <w:bookmarkEnd w:id="69"/>
      <w:r>
        <w:rPr>
          <w:rFonts w:ascii="黑体" w:eastAsia="黑体" w:hAnsi="黑体" w:cs="楷体" w:hint="eastAsia"/>
          <w:bCs/>
          <w:sz w:val="32"/>
          <w:szCs w:val="32"/>
        </w:rPr>
        <w:t xml:space="preserve"> 加强生态系统建设和保护</w:t>
      </w:r>
    </w:p>
    <w:p w:rsidR="00D92198" w:rsidRDefault="00AE1128" w:rsidP="00A61652">
      <w:pPr>
        <w:spacing w:afterLines="100" w:after="312"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加快森林、湿地、流域、农田和城市生态系统建设，统筹推进山水林田湖草生态保护修复，加强南水北调中线水源地保护，推进主要河（湖）、交通干线廊道绿化工程，完善自然保护地、生态保护红线监管制度，打造多级生态发展体系。</w:t>
      </w:r>
    </w:p>
    <w:p w:rsidR="00D92198" w:rsidRDefault="00AE1128" w:rsidP="00A61652">
      <w:pPr>
        <w:spacing w:afterLines="100" w:after="312" w:line="600" w:lineRule="exact"/>
        <w:jc w:val="center"/>
        <w:rPr>
          <w:rFonts w:ascii="楷体_GB2312" w:eastAsia="楷体_GB2312" w:hAnsi="仿宋"/>
          <w:b/>
          <w:sz w:val="32"/>
          <w:szCs w:val="32"/>
        </w:rPr>
      </w:pPr>
      <w:r>
        <w:rPr>
          <w:rFonts w:ascii="楷体_GB2312" w:eastAsia="楷体_GB2312" w:hAnsi="仿宋" w:hint="eastAsia"/>
          <w:b/>
          <w:sz w:val="32"/>
          <w:szCs w:val="32"/>
        </w:rPr>
        <w:t>第一节  加强南水北调中线水源地保护</w:t>
      </w:r>
      <w:bookmarkStart w:id="71" w:name="_Toc43471232"/>
    </w:p>
    <w:bookmarkEnd w:id="71"/>
    <w:p w:rsidR="00D92198" w:rsidRDefault="00AE1128" w:rsidP="00A61652">
      <w:pPr>
        <w:spacing w:afterLines="100" w:after="312"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强化丹江口库区及上游水污染防治和水土保持，推进工业污染、城镇生活污染、农业农村污染治理，提高水环境质量，确保南水北调中线水质常年稳定保持在Ⅱ类以上水平。落实最严格水资源管理制度，完善水资源调度体系。以南水北调渠首取水口为核心，按照保护区等级划分制定相应风险管控措施，对流域内危库、险库，以及有毒有害重金属、氰化物等含量较高的尾矿库开展防范治理，制定危险化学品运输等高风险源管控与应急措施，制定完备的水污染事件应急响应和处置措施，提升监测和应急能力。规划建设南水北调中线工程水源地空天地潜一体可视化监测监控系统，完善水质监测与预报预警功能，实现数据集成共享。</w:t>
      </w:r>
    </w:p>
    <w:p w:rsidR="00D92198" w:rsidRDefault="00AE1128" w:rsidP="00A61652">
      <w:pPr>
        <w:spacing w:afterLines="100" w:after="312" w:line="600" w:lineRule="exact"/>
        <w:jc w:val="center"/>
        <w:rPr>
          <w:rFonts w:ascii="楷体_GB2312" w:eastAsia="楷体_GB2312" w:hAnsi="仿宋"/>
          <w:b/>
          <w:sz w:val="32"/>
          <w:szCs w:val="32"/>
        </w:rPr>
      </w:pPr>
      <w:r>
        <w:rPr>
          <w:rFonts w:ascii="楷体_GB2312" w:eastAsia="楷体_GB2312" w:hAnsi="楷体_GB2312" w:cs="楷体_GB2312" w:hint="eastAsia"/>
          <w:b/>
          <w:bCs/>
          <w:sz w:val="32"/>
          <w:szCs w:val="32"/>
        </w:rPr>
        <w:t>第二节  加强水生态保护建设</w:t>
      </w:r>
    </w:p>
    <w:p w:rsidR="00D92198" w:rsidRDefault="00AE1128" w:rsidP="00A61652">
      <w:pPr>
        <w:spacing w:afterLines="100" w:after="312"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以“扩充水源、提升水量、改善水质、扩大水面”为目标，统筹推进丹江、唐河、白河、淮河、湍河、刁河、灌河等主要河流的生态水系建设。推进河湖库水系连通，建立气象预报与科学蓄水联动机制，加强智慧水务管理。推进重要河流生态涵养区建设，做好空中云水资源开发，加强重要湿地保护，整合湿地资源，采取水量调度、生态补水等措施确保湿地生态用水，设立湿地自然保护区、湿地公园。实施河湖基本生态水量调度，维护河湖健康生命。持续实施中心城区水系连通补源工程，稳</w:t>
      </w:r>
      <w:r>
        <w:rPr>
          <w:rFonts w:ascii="仿宋_GB2312" w:eastAsia="仿宋_GB2312" w:hAnsi="仿宋_GB2312" w:cs="仿宋_GB2312" w:hint="eastAsia"/>
          <w:sz w:val="32"/>
          <w:szCs w:val="32"/>
        </w:rPr>
        <w:lastRenderedPageBreak/>
        <w:t>步推进县乡水生态文明体系建设，打造一批“水美乡村”。</w:t>
      </w:r>
    </w:p>
    <w:p w:rsidR="00D92198" w:rsidRDefault="00AE1128" w:rsidP="00A61652">
      <w:pPr>
        <w:spacing w:beforeLines="50" w:before="156" w:afterLines="100" w:after="312" w:line="600" w:lineRule="exact"/>
        <w:jc w:val="center"/>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第三节  加强森林生态保护建设</w:t>
      </w:r>
    </w:p>
    <w:p w:rsidR="00D92198" w:rsidRDefault="00AE1128" w:rsidP="00A61652">
      <w:pPr>
        <w:spacing w:afterLines="100" w:after="312" w:line="600" w:lineRule="exact"/>
        <w:ind w:firstLineChars="200" w:firstLine="640"/>
        <w:rPr>
          <w:rFonts w:ascii="仿宋_GB2312" w:eastAsia="仿宋_GB2312" w:hAnsi="仿宋_GB2312" w:cs="仿宋_GB2312"/>
          <w:sz w:val="32"/>
          <w:szCs w:val="32"/>
        </w:rPr>
      </w:pPr>
      <w:r>
        <w:rPr>
          <w:rFonts w:ascii="仿宋_GB2312" w:eastAsia="仿宋_GB2312" w:hint="eastAsia"/>
          <w:sz w:val="32"/>
          <w:szCs w:val="32"/>
        </w:rPr>
        <w:t>加大秦岭-伏牛山、桐柏山-大别山生物多样性保护优先区生态环保力度，加强野生动植物保护管理，系统推进自然保护区、森林公园、地质公园等自然保护地建设，构筑安全稳固的生态屏障。推行林长制，</w:t>
      </w:r>
      <w:r>
        <w:rPr>
          <w:rFonts w:ascii="仿宋_GB2312" w:eastAsia="仿宋_GB2312" w:hAnsi="仿宋_GB2312" w:cs="仿宋_GB2312" w:hint="eastAsia"/>
          <w:sz w:val="32"/>
          <w:szCs w:val="32"/>
        </w:rPr>
        <w:t>严格保护林地资源，分级分类进行林地用途管制，严格控制林地转化为其他用途土地。实施新一轮退耕还林。加快实施高速、国道、铁路、南水北调沿线等主要廊道绿化工程，同步推进重要支流、省县道等廊道绿化工程。</w:t>
      </w:r>
      <w:r>
        <w:rPr>
          <w:rFonts w:ascii="仿宋_GB2312" w:eastAsia="仿宋_GB2312" w:hint="eastAsia"/>
          <w:sz w:val="32"/>
          <w:szCs w:val="32"/>
        </w:rPr>
        <w:t>深入开展森林城市、森林乡村创建活动，打造山区森林化、平原林网化、城市园林化、乡村林果化、廊道林荫化、庭院花园化的绿化格局，建设森林南阳。加快推进伏牛山自然保护地保护修复及监测体系建设</w:t>
      </w:r>
      <w:r>
        <w:rPr>
          <w:rFonts w:ascii="仿宋_GB2312" w:eastAsia="仿宋_GB2312" w:hAnsi="仿宋_GB2312" w:cs="仿宋_GB2312" w:hint="eastAsia"/>
          <w:sz w:val="32"/>
          <w:szCs w:val="32"/>
        </w:rPr>
        <w:t>。</w:t>
      </w:r>
      <w:r>
        <w:rPr>
          <w:rFonts w:ascii="仿宋_GB2312" w:eastAsia="仿宋_GB2312" w:hint="eastAsia"/>
          <w:sz w:val="32"/>
          <w:szCs w:val="32"/>
        </w:rPr>
        <w:t>加快绿色矿山建设步伐，建立最严格的矿山准入和退出机制。</w:t>
      </w:r>
    </w:p>
    <w:p w:rsidR="00D92198" w:rsidRDefault="00AE1128" w:rsidP="00A61652">
      <w:pPr>
        <w:pStyle w:val="2"/>
        <w:spacing w:afterLines="100" w:after="312"/>
        <w:ind w:firstLineChars="0" w:firstLine="0"/>
        <w:jc w:val="center"/>
        <w:rPr>
          <w:rFonts w:ascii="黑体" w:hAnsi="黑体"/>
          <w:bCs/>
          <w:szCs w:val="32"/>
        </w:rPr>
      </w:pPr>
      <w:bookmarkStart w:id="72" w:name="_Toc27387689"/>
      <w:bookmarkEnd w:id="70"/>
      <w:r>
        <w:rPr>
          <w:rFonts w:ascii="黑体" w:hAnsi="黑体" w:hint="eastAsia"/>
          <w:bCs/>
          <w:szCs w:val="32"/>
        </w:rPr>
        <w:t xml:space="preserve">第三十九章  </w:t>
      </w:r>
      <w:bookmarkStart w:id="73" w:name="_Hlk58742076"/>
      <w:bookmarkEnd w:id="72"/>
      <w:r>
        <w:rPr>
          <w:rFonts w:ascii="黑体" w:hAnsi="黑体" w:hint="eastAsia"/>
          <w:bCs/>
          <w:szCs w:val="32"/>
        </w:rPr>
        <w:t>持续改善环境质量</w:t>
      </w:r>
    </w:p>
    <w:p w:rsidR="00D92198" w:rsidRDefault="00AE1128" w:rsidP="00A61652">
      <w:pPr>
        <w:spacing w:afterLines="100" w:after="312" w:line="600" w:lineRule="exact"/>
        <w:ind w:firstLineChars="200" w:firstLine="640"/>
        <w:rPr>
          <w:rFonts w:ascii="仿宋_GB2312" w:eastAsia="仿宋_GB2312"/>
          <w:sz w:val="32"/>
          <w:szCs w:val="32"/>
        </w:rPr>
      </w:pPr>
      <w:bookmarkStart w:id="74" w:name="_Hlk58742704"/>
      <w:r>
        <w:rPr>
          <w:rFonts w:ascii="仿宋_GB2312" w:eastAsia="仿宋_GB2312" w:hint="eastAsia"/>
          <w:sz w:val="32"/>
          <w:szCs w:val="32"/>
        </w:rPr>
        <w:t>坚持源头严控、过程严管、末端严治，深入打好污染防治攻坚战，遏制增量、消化存量、恢复生态，实现人与自然和谐发展。</w:t>
      </w:r>
    </w:p>
    <w:bookmarkEnd w:id="74"/>
    <w:p w:rsidR="00D92198" w:rsidRDefault="00AE1128" w:rsidP="00A61652">
      <w:pPr>
        <w:pStyle w:val="2"/>
        <w:spacing w:afterLines="100" w:after="312"/>
        <w:ind w:firstLineChars="0" w:firstLine="0"/>
        <w:jc w:val="center"/>
        <w:rPr>
          <w:rFonts w:ascii="楷体_GB2312" w:eastAsia="楷体_GB2312" w:hAnsi="仿宋"/>
          <w:b/>
          <w:szCs w:val="32"/>
        </w:rPr>
      </w:pPr>
      <w:r>
        <w:rPr>
          <w:rFonts w:ascii="楷体_GB2312" w:eastAsia="楷体_GB2312" w:hAnsi="仿宋" w:hint="eastAsia"/>
          <w:b/>
          <w:szCs w:val="32"/>
        </w:rPr>
        <w:lastRenderedPageBreak/>
        <w:t>第一节   加强大气污染防治</w:t>
      </w:r>
    </w:p>
    <w:p w:rsidR="00D92198" w:rsidRDefault="00AE1128" w:rsidP="00A61652">
      <w:pPr>
        <w:pStyle w:val="2"/>
        <w:spacing w:afterLines="100" w:after="312"/>
        <w:ind w:firstLine="640"/>
        <w:rPr>
          <w:rFonts w:ascii="仿宋_GB2312" w:eastAsia="仿宋_GB2312"/>
          <w:szCs w:val="32"/>
        </w:rPr>
      </w:pPr>
      <w:r>
        <w:rPr>
          <w:rFonts w:ascii="仿宋_GB2312" w:eastAsia="仿宋_GB2312" w:hint="eastAsia"/>
          <w:szCs w:val="32"/>
        </w:rPr>
        <w:t>深入推进大气污染防治攻坚战，突出抓好工业企业、扬尘、汽车尾气等多污染源综合防控，</w:t>
      </w:r>
      <w:r>
        <w:rPr>
          <w:rFonts w:ascii="仿宋_GB2312" w:eastAsia="仿宋_GB2312" w:hAnsi="仿宋_GB2312" w:cs="仿宋_GB2312" w:hint="eastAsia"/>
          <w:szCs w:val="32"/>
        </w:rPr>
        <w:t>加强细颗粒物和臭氧协同控制，基本消除重污染天气</w:t>
      </w:r>
      <w:r>
        <w:rPr>
          <w:rFonts w:ascii="仿宋_GB2312" w:eastAsia="仿宋_GB2312" w:hint="eastAsia"/>
          <w:szCs w:val="32"/>
        </w:rPr>
        <w:t>。推动城市社会生活源和扬尘大气污染防治，开展城区餐饮业油烟污染综合整治，推进餐饮服务经营场所安装高效油烟净化设施，严禁露天烧烤，严禁在城区、城郊焚烧和燃烧各种产生烟尘、有毒有害恶臭或强烈异味气体的物质。加强工地扬尘环境监管，积极推进绿色施工。加强农村面源污染综合整治，减少农业源氨挥发。大力发展绿色交通，实施城市交通公交优先发展战略，积极推广纯电动等新能源汽车。</w:t>
      </w:r>
    </w:p>
    <w:p w:rsidR="00D92198" w:rsidRDefault="00AE1128" w:rsidP="00A61652">
      <w:pPr>
        <w:pStyle w:val="2"/>
        <w:spacing w:afterLines="100" w:after="312"/>
        <w:ind w:firstLineChars="0" w:firstLine="0"/>
        <w:jc w:val="center"/>
        <w:rPr>
          <w:rFonts w:ascii="楷体_GB2312" w:eastAsia="楷体_GB2312" w:hAnsi="仿宋"/>
          <w:b/>
          <w:szCs w:val="32"/>
        </w:rPr>
      </w:pPr>
      <w:r>
        <w:rPr>
          <w:rFonts w:ascii="楷体_GB2312" w:eastAsia="楷体_GB2312" w:hAnsi="仿宋" w:hint="eastAsia"/>
          <w:b/>
          <w:szCs w:val="32"/>
        </w:rPr>
        <w:t>第二节  加强水污染防治</w:t>
      </w:r>
    </w:p>
    <w:p w:rsidR="00D92198" w:rsidRDefault="00AE1128" w:rsidP="00A61652">
      <w:pPr>
        <w:pStyle w:val="2"/>
        <w:spacing w:afterLines="100" w:after="312"/>
        <w:ind w:firstLine="640"/>
        <w:rPr>
          <w:rFonts w:ascii="仿宋_GB2312" w:eastAsia="仿宋_GB2312"/>
          <w:szCs w:val="32"/>
        </w:rPr>
      </w:pPr>
      <w:r>
        <w:rPr>
          <w:rFonts w:ascii="仿宋_GB2312" w:eastAsia="仿宋_GB2312" w:hint="eastAsia"/>
          <w:szCs w:val="32"/>
        </w:rPr>
        <w:t>深化河长制“四制四化”模式和“河长</w:t>
      </w:r>
      <w:r>
        <w:rPr>
          <w:rFonts w:ascii="仿宋_GB2312" w:eastAsia="仿宋_GB2312"/>
          <w:szCs w:val="32"/>
        </w:rPr>
        <w:t>+</w:t>
      </w:r>
      <w:r>
        <w:rPr>
          <w:rFonts w:ascii="仿宋_GB2312" w:eastAsia="仿宋_GB2312" w:hint="eastAsia"/>
          <w:szCs w:val="32"/>
        </w:rPr>
        <w:t>检察长</w:t>
      </w:r>
      <w:r>
        <w:rPr>
          <w:rFonts w:ascii="仿宋_GB2312" w:eastAsia="仿宋_GB2312"/>
          <w:szCs w:val="32"/>
        </w:rPr>
        <w:t>+</w:t>
      </w:r>
      <w:r>
        <w:rPr>
          <w:rFonts w:ascii="仿宋_GB2312" w:eastAsia="仿宋_GB2312" w:hint="eastAsia"/>
          <w:szCs w:val="32"/>
        </w:rPr>
        <w:t>警长”制改革，持续开展河湖“清四乱”专项行动。完善河湖控制单元达标管理体系，消减水污染物排放总量，稳定消除劣V类水体。加强城市河道截污管网配套、排污口整治和清淤疏浚，推进城镇污水管网全覆盖，消除城市建成区黑臭水体。加大集中式饮用水水源地保护管理力度，清理整治保护区内污染源，加强饮用水水源地环境风险防范和应急预警，建立跨区域和上下游沟通联动机制，防范突发性水污染事件。推进水污染物减排，完</w:t>
      </w:r>
      <w:r>
        <w:rPr>
          <w:rFonts w:ascii="仿宋_GB2312" w:eastAsia="仿宋_GB2312" w:hint="eastAsia"/>
          <w:szCs w:val="32"/>
        </w:rPr>
        <w:lastRenderedPageBreak/>
        <w:t>善流域内环境保护基础设施，加强污水处理厂及配套管网建设和维护，推进沿河乡镇生活污水治理设施建设，健全乡镇集中污水处理设施运行经费保障和收费运营机制。</w:t>
      </w:r>
    </w:p>
    <w:p w:rsidR="00D92198" w:rsidRDefault="00AE1128" w:rsidP="00A61652">
      <w:pPr>
        <w:pStyle w:val="2"/>
        <w:spacing w:afterLines="100" w:after="312"/>
        <w:ind w:firstLineChars="0" w:firstLine="0"/>
        <w:jc w:val="center"/>
        <w:rPr>
          <w:rFonts w:ascii="楷体_GB2312" w:eastAsia="楷体_GB2312" w:hAnsi="仿宋"/>
          <w:b/>
          <w:szCs w:val="32"/>
        </w:rPr>
      </w:pPr>
      <w:r>
        <w:rPr>
          <w:rFonts w:ascii="楷体_GB2312" w:eastAsia="楷体_GB2312" w:hAnsi="仿宋" w:hint="eastAsia"/>
          <w:b/>
          <w:szCs w:val="32"/>
        </w:rPr>
        <w:t>第三节  加强土壤污染防治</w:t>
      </w:r>
    </w:p>
    <w:p w:rsidR="00D92198" w:rsidRDefault="00AE1128" w:rsidP="00A61652">
      <w:pPr>
        <w:pStyle w:val="2"/>
        <w:spacing w:afterLines="100" w:after="312"/>
        <w:ind w:firstLine="640"/>
        <w:rPr>
          <w:rFonts w:ascii="仿宋_GB2312" w:eastAsia="仿宋_GB2312"/>
          <w:szCs w:val="32"/>
        </w:rPr>
      </w:pPr>
      <w:r>
        <w:rPr>
          <w:rFonts w:ascii="仿宋_GB2312" w:eastAsia="仿宋_GB2312" w:hint="eastAsia"/>
          <w:szCs w:val="32"/>
        </w:rPr>
        <w:t>严格农用地土壤分类管理和监测监控，以典型工矿企业周边农区、污水灌区、城市郊区、高集约化蔬菜基地、南水北调中线工程水源地及输水干渠沿线为重点区域，制定土壤污染治理与修复规划，采取农艺调控、退耕还林还草、用途管制等措施，开展受污染农用地治理与修复。探索建立土壤污染源头预防、风险管控、治理与修复、动态监管等土壤质量防控体系。推进化肥农药减量增效行动，建立健全秸杆、畜禽粪污等农业废弃物处理处置和资源化利用体系。严格建设用地土壤污染风险管控，强化建设用地准入管理，依法依规更新污染地块名录，建设用地土壤污染风险管控和修复名录，加强对暂不开发利用地块风险管控。加强白色污染治理，推广使用聚乳酸等生物降解材料制品。严格危险化学品生产企业管理、加强危险废物、医疗废物收集处理、核与辐射安全监管，重视新污染物治理，全面实行排污许可制。加强地下水污染防治、地下水污染源头预防和管控，保障地下水型饮用水水源环境安全。</w:t>
      </w:r>
    </w:p>
    <w:bookmarkEnd w:id="73"/>
    <w:p w:rsidR="00D92198" w:rsidRDefault="00AE1128" w:rsidP="00A61652">
      <w:pPr>
        <w:pStyle w:val="2"/>
        <w:spacing w:afterLines="100" w:after="312"/>
        <w:ind w:firstLineChars="0" w:firstLine="0"/>
        <w:jc w:val="center"/>
        <w:rPr>
          <w:rFonts w:ascii="黑体" w:hAnsi="黑体"/>
          <w:bCs/>
          <w:szCs w:val="32"/>
        </w:rPr>
      </w:pPr>
      <w:r>
        <w:rPr>
          <w:rFonts w:ascii="黑体" w:hAnsi="黑体" w:hint="eastAsia"/>
          <w:bCs/>
          <w:szCs w:val="32"/>
        </w:rPr>
        <w:lastRenderedPageBreak/>
        <w:t xml:space="preserve">第四十章   </w:t>
      </w:r>
      <w:bookmarkStart w:id="75" w:name="_Hlk58742915"/>
      <w:r>
        <w:rPr>
          <w:rFonts w:ascii="黑体" w:hAnsi="黑体" w:hint="eastAsia"/>
          <w:bCs/>
          <w:szCs w:val="32"/>
        </w:rPr>
        <w:t>促进资源节约循环利用</w:t>
      </w:r>
    </w:p>
    <w:p w:rsidR="00D92198" w:rsidRDefault="00AE1128" w:rsidP="00A61652">
      <w:pPr>
        <w:pStyle w:val="2"/>
        <w:spacing w:afterLines="100" w:after="312"/>
        <w:ind w:firstLine="640"/>
        <w:rPr>
          <w:rFonts w:ascii="仿宋_GB2312" w:eastAsia="仿宋_GB2312"/>
          <w:szCs w:val="32"/>
        </w:rPr>
      </w:pPr>
      <w:r>
        <w:rPr>
          <w:rFonts w:ascii="仿宋_GB2312" w:eastAsia="仿宋_GB2312" w:hint="eastAsia"/>
          <w:szCs w:val="32"/>
        </w:rPr>
        <w:t>加强资源节约全过程管理，强化指标约束，优化产业结构、能源结构、运输结构、用地结构和农业投入结构，打造绿色低碳循环发展的经济体系。大幅度降低能源、水、土地和矿产资源消耗强度。</w:t>
      </w:r>
    </w:p>
    <w:p w:rsidR="00D92198" w:rsidRDefault="00AE1128" w:rsidP="00A61652">
      <w:pPr>
        <w:pStyle w:val="2"/>
        <w:spacing w:afterLines="100" w:after="312"/>
        <w:ind w:firstLineChars="0" w:firstLine="0"/>
        <w:jc w:val="center"/>
        <w:rPr>
          <w:rFonts w:ascii="楷体_GB2312" w:eastAsia="楷体_GB2312"/>
          <w:b/>
          <w:bCs/>
          <w:szCs w:val="32"/>
        </w:rPr>
      </w:pPr>
      <w:r>
        <w:rPr>
          <w:rFonts w:ascii="楷体_GB2312" w:eastAsia="楷体_GB2312" w:hint="eastAsia"/>
          <w:b/>
          <w:bCs/>
          <w:szCs w:val="32"/>
        </w:rPr>
        <w:t>第一节  提高资源利用效率</w:t>
      </w:r>
    </w:p>
    <w:p w:rsidR="00D92198" w:rsidRDefault="00AE1128" w:rsidP="00A61652">
      <w:pPr>
        <w:pStyle w:val="2"/>
        <w:spacing w:afterLines="100" w:after="312"/>
        <w:ind w:firstLine="640"/>
        <w:jc w:val="both"/>
        <w:rPr>
          <w:rFonts w:ascii="仿宋_GB2312" w:eastAsia="仿宋_GB2312"/>
          <w:szCs w:val="32"/>
        </w:rPr>
      </w:pPr>
      <w:r>
        <w:rPr>
          <w:rFonts w:ascii="仿宋_GB2312" w:eastAsia="仿宋_GB2312" w:hint="eastAsia"/>
          <w:szCs w:val="32"/>
        </w:rPr>
        <w:t>完善能源消费强度控制和总量弹性控制制度，全面推动能源节约。落实绿色产业指导目录，大力发展节能环保、清洁能源及低耗水产业。实施节能低碳行动，强化重点耗能行业和重点用能单位节能管理。实施绿色建筑行动，执行绿色建筑标准，推广建筑工业化模式。严格水资源消费总量和强度双控，加快农业、工业、城镇供水管网节水改造，推广节水技术和高效节水产品，加快推进雨水、再生水等非常规水利用。调整建设用地结构，推进城镇低效用地再开发和工矿废弃地复垦，严格控制农村集体建设用地规模。推广应用节地技术和模式，推进建设用地多功能开发、地上地下立体开发综合利用。实施矿产资源节约与综合利用先进技术推广示范工程，提高矿产资源开采回采率、选矿回收率和综合利用率。健全自然资源资产产权制度，推动生态产品价值实现，推进市场化、多元化生态补偿，</w:t>
      </w:r>
      <w:r>
        <w:rPr>
          <w:rFonts w:ascii="仿宋_GB2312" w:eastAsia="仿宋_GB2312" w:hint="eastAsia"/>
          <w:szCs w:val="32"/>
        </w:rPr>
        <w:lastRenderedPageBreak/>
        <w:t>全面提高资源利用效率。</w:t>
      </w:r>
    </w:p>
    <w:p w:rsidR="00D92198" w:rsidRDefault="00AE1128" w:rsidP="00A61652">
      <w:pPr>
        <w:pStyle w:val="2"/>
        <w:spacing w:afterLines="100" w:after="312"/>
        <w:ind w:firstLineChars="0" w:firstLine="0"/>
        <w:jc w:val="center"/>
        <w:rPr>
          <w:rFonts w:ascii="楷体_GB2312" w:eastAsia="楷体_GB2312" w:hAnsi="仿宋_GB2312" w:cs="仿宋_GB2312"/>
          <w:b/>
          <w:szCs w:val="32"/>
        </w:rPr>
      </w:pPr>
      <w:r>
        <w:rPr>
          <w:rFonts w:ascii="楷体_GB2312" w:eastAsia="楷体_GB2312" w:hAnsi="仿宋_GB2312" w:cs="仿宋_GB2312" w:hint="eastAsia"/>
          <w:b/>
          <w:szCs w:val="32"/>
        </w:rPr>
        <w:t>第二节  大力发展低碳循环经济</w:t>
      </w:r>
    </w:p>
    <w:p w:rsidR="00D92198" w:rsidRDefault="00AE1128" w:rsidP="00A61652">
      <w:pPr>
        <w:pStyle w:val="2"/>
        <w:spacing w:afterLines="100" w:after="312"/>
        <w:ind w:firstLine="640"/>
        <w:jc w:val="both"/>
        <w:rPr>
          <w:rFonts w:ascii="仿宋_GB2312" w:eastAsia="仿宋_GB2312"/>
          <w:szCs w:val="32"/>
        </w:rPr>
      </w:pPr>
      <w:r>
        <w:rPr>
          <w:rFonts w:ascii="仿宋_GB2312" w:eastAsia="仿宋_GB2312" w:hint="eastAsia"/>
          <w:szCs w:val="32"/>
        </w:rPr>
        <w:t>按照“资源-产品-废弃物-再生资源”循环利用模式，采用资源节约替代、循环利用、零排放等技术，提高资源综合利用水平。完善循环经济产业链，推动静脉产业园提质发展，加快构建废旧物资循环利用体系，以产业集聚区为重点，强化不同行业间和上下游企业间原料产品互供、能源资源协同利用，推广使用再生产品和再生原料，加强企业、园区、城市间能源资源等设施共建共享。充分利用清洁发展机制和合同能源管理，推进工业、建筑、公共机构等节能工程建设，推广使用高效节能产品和节水器具。制定二〇三〇年前碳排放达峰行动方案，加快低碳技术引进、研发、示范和产业化步伐，增加森林、土壤、绿地、湿地等固碳水平，鼓励企业开展低碳体系、低碳产品认证试点，开展碳捕捉和封存技术新模式，加强碳减排统计、核查、监管等基础能力建设，逐步降低碳排放强度，力争如期实现碳中和刚性目标。</w:t>
      </w:r>
    </w:p>
    <w:p w:rsidR="00D92198" w:rsidRDefault="00AE1128" w:rsidP="00A61652">
      <w:pPr>
        <w:spacing w:afterLines="100" w:after="312" w:line="600" w:lineRule="exact"/>
        <w:jc w:val="center"/>
        <w:rPr>
          <w:rFonts w:ascii="楷体_GB2312" w:eastAsia="楷体_GB2312" w:hAnsi="仿宋_GB2312" w:cs="仿宋_GB2312"/>
          <w:b/>
          <w:kern w:val="0"/>
          <w:sz w:val="32"/>
          <w:szCs w:val="32"/>
        </w:rPr>
      </w:pPr>
      <w:r>
        <w:rPr>
          <w:rFonts w:ascii="楷体_GB2312" w:eastAsia="楷体_GB2312" w:hAnsi="仿宋_GB2312" w:cs="仿宋_GB2312" w:hint="eastAsia"/>
          <w:b/>
          <w:kern w:val="0"/>
          <w:sz w:val="32"/>
          <w:szCs w:val="32"/>
        </w:rPr>
        <w:t>第三节  培育绿色生活方式</w:t>
      </w:r>
    </w:p>
    <w:p w:rsidR="00D92198" w:rsidRDefault="00AE1128" w:rsidP="00A61652">
      <w:pPr>
        <w:pStyle w:val="2"/>
        <w:spacing w:afterLines="100" w:after="312"/>
        <w:ind w:firstLine="640"/>
        <w:rPr>
          <w:rFonts w:ascii="仿宋_GB2312" w:eastAsia="仿宋_GB2312"/>
          <w:szCs w:val="32"/>
        </w:rPr>
      </w:pPr>
      <w:r>
        <w:rPr>
          <w:rFonts w:ascii="仿宋_GB2312" w:eastAsia="仿宋_GB2312" w:hint="eastAsia"/>
          <w:szCs w:val="32"/>
        </w:rPr>
        <w:t>积极开展绿色消费行动，引导居民选择原生态、低污染、低消耗绿色产品，引导企业选择必需型、健康型、生态化生产</w:t>
      </w:r>
      <w:r>
        <w:rPr>
          <w:rFonts w:ascii="仿宋_GB2312" w:eastAsia="仿宋_GB2312" w:hint="eastAsia"/>
          <w:szCs w:val="32"/>
        </w:rPr>
        <w:lastRenderedPageBreak/>
        <w:t>消费方式，逐步形成科学合理的消费结构。加强生态文明宣传教育，开展世界环境日、世界水日、节能宣传月等主题宣传，发布生活方式绿色化指南，引导公众积极践行绿色简约生活和低碳休闲模式。倡导文明用餐、节俭消费，坚决制止餐饮浪费行为。推行垃圾分类和减量化、资源化，建立健全分类收运、回收和处理体系。</w:t>
      </w:r>
      <w:bookmarkStart w:id="76" w:name="_Toc27387690"/>
      <w:r>
        <w:rPr>
          <w:rFonts w:ascii="仿宋_GB2312" w:eastAsia="仿宋_GB2312" w:hint="eastAsia"/>
          <w:szCs w:val="32"/>
        </w:rPr>
        <w:t>鼓励绿色产品消费，扩大政府绿色采购规模。</w:t>
      </w:r>
    </w:p>
    <w:p w:rsidR="00D92198" w:rsidRDefault="00AE1128" w:rsidP="00A61652">
      <w:pPr>
        <w:spacing w:afterLines="100" w:after="312" w:line="600" w:lineRule="exact"/>
        <w:jc w:val="center"/>
        <w:rPr>
          <w:rFonts w:ascii="楷体_GB2312" w:eastAsia="楷体_GB2312" w:hAnsi="仿宋"/>
          <w:b/>
          <w:sz w:val="32"/>
          <w:szCs w:val="32"/>
        </w:rPr>
      </w:pPr>
      <w:bookmarkStart w:id="77" w:name="_Hlk58743681"/>
      <w:bookmarkEnd w:id="75"/>
      <w:r>
        <w:rPr>
          <w:rFonts w:ascii="楷体_GB2312" w:eastAsia="楷体_GB2312" w:hAnsi="仿宋" w:hint="eastAsia"/>
          <w:b/>
          <w:sz w:val="32"/>
          <w:szCs w:val="32"/>
        </w:rPr>
        <w:t>第四节 健全绿色发展政策</w:t>
      </w:r>
      <w:bookmarkEnd w:id="76"/>
    </w:p>
    <w:p w:rsidR="00D92198" w:rsidRDefault="00AE1128" w:rsidP="00A61652">
      <w:pPr>
        <w:spacing w:afterLines="100" w:after="312" w:line="600" w:lineRule="exact"/>
        <w:ind w:firstLineChars="200" w:firstLine="640"/>
        <w:jc w:val="left"/>
        <w:rPr>
          <w:rFonts w:ascii="仿宋_GB2312" w:eastAsia="仿宋_GB2312" w:hAnsi="Times New Roman"/>
          <w:kern w:val="0"/>
          <w:sz w:val="32"/>
          <w:szCs w:val="32"/>
        </w:rPr>
      </w:pPr>
      <w:r>
        <w:rPr>
          <w:rFonts w:ascii="仿宋_GB2312" w:eastAsia="仿宋_GB2312" w:hAnsi="Times New Roman" w:hint="eastAsia"/>
          <w:kern w:val="0"/>
          <w:sz w:val="32"/>
          <w:szCs w:val="32"/>
        </w:rPr>
        <w:t>建立健全资源有偿使用制度和市场化、多元化补偿机制，实施更加严格的生态环境损害赔偿制度。完善实施差别化电价、峰谷分时电价和居民用水、电、气阶梯价格政策，全面推行城镇非居民用水超定额累进加价政策，有序放开具备竞争条件的上网电价和公益性以外的销售电价、非居民用天然气价格，推进居民供热分户计量改造和按用热量计价收费制度。完善污水、垃圾、危险废物处理收费政策和收费标准动态调整机制。推行合同能源管理、环境污染第三方治理以及排污权和水权交易等市场化机制，引入社会资本参与建设环境保护重点工程。</w:t>
      </w:r>
      <w:bookmarkStart w:id="78" w:name="_Hlk59031308"/>
      <w:bookmarkEnd w:id="77"/>
    </w:p>
    <w:tbl>
      <w:tblPr>
        <w:tblpPr w:leftFromText="180" w:rightFromText="180" w:vertAnchor="text" w:horzAnchor="margin" w:tblpY="1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0"/>
      </w:tblGrid>
      <w:tr w:rsidR="00D92198">
        <w:trPr>
          <w:trHeight w:val="461"/>
        </w:trPr>
        <w:tc>
          <w:tcPr>
            <w:tcW w:w="0" w:type="auto"/>
            <w:vAlign w:val="center"/>
          </w:tcPr>
          <w:p w:rsidR="00D92198" w:rsidRDefault="00AE1128">
            <w:pPr>
              <w:spacing w:line="600" w:lineRule="exact"/>
              <w:ind w:firstLineChars="100" w:firstLine="300"/>
              <w:jc w:val="center"/>
              <w:rPr>
                <w:rFonts w:ascii="黑体" w:eastAsia="黑体" w:hAnsi="黑体" w:cs="宋体"/>
                <w:bCs/>
                <w:kern w:val="0"/>
                <w:sz w:val="30"/>
                <w:szCs w:val="30"/>
              </w:rPr>
            </w:pPr>
            <w:r>
              <w:rPr>
                <w:rFonts w:ascii="黑体" w:eastAsia="黑体" w:hAnsi="黑体" w:cs="宋体" w:hint="eastAsia"/>
                <w:bCs/>
                <w:kern w:val="0"/>
                <w:sz w:val="30"/>
                <w:szCs w:val="30"/>
              </w:rPr>
              <w:t>专栏9：生态文明建设重点工程</w:t>
            </w:r>
          </w:p>
        </w:tc>
      </w:tr>
      <w:tr w:rsidR="00D92198">
        <w:trPr>
          <w:trHeight w:val="296"/>
        </w:trPr>
        <w:tc>
          <w:tcPr>
            <w:tcW w:w="0" w:type="auto"/>
          </w:tcPr>
          <w:p w:rsidR="00D92198" w:rsidRDefault="00AE1128">
            <w:pPr>
              <w:spacing w:line="500" w:lineRule="exact"/>
              <w:ind w:firstLineChars="200" w:firstLine="562"/>
              <w:rPr>
                <w:rFonts w:ascii="楷体_GB2312" w:eastAsia="楷体_GB2312" w:hAnsi="宋体" w:cs="宋体"/>
                <w:b/>
                <w:bCs/>
                <w:kern w:val="0"/>
                <w:sz w:val="28"/>
                <w:szCs w:val="28"/>
              </w:rPr>
            </w:pPr>
            <w:r>
              <w:rPr>
                <w:rFonts w:ascii="楷体_GB2312" w:eastAsia="楷体_GB2312" w:hAnsi="宋体" w:cs="宋体" w:hint="eastAsia"/>
                <w:b/>
                <w:bCs/>
                <w:kern w:val="0"/>
                <w:sz w:val="28"/>
                <w:szCs w:val="28"/>
              </w:rPr>
              <w:t>1.生态空间建设工程</w:t>
            </w:r>
          </w:p>
          <w:p w:rsidR="00D92198" w:rsidRDefault="00AE1128">
            <w:pPr>
              <w:spacing w:line="500" w:lineRule="exact"/>
              <w:ind w:firstLineChars="200" w:firstLine="562"/>
              <w:rPr>
                <w:rFonts w:ascii="仿宋_GB2312" w:eastAsia="仿宋_GB2312"/>
                <w:sz w:val="28"/>
                <w:szCs w:val="28"/>
              </w:rPr>
            </w:pPr>
            <w:r>
              <w:rPr>
                <w:rFonts w:ascii="仿宋_GB2312" w:eastAsia="仿宋_GB2312" w:hAnsi="宋体" w:cs="宋体" w:hint="eastAsia"/>
                <w:b/>
                <w:bCs/>
                <w:kern w:val="0"/>
                <w:sz w:val="28"/>
                <w:szCs w:val="28"/>
              </w:rPr>
              <w:t>重点生态功能区建设工程：</w:t>
            </w:r>
            <w:r>
              <w:rPr>
                <w:rFonts w:ascii="仿宋_GB2312" w:eastAsia="仿宋_GB2312" w:hint="eastAsia"/>
                <w:sz w:val="28"/>
                <w:szCs w:val="28"/>
              </w:rPr>
              <w:t>按照山区造林、通道造林、城镇绿化的</w:t>
            </w:r>
            <w:r>
              <w:rPr>
                <w:rFonts w:ascii="仿宋_GB2312" w:eastAsia="仿宋_GB2312" w:hint="eastAsia"/>
                <w:sz w:val="28"/>
                <w:szCs w:val="28"/>
              </w:rPr>
              <w:lastRenderedPageBreak/>
              <w:t>方式，打造“一核三区一网多点”的生态空间格局，包括国储林项目、森林河南生态建设工程等。</w:t>
            </w:r>
          </w:p>
          <w:p w:rsidR="00D92198" w:rsidRDefault="00AE1128">
            <w:pPr>
              <w:spacing w:line="500" w:lineRule="exact"/>
              <w:ind w:firstLineChars="200" w:firstLine="562"/>
              <w:rPr>
                <w:rFonts w:ascii="仿宋_GB2312" w:eastAsia="仿宋_GB2312"/>
                <w:sz w:val="28"/>
                <w:szCs w:val="28"/>
              </w:rPr>
            </w:pPr>
            <w:r>
              <w:rPr>
                <w:rFonts w:ascii="仿宋_GB2312" w:eastAsia="仿宋_GB2312" w:hAnsi="宋体" w:cs="宋体" w:hint="eastAsia"/>
                <w:b/>
                <w:bCs/>
                <w:kern w:val="0"/>
                <w:sz w:val="28"/>
                <w:szCs w:val="28"/>
              </w:rPr>
              <w:t>生态红线区综合整治工程：</w:t>
            </w:r>
            <w:r>
              <w:rPr>
                <w:rFonts w:ascii="仿宋_GB2312" w:eastAsia="仿宋_GB2312" w:hint="eastAsia"/>
                <w:sz w:val="28"/>
                <w:szCs w:val="28"/>
              </w:rPr>
              <w:t>对生态红线区域进行综合整治，逐步拆除红线区内违法建筑，加强红线区日常监察执法，严格保护生态红线。</w:t>
            </w:r>
          </w:p>
          <w:p w:rsidR="00D92198" w:rsidRDefault="00AE1128">
            <w:pPr>
              <w:spacing w:line="500" w:lineRule="exact"/>
              <w:ind w:firstLineChars="200" w:firstLine="562"/>
              <w:rPr>
                <w:rFonts w:ascii="仿宋_GB2312" w:eastAsia="仿宋_GB2312"/>
                <w:sz w:val="28"/>
                <w:szCs w:val="28"/>
              </w:rPr>
            </w:pPr>
            <w:r>
              <w:rPr>
                <w:rFonts w:ascii="仿宋_GB2312" w:eastAsia="仿宋_GB2312" w:hAnsi="宋体" w:cs="宋体" w:hint="eastAsia"/>
                <w:b/>
                <w:bCs/>
                <w:kern w:val="0"/>
                <w:sz w:val="28"/>
                <w:szCs w:val="28"/>
              </w:rPr>
              <w:t>水域岸线规划建设：</w:t>
            </w:r>
            <w:r>
              <w:rPr>
                <w:rFonts w:ascii="仿宋_GB2312" w:eastAsia="仿宋_GB2312" w:hint="eastAsia"/>
                <w:sz w:val="28"/>
                <w:szCs w:val="28"/>
              </w:rPr>
              <w:t>开展淮河、白河、丹江、唐河等河道岸线保护与利用规划编制；依法划定河湖水域岸线管理保护范围及其范围内水利工程管理保护边界，明确河湖水域岸线管理保护界限、空间坐标。</w:t>
            </w:r>
          </w:p>
          <w:p w:rsidR="00D92198" w:rsidRDefault="00AE1128">
            <w:pPr>
              <w:spacing w:line="500" w:lineRule="exact"/>
              <w:ind w:firstLineChars="200" w:firstLine="562"/>
              <w:rPr>
                <w:rFonts w:ascii="仿宋_GB2312" w:eastAsia="仿宋_GB2312"/>
                <w:sz w:val="28"/>
                <w:szCs w:val="28"/>
              </w:rPr>
            </w:pPr>
            <w:r>
              <w:rPr>
                <w:rFonts w:ascii="仿宋_GB2312" w:eastAsia="仿宋_GB2312" w:hAnsi="宋体" w:cs="宋体" w:hint="eastAsia"/>
                <w:b/>
                <w:bCs/>
                <w:kern w:val="0"/>
                <w:sz w:val="28"/>
                <w:szCs w:val="28"/>
              </w:rPr>
              <w:t>河流湖库生态廊道建设工程：</w:t>
            </w:r>
            <w:r>
              <w:rPr>
                <w:rFonts w:ascii="仿宋_GB2312" w:eastAsia="仿宋_GB2312" w:hint="eastAsia"/>
                <w:sz w:val="28"/>
                <w:szCs w:val="28"/>
              </w:rPr>
              <w:t>重点加快市内主要河流水系生态廊道建设和硬质生态护岸改造，加强河流两岸生态用地和河道管制，保障河流洪水调蓄、水质维护等功能，维持河流生态系统健康稳定。</w:t>
            </w:r>
          </w:p>
          <w:p w:rsidR="00D92198" w:rsidRDefault="00AE1128">
            <w:pPr>
              <w:spacing w:line="500" w:lineRule="exact"/>
              <w:ind w:firstLineChars="200" w:firstLine="562"/>
              <w:rPr>
                <w:rFonts w:ascii="仿宋_GB2312" w:eastAsia="仿宋_GB2312"/>
                <w:sz w:val="28"/>
                <w:szCs w:val="28"/>
              </w:rPr>
            </w:pPr>
            <w:r>
              <w:rPr>
                <w:rFonts w:ascii="仿宋_GB2312" w:eastAsia="仿宋_GB2312" w:hAnsi="宋体" w:cs="宋体" w:hint="eastAsia"/>
                <w:b/>
                <w:bCs/>
                <w:kern w:val="0"/>
                <w:sz w:val="28"/>
                <w:szCs w:val="28"/>
              </w:rPr>
              <w:t>自然资源管理系统建设：</w:t>
            </w:r>
            <w:r>
              <w:rPr>
                <w:rFonts w:ascii="仿宋_GB2312" w:eastAsia="仿宋_GB2312" w:hint="eastAsia"/>
                <w:sz w:val="28"/>
                <w:szCs w:val="28"/>
              </w:rPr>
              <w:t>整合山水林田湖草等资源，建设统一的自然资源管理系统，形成界址清晰、权责明确的自然资源信息和管控平台。</w:t>
            </w:r>
          </w:p>
          <w:p w:rsidR="00D92198" w:rsidRDefault="00AE1128">
            <w:pPr>
              <w:spacing w:line="500" w:lineRule="exact"/>
              <w:ind w:firstLineChars="200" w:firstLine="562"/>
              <w:rPr>
                <w:rFonts w:ascii="仿宋_GB2312" w:eastAsia="仿宋_GB2312"/>
                <w:sz w:val="28"/>
                <w:szCs w:val="28"/>
              </w:rPr>
            </w:pPr>
            <w:r>
              <w:rPr>
                <w:rFonts w:ascii="仿宋_GB2312" w:eastAsia="仿宋_GB2312" w:hAnsi="宋体" w:cs="宋体" w:hint="eastAsia"/>
                <w:b/>
                <w:bCs/>
                <w:kern w:val="0"/>
                <w:sz w:val="28"/>
                <w:szCs w:val="28"/>
              </w:rPr>
              <w:t>水土流失治理项目：</w:t>
            </w:r>
            <w:r>
              <w:rPr>
                <w:rFonts w:ascii="仿宋_GB2312" w:eastAsia="仿宋_GB2312" w:hint="eastAsia"/>
                <w:sz w:val="28"/>
                <w:szCs w:val="28"/>
              </w:rPr>
              <w:t>积极开展水土流失形成机制及治理技术研究。采取工程和生物措施并举手段，实施小流域综合治理，大力推进流域水土保持综合防治。</w:t>
            </w:r>
          </w:p>
          <w:p w:rsidR="00D92198" w:rsidRDefault="00AE1128">
            <w:pPr>
              <w:spacing w:line="500" w:lineRule="exact"/>
              <w:ind w:firstLineChars="200" w:firstLine="562"/>
              <w:rPr>
                <w:rFonts w:ascii="楷体_GB2312" w:eastAsia="楷体_GB2312" w:hAnsi="宋体" w:cs="宋体"/>
                <w:b/>
                <w:bCs/>
                <w:kern w:val="0"/>
                <w:sz w:val="28"/>
                <w:szCs w:val="28"/>
              </w:rPr>
            </w:pPr>
            <w:r>
              <w:rPr>
                <w:rFonts w:ascii="楷体_GB2312" w:eastAsia="楷体_GB2312" w:hAnsi="宋体" w:cs="宋体" w:hint="eastAsia"/>
                <w:b/>
                <w:bCs/>
                <w:kern w:val="0"/>
                <w:sz w:val="28"/>
                <w:szCs w:val="28"/>
              </w:rPr>
              <w:t>2.生态安全工程</w:t>
            </w:r>
          </w:p>
          <w:p w:rsidR="00D92198" w:rsidRDefault="00AE1128">
            <w:pPr>
              <w:spacing w:line="500" w:lineRule="exact"/>
              <w:ind w:firstLineChars="200" w:firstLine="562"/>
              <w:rPr>
                <w:rFonts w:ascii="仿宋_GB2312" w:eastAsia="仿宋_GB2312"/>
                <w:sz w:val="28"/>
                <w:szCs w:val="28"/>
              </w:rPr>
            </w:pPr>
            <w:r>
              <w:rPr>
                <w:rFonts w:ascii="仿宋_GB2312" w:eastAsia="仿宋_GB2312" w:hAnsi="宋体" w:cs="宋体" w:hint="eastAsia"/>
                <w:b/>
                <w:bCs/>
                <w:kern w:val="0"/>
                <w:sz w:val="28"/>
                <w:szCs w:val="28"/>
              </w:rPr>
              <w:t>生态环境信息系统和平台建设：</w:t>
            </w:r>
            <w:r>
              <w:rPr>
                <w:rFonts w:ascii="仿宋_GB2312" w:eastAsia="仿宋_GB2312" w:hint="eastAsia"/>
                <w:sz w:val="28"/>
                <w:szCs w:val="28"/>
              </w:rPr>
              <w:t>利用物联网、云计算等智能化技术手段，将环保感知数据、业务数据、空间地理信息数据、视频数据等集中整合与交互共享，建设“南阳市生态环境信息系统”，构建“南阳市生态文明建设信息平台”，作为全市生态文明建设的权威信息发布中枢。</w:t>
            </w:r>
          </w:p>
          <w:p w:rsidR="00D92198" w:rsidRDefault="00AE1128">
            <w:pPr>
              <w:spacing w:line="500" w:lineRule="exact"/>
              <w:ind w:firstLineChars="200" w:firstLine="562"/>
              <w:rPr>
                <w:rFonts w:ascii="仿宋_GB2312" w:eastAsia="仿宋_GB2312"/>
                <w:sz w:val="28"/>
                <w:szCs w:val="28"/>
              </w:rPr>
            </w:pPr>
            <w:r>
              <w:rPr>
                <w:rFonts w:ascii="仿宋_GB2312" w:eastAsia="仿宋_GB2312" w:hAnsi="宋体" w:cs="宋体" w:hint="eastAsia"/>
                <w:b/>
                <w:bCs/>
                <w:kern w:val="0"/>
                <w:sz w:val="28"/>
                <w:szCs w:val="28"/>
              </w:rPr>
              <w:t>大气环境监测和应急预警能力建设：</w:t>
            </w:r>
            <w:r>
              <w:rPr>
                <w:rFonts w:ascii="仿宋_GB2312" w:eastAsia="仿宋_GB2312" w:hint="eastAsia"/>
                <w:sz w:val="28"/>
                <w:szCs w:val="28"/>
              </w:rPr>
              <w:t>构建覆盖城乡的全方位、多层次、广覆盖的大气环境监测网络，重点加大对细颗粒物（PM</w:t>
            </w:r>
            <w:r>
              <w:rPr>
                <w:rFonts w:ascii="仿宋_GB2312" w:eastAsia="仿宋_GB2312" w:hint="eastAsia"/>
                <w:sz w:val="28"/>
                <w:szCs w:val="28"/>
                <w:vertAlign w:val="subscript"/>
              </w:rPr>
              <w:t>2.5</w:t>
            </w:r>
            <w:r>
              <w:rPr>
                <w:rFonts w:ascii="仿宋_GB2312" w:eastAsia="仿宋_GB2312" w:hint="eastAsia"/>
                <w:sz w:val="28"/>
                <w:szCs w:val="28"/>
              </w:rPr>
              <w:t>）、灰霾、挥发性有机物等主要大气污染物的自动化监测网络建设。</w:t>
            </w:r>
          </w:p>
          <w:p w:rsidR="00D92198" w:rsidRDefault="00AE1128">
            <w:pPr>
              <w:spacing w:line="500" w:lineRule="exact"/>
              <w:ind w:firstLineChars="200" w:firstLine="562"/>
              <w:rPr>
                <w:rFonts w:ascii="仿宋_GB2312" w:eastAsia="仿宋_GB2312"/>
                <w:sz w:val="28"/>
                <w:szCs w:val="28"/>
              </w:rPr>
            </w:pPr>
            <w:r>
              <w:rPr>
                <w:rFonts w:ascii="仿宋_GB2312" w:eastAsia="仿宋_GB2312" w:hAnsi="宋体" w:cs="宋体" w:hint="eastAsia"/>
                <w:b/>
                <w:bCs/>
                <w:kern w:val="0"/>
                <w:sz w:val="28"/>
                <w:szCs w:val="28"/>
              </w:rPr>
              <w:t>水生态保护与修复工程：</w:t>
            </w:r>
            <w:r>
              <w:rPr>
                <w:rFonts w:ascii="仿宋_GB2312" w:eastAsia="仿宋_GB2312" w:hint="eastAsia"/>
                <w:sz w:val="28"/>
                <w:szCs w:val="28"/>
              </w:rPr>
              <w:t>加强淮河流域、唐白河流域、中心城区内河等重点流域水生态环境功能区管理，推进重点流域沿线企业清洁生产</w:t>
            </w:r>
            <w:r>
              <w:rPr>
                <w:rFonts w:ascii="仿宋_GB2312" w:eastAsia="仿宋_GB2312" w:hint="eastAsia"/>
                <w:sz w:val="28"/>
                <w:szCs w:val="28"/>
              </w:rPr>
              <w:lastRenderedPageBreak/>
              <w:t>改造及工业、城镇生活和农业水污染综合治理；推进地下水污染防治，建立健全地下水环境监管体系。</w:t>
            </w:r>
          </w:p>
          <w:p w:rsidR="00D92198" w:rsidRDefault="00AE1128">
            <w:pPr>
              <w:spacing w:line="500" w:lineRule="exact"/>
              <w:ind w:firstLineChars="200" w:firstLine="562"/>
              <w:rPr>
                <w:rFonts w:ascii="仿宋_GB2312" w:eastAsia="仿宋_GB2312"/>
                <w:sz w:val="28"/>
                <w:szCs w:val="28"/>
              </w:rPr>
            </w:pPr>
            <w:r>
              <w:rPr>
                <w:rFonts w:ascii="仿宋_GB2312" w:eastAsia="仿宋_GB2312" w:hAnsi="宋体" w:cs="宋体" w:hint="eastAsia"/>
                <w:b/>
                <w:bCs/>
                <w:kern w:val="0"/>
                <w:sz w:val="28"/>
                <w:szCs w:val="28"/>
              </w:rPr>
              <w:t>污水收集管网和污水处理站建设：</w:t>
            </w:r>
            <w:r>
              <w:rPr>
                <w:rFonts w:ascii="仿宋_GB2312" w:eastAsia="仿宋_GB2312" w:hint="eastAsia"/>
                <w:sz w:val="28"/>
                <w:szCs w:val="28"/>
              </w:rPr>
              <w:t>推进城市、建制村镇和工业园区污水收集管网和污水处理设施建设。</w:t>
            </w:r>
          </w:p>
          <w:p w:rsidR="00D92198" w:rsidRDefault="00AE1128">
            <w:pPr>
              <w:spacing w:line="500" w:lineRule="exact"/>
              <w:ind w:firstLineChars="200" w:firstLine="562"/>
              <w:rPr>
                <w:rFonts w:ascii="仿宋_GB2312" w:eastAsia="仿宋_GB2312"/>
                <w:sz w:val="28"/>
                <w:szCs w:val="28"/>
              </w:rPr>
            </w:pPr>
            <w:r>
              <w:rPr>
                <w:rFonts w:ascii="仿宋_GB2312" w:eastAsia="仿宋_GB2312" w:hAnsi="宋体" w:cs="宋体" w:hint="eastAsia"/>
                <w:b/>
                <w:bCs/>
                <w:kern w:val="0"/>
                <w:sz w:val="28"/>
                <w:szCs w:val="28"/>
              </w:rPr>
              <w:t>森林城市建设项目：</w:t>
            </w:r>
            <w:r>
              <w:rPr>
                <w:rFonts w:ascii="仿宋_GB2312" w:eastAsia="仿宋_GB2312" w:hint="eastAsia"/>
                <w:sz w:val="28"/>
                <w:szCs w:val="28"/>
              </w:rPr>
              <w:t>加强城市公园、街头绿地、林荫景观街道、绿道、森林单位、林荫停车场建设，提高有机地表覆盖物水平。</w:t>
            </w:r>
          </w:p>
          <w:p w:rsidR="00D92198" w:rsidRDefault="00AE1128">
            <w:pPr>
              <w:spacing w:line="500" w:lineRule="exact"/>
              <w:ind w:firstLineChars="200" w:firstLine="562"/>
              <w:rPr>
                <w:rFonts w:ascii="仿宋_GB2312" w:eastAsia="仿宋_GB2312"/>
                <w:sz w:val="28"/>
                <w:szCs w:val="28"/>
              </w:rPr>
            </w:pPr>
            <w:r>
              <w:rPr>
                <w:rFonts w:ascii="仿宋_GB2312" w:eastAsia="仿宋_GB2312" w:hAnsi="宋体" w:cs="宋体" w:hint="eastAsia"/>
                <w:b/>
                <w:bCs/>
                <w:kern w:val="0"/>
                <w:sz w:val="28"/>
                <w:szCs w:val="28"/>
              </w:rPr>
              <w:t>村镇公共游憩地建设项目：</w:t>
            </w:r>
            <w:r>
              <w:rPr>
                <w:rFonts w:ascii="仿宋_GB2312" w:eastAsia="仿宋_GB2312" w:hint="eastAsia"/>
                <w:sz w:val="28"/>
                <w:szCs w:val="28"/>
              </w:rPr>
              <w:t>在全市393个村镇开展公共游憩地建设，增加围村林种植面积，完善乡村道路林网络，改善林地景观布局。</w:t>
            </w:r>
          </w:p>
          <w:p w:rsidR="00D92198" w:rsidRDefault="00AE1128">
            <w:pPr>
              <w:spacing w:line="500" w:lineRule="exact"/>
              <w:ind w:firstLineChars="200" w:firstLine="562"/>
              <w:rPr>
                <w:rFonts w:ascii="仿宋_GB2312" w:eastAsia="仿宋_GB2312"/>
                <w:sz w:val="28"/>
                <w:szCs w:val="28"/>
              </w:rPr>
            </w:pPr>
            <w:r>
              <w:rPr>
                <w:rFonts w:ascii="仿宋_GB2312" w:eastAsia="仿宋_GB2312" w:hAnsi="宋体" w:cs="宋体" w:hint="eastAsia"/>
                <w:b/>
                <w:bCs/>
                <w:kern w:val="0"/>
                <w:sz w:val="28"/>
                <w:szCs w:val="28"/>
              </w:rPr>
              <w:t>湿地公园建设项目：</w:t>
            </w:r>
            <w:r>
              <w:rPr>
                <w:rFonts w:ascii="仿宋_GB2312" w:eastAsia="仿宋_GB2312" w:hint="eastAsia"/>
                <w:sz w:val="28"/>
                <w:szCs w:val="28"/>
              </w:rPr>
              <w:t>沿白河、唐河、湍河等重要水系，选择湿地资源丰富地区，建设湿地公园，配套生态保护和公共基础设施。</w:t>
            </w:r>
          </w:p>
          <w:p w:rsidR="00D92198" w:rsidRDefault="00AE1128">
            <w:pPr>
              <w:spacing w:line="500" w:lineRule="exact"/>
              <w:ind w:firstLineChars="200" w:firstLine="562"/>
              <w:rPr>
                <w:rFonts w:ascii="楷体_GB2312" w:eastAsia="楷体_GB2312" w:hAnsi="宋体" w:cs="宋体"/>
                <w:b/>
                <w:bCs/>
                <w:kern w:val="0"/>
                <w:sz w:val="28"/>
                <w:szCs w:val="28"/>
              </w:rPr>
            </w:pPr>
            <w:r>
              <w:rPr>
                <w:rFonts w:ascii="楷体_GB2312" w:eastAsia="楷体_GB2312" w:hAnsi="宋体" w:cs="宋体" w:hint="eastAsia"/>
                <w:b/>
                <w:bCs/>
                <w:kern w:val="0"/>
                <w:sz w:val="28"/>
                <w:szCs w:val="28"/>
              </w:rPr>
              <w:t>3.生态生活工程</w:t>
            </w:r>
          </w:p>
          <w:p w:rsidR="00D92198" w:rsidRDefault="00AE1128">
            <w:pPr>
              <w:spacing w:line="500" w:lineRule="exact"/>
              <w:ind w:firstLineChars="200" w:firstLine="562"/>
              <w:rPr>
                <w:rFonts w:ascii="仿宋_GB2312" w:eastAsia="仿宋_GB2312"/>
                <w:sz w:val="28"/>
                <w:szCs w:val="28"/>
              </w:rPr>
            </w:pPr>
            <w:r>
              <w:rPr>
                <w:rFonts w:ascii="仿宋_GB2312" w:eastAsia="仿宋_GB2312" w:hAnsi="宋体" w:cs="宋体" w:hint="eastAsia"/>
                <w:b/>
                <w:bCs/>
                <w:kern w:val="0"/>
                <w:sz w:val="28"/>
                <w:szCs w:val="28"/>
              </w:rPr>
              <w:t>城区绿化改造提升项目：</w:t>
            </w:r>
            <w:r>
              <w:rPr>
                <w:rFonts w:ascii="仿宋_GB2312" w:eastAsia="仿宋_GB2312" w:hint="eastAsia"/>
                <w:sz w:val="28"/>
                <w:szCs w:val="28"/>
              </w:rPr>
              <w:t>提升城区内河绿化景观带、道路沿线绿化带和社区、街头绿化点，完善城市绿地空间格局；继续开展“拆墙透绿”工程，推动绿地共建共享。</w:t>
            </w:r>
          </w:p>
          <w:p w:rsidR="00D92198" w:rsidRDefault="00AE1128">
            <w:pPr>
              <w:spacing w:line="500" w:lineRule="exact"/>
              <w:ind w:firstLineChars="200" w:firstLine="562"/>
              <w:rPr>
                <w:rFonts w:ascii="仿宋_GB2312" w:eastAsia="仿宋_GB2312"/>
                <w:sz w:val="28"/>
                <w:szCs w:val="28"/>
              </w:rPr>
            </w:pPr>
            <w:r>
              <w:rPr>
                <w:rFonts w:ascii="仿宋_GB2312" w:eastAsia="仿宋_GB2312" w:hAnsi="宋体" w:cs="宋体" w:hint="eastAsia"/>
                <w:b/>
                <w:bCs/>
                <w:kern w:val="0"/>
                <w:sz w:val="28"/>
                <w:szCs w:val="28"/>
              </w:rPr>
              <w:t>新能源公共交通系统构建：</w:t>
            </w:r>
            <w:r>
              <w:rPr>
                <w:rFonts w:ascii="仿宋_GB2312" w:eastAsia="仿宋_GB2312" w:hint="eastAsia"/>
                <w:sz w:val="28"/>
                <w:szCs w:val="28"/>
              </w:rPr>
              <w:t>推动充电桩建设、车站和线路改造等。</w:t>
            </w:r>
          </w:p>
          <w:p w:rsidR="00D92198" w:rsidRDefault="00AE1128">
            <w:pPr>
              <w:spacing w:line="500" w:lineRule="exact"/>
              <w:ind w:firstLineChars="200" w:firstLine="562"/>
              <w:rPr>
                <w:rFonts w:ascii="仿宋_GB2312" w:eastAsia="仿宋_GB2312"/>
                <w:sz w:val="28"/>
                <w:szCs w:val="28"/>
              </w:rPr>
            </w:pPr>
            <w:r>
              <w:rPr>
                <w:rFonts w:ascii="仿宋_GB2312" w:eastAsia="仿宋_GB2312" w:hAnsi="宋体" w:cs="宋体" w:hint="eastAsia"/>
                <w:b/>
                <w:bCs/>
                <w:kern w:val="0"/>
                <w:sz w:val="28"/>
                <w:szCs w:val="28"/>
              </w:rPr>
              <w:t>非机动车道和人行道改造：</w:t>
            </w:r>
            <w:r>
              <w:rPr>
                <w:rFonts w:ascii="仿宋_GB2312" w:eastAsia="仿宋_GB2312" w:hint="eastAsia"/>
                <w:sz w:val="28"/>
                <w:szCs w:val="28"/>
              </w:rPr>
              <w:t>建设并规范自行车道，改造人行道，提高出行舒适性。</w:t>
            </w:r>
          </w:p>
          <w:p w:rsidR="00D92198" w:rsidRDefault="00AE1128">
            <w:pPr>
              <w:spacing w:line="500" w:lineRule="exact"/>
              <w:ind w:firstLineChars="200" w:firstLine="562"/>
              <w:rPr>
                <w:rFonts w:ascii="仿宋_GB2312" w:eastAsia="仿宋_GB2312"/>
                <w:sz w:val="28"/>
                <w:szCs w:val="28"/>
              </w:rPr>
            </w:pPr>
            <w:r>
              <w:rPr>
                <w:rFonts w:ascii="仿宋_GB2312" w:eastAsia="仿宋_GB2312" w:hAnsi="宋体" w:cs="宋体" w:hint="eastAsia"/>
                <w:b/>
                <w:bCs/>
                <w:kern w:val="0"/>
                <w:sz w:val="28"/>
                <w:szCs w:val="28"/>
              </w:rPr>
              <w:t>农村环境综合整治基础设施建设：</w:t>
            </w:r>
            <w:r>
              <w:rPr>
                <w:rFonts w:ascii="仿宋_GB2312" w:eastAsia="仿宋_GB2312" w:hint="eastAsia"/>
                <w:sz w:val="28"/>
                <w:szCs w:val="28"/>
              </w:rPr>
              <w:t>采用整村整治策略，实施“空心村”整治、自来水入户、垃圾收集回收与处理、污水汇集与治理、清洁能源入户、景观设计等工程。</w:t>
            </w:r>
          </w:p>
          <w:p w:rsidR="00D92198" w:rsidRDefault="00AE1128">
            <w:pPr>
              <w:pStyle w:val="a0"/>
              <w:spacing w:before="0" w:after="0" w:line="500" w:lineRule="exact"/>
              <w:jc w:val="both"/>
            </w:pPr>
            <w:r>
              <w:rPr>
                <w:rFonts w:ascii="仿宋_GB2312" w:eastAsia="仿宋_GB2312" w:hAnsi="宋体" w:cs="宋体" w:hint="eastAsia"/>
                <w:b/>
                <w:bCs/>
                <w:kern w:val="0"/>
                <w:sz w:val="28"/>
                <w:szCs w:val="28"/>
              </w:rPr>
              <w:t xml:space="preserve">    生活垃圾分类和资源化利用：</w:t>
            </w:r>
            <w:r>
              <w:rPr>
                <w:rFonts w:ascii="仿宋_GB2312" w:eastAsia="仿宋_GB2312" w:hAnsi="Calibri" w:hint="eastAsia"/>
                <w:sz w:val="28"/>
                <w:szCs w:val="28"/>
              </w:rPr>
              <w:t>宣传推广可持续生活方式，减少垃圾排放；在城区所有小区、公共场地、机构按需要普及垃圾分类系统，强化垃圾分类习惯；探索建设纸类、玻璃类、金属类及电子垃圾回收资源化利用体系；推进餐厨垃圾处理场建设。</w:t>
            </w:r>
          </w:p>
        </w:tc>
      </w:tr>
    </w:tbl>
    <w:p w:rsidR="00D92198" w:rsidRDefault="00AE1128" w:rsidP="00A61652">
      <w:pPr>
        <w:spacing w:afterLines="100" w:after="312" w:line="600" w:lineRule="exact"/>
        <w:jc w:val="center"/>
        <w:rPr>
          <w:rFonts w:ascii="方正小标宋简体" w:eastAsia="方正小标宋简体" w:hAnsi="黑体" w:cs="黑体"/>
          <w:sz w:val="32"/>
          <w:szCs w:val="32"/>
        </w:rPr>
      </w:pPr>
      <w:r>
        <w:rPr>
          <w:rFonts w:ascii="方正小标宋简体" w:eastAsia="方正小标宋简体" w:hAnsi="黑体" w:cs="黑体" w:hint="eastAsia"/>
          <w:sz w:val="32"/>
          <w:szCs w:val="32"/>
        </w:rPr>
        <w:lastRenderedPageBreak/>
        <w:t>第十二篇  提升人力资本素质，促进人的全面发展</w:t>
      </w:r>
    </w:p>
    <w:p w:rsidR="00D92198" w:rsidRDefault="00AE1128" w:rsidP="00A61652">
      <w:pPr>
        <w:spacing w:afterLines="100" w:after="312" w:line="600" w:lineRule="exact"/>
        <w:ind w:firstLineChars="200" w:firstLine="640"/>
        <w:rPr>
          <w:rFonts w:ascii="仿宋_GB2312" w:eastAsia="仿宋_GB2312" w:hAnsi="Times New Roman"/>
          <w:kern w:val="0"/>
          <w:sz w:val="32"/>
          <w:szCs w:val="32"/>
        </w:rPr>
      </w:pPr>
      <w:bookmarkStart w:id="79" w:name="_Hlk59032856"/>
      <w:bookmarkEnd w:id="78"/>
      <w:r>
        <w:rPr>
          <w:rFonts w:ascii="仿宋_GB2312" w:eastAsia="仿宋_GB2312" w:hAnsi="Times New Roman" w:hint="eastAsia"/>
          <w:kern w:val="0"/>
          <w:sz w:val="32"/>
          <w:szCs w:val="32"/>
        </w:rPr>
        <w:t>把提升人力资本素质放在突出重要位置，构建高质量的教育体系和全方位全周期的健康体系，促进人口长期均衡发展和人的全面发展，最大限度释放人力资本红利。</w:t>
      </w:r>
    </w:p>
    <w:p w:rsidR="00D92198" w:rsidRDefault="00AE1128" w:rsidP="00A61652">
      <w:pPr>
        <w:pStyle w:val="2"/>
        <w:spacing w:afterLines="100" w:after="312"/>
        <w:ind w:firstLineChars="0" w:firstLine="0"/>
        <w:jc w:val="center"/>
        <w:rPr>
          <w:rFonts w:ascii="黑体" w:hAnsi="黑体"/>
          <w:szCs w:val="32"/>
        </w:rPr>
      </w:pPr>
      <w:r>
        <w:rPr>
          <w:rFonts w:ascii="黑体" w:hAnsi="黑体" w:hint="eastAsia"/>
          <w:szCs w:val="32"/>
        </w:rPr>
        <w:t>第四十一章</w:t>
      </w:r>
      <w:bookmarkStart w:id="80" w:name="_Toc27387695"/>
      <w:r>
        <w:rPr>
          <w:rFonts w:ascii="黑体" w:hAnsi="黑体" w:hint="eastAsia"/>
          <w:szCs w:val="32"/>
        </w:rPr>
        <w:t xml:space="preserve">  </w:t>
      </w:r>
      <w:bookmarkStart w:id="81" w:name="_Hlk59034272"/>
      <w:bookmarkEnd w:id="80"/>
      <w:r>
        <w:rPr>
          <w:rFonts w:ascii="黑体" w:hAnsi="黑体" w:hint="eastAsia"/>
          <w:szCs w:val="32"/>
        </w:rPr>
        <w:t>建设高质量教育体系</w:t>
      </w:r>
    </w:p>
    <w:p w:rsidR="00D92198" w:rsidRDefault="00AE1128" w:rsidP="00A61652">
      <w:pPr>
        <w:spacing w:afterLines="100" w:after="312" w:line="600" w:lineRule="exact"/>
        <w:ind w:firstLineChars="200" w:firstLine="640"/>
        <w:jc w:val="left"/>
        <w:rPr>
          <w:rFonts w:ascii="仿宋_GB2312" w:eastAsia="仿宋_GB2312" w:hAnsi="Times New Roman"/>
          <w:kern w:val="0"/>
          <w:sz w:val="32"/>
          <w:szCs w:val="32"/>
        </w:rPr>
      </w:pPr>
      <w:bookmarkStart w:id="82" w:name="_Toc490695952"/>
      <w:bookmarkEnd w:id="81"/>
      <w:r>
        <w:rPr>
          <w:rFonts w:ascii="仿宋_GB2312" w:eastAsia="仿宋_GB2312" w:hAnsi="Times New Roman" w:hint="eastAsia"/>
          <w:kern w:val="0"/>
          <w:sz w:val="32"/>
          <w:szCs w:val="32"/>
        </w:rPr>
        <w:t>实施教育强市战略，</w:t>
      </w:r>
      <w:r>
        <w:rPr>
          <w:rFonts w:ascii="仿宋_GB2312" w:eastAsia="仿宋_GB2312" w:hAnsi="Times New Roman"/>
          <w:kern w:val="0"/>
          <w:sz w:val="32"/>
          <w:szCs w:val="32"/>
        </w:rPr>
        <w:t>全面贯彻党的教育方针，落实立德树人根本任务，</w:t>
      </w:r>
      <w:r>
        <w:rPr>
          <w:rFonts w:ascii="仿宋_GB2312" w:eastAsia="仿宋_GB2312" w:hAnsi="Times New Roman" w:hint="eastAsia"/>
          <w:kern w:val="0"/>
          <w:sz w:val="32"/>
          <w:szCs w:val="32"/>
        </w:rPr>
        <w:t>加大教育投入，落实本级财政法定增长</w:t>
      </w:r>
      <w:r>
        <w:rPr>
          <w:rFonts w:ascii="仿宋_GB2312" w:eastAsia="仿宋_GB2312" w:hAnsi="Times New Roman"/>
          <w:kern w:val="0"/>
          <w:sz w:val="32"/>
          <w:szCs w:val="32"/>
        </w:rPr>
        <w:t>，</w:t>
      </w:r>
      <w:r>
        <w:rPr>
          <w:rFonts w:ascii="仿宋_GB2312" w:eastAsia="仿宋_GB2312" w:hAnsi="Times New Roman" w:hint="eastAsia"/>
          <w:kern w:val="0"/>
          <w:sz w:val="32"/>
          <w:szCs w:val="32"/>
        </w:rPr>
        <w:t>促进</w:t>
      </w:r>
      <w:r>
        <w:rPr>
          <w:rFonts w:ascii="仿宋_GB2312" w:eastAsia="仿宋_GB2312" w:hAnsi="Times New Roman"/>
          <w:kern w:val="0"/>
          <w:sz w:val="32"/>
          <w:szCs w:val="32"/>
        </w:rPr>
        <w:t>教育公平</w:t>
      </w:r>
      <w:r>
        <w:rPr>
          <w:rFonts w:ascii="仿宋_GB2312" w:eastAsia="仿宋_GB2312" w:hAnsi="Times New Roman" w:hint="eastAsia"/>
          <w:kern w:val="0"/>
          <w:sz w:val="32"/>
          <w:szCs w:val="32"/>
        </w:rPr>
        <w:t>，提升教师能力素质和待遇，努力办好人民满意的教育，</w:t>
      </w:r>
      <w:r>
        <w:rPr>
          <w:rFonts w:ascii="仿宋_GB2312" w:eastAsia="仿宋_GB2312" w:hAnsi="Times New Roman"/>
          <w:kern w:val="0"/>
          <w:sz w:val="32"/>
          <w:szCs w:val="32"/>
        </w:rPr>
        <w:t>为现代化建设提供人才支撑</w:t>
      </w:r>
      <w:r>
        <w:rPr>
          <w:rFonts w:ascii="仿宋_GB2312" w:eastAsia="仿宋_GB2312" w:hAnsi="Times New Roman" w:hint="eastAsia"/>
          <w:kern w:val="0"/>
          <w:sz w:val="32"/>
          <w:szCs w:val="32"/>
        </w:rPr>
        <w:t>。</w:t>
      </w:r>
    </w:p>
    <w:p w:rsidR="00D92198" w:rsidRDefault="00AE1128" w:rsidP="00A61652">
      <w:pPr>
        <w:spacing w:afterLines="100" w:after="312"/>
        <w:jc w:val="center"/>
        <w:outlineLvl w:val="2"/>
        <w:rPr>
          <w:rFonts w:ascii="楷体_GB2312" w:eastAsia="楷体_GB2312" w:hAnsi="黑体" w:cs="仿宋_GB2312"/>
          <w:b/>
          <w:sz w:val="32"/>
          <w:szCs w:val="32"/>
        </w:rPr>
      </w:pPr>
      <w:r>
        <w:rPr>
          <w:rFonts w:ascii="楷体_GB2312" w:eastAsia="楷体_GB2312" w:hAnsi="黑体" w:cs="仿宋_GB2312" w:hint="eastAsia"/>
          <w:b/>
          <w:sz w:val="32"/>
          <w:szCs w:val="32"/>
        </w:rPr>
        <w:t>第一节  巩固提高基础教育水平</w:t>
      </w:r>
    </w:p>
    <w:p w:rsidR="00D92198" w:rsidRDefault="00AE1128" w:rsidP="00A61652">
      <w:pPr>
        <w:spacing w:afterLines="100" w:after="312" w:line="600" w:lineRule="exact"/>
        <w:ind w:firstLineChars="200" w:firstLine="640"/>
        <w:jc w:val="left"/>
        <w:rPr>
          <w:rFonts w:ascii="仿宋_GB2312" w:eastAsia="仿宋_GB2312" w:hAnsi="Times New Roman"/>
          <w:kern w:val="0"/>
          <w:sz w:val="32"/>
          <w:szCs w:val="32"/>
        </w:rPr>
      </w:pPr>
      <w:r>
        <w:rPr>
          <w:rFonts w:ascii="仿宋_GB2312" w:eastAsia="仿宋_GB2312" w:hAnsi="Times New Roman" w:hint="eastAsia"/>
          <w:kern w:val="0"/>
          <w:sz w:val="32"/>
          <w:szCs w:val="32"/>
        </w:rPr>
        <w:t>强化基础教育在国民教育体系中的基础性、先导性地位，巩固义务教育均衡发展成果，提高学前教育、高中教育普及程度。落实教师常态化补进机制，按照教育需求和编制标准，足额配置中小学教师。大力推进完全学校建设发展，建成南阳一中新校区，优化整合中心城区教育资源。落实普惠性学前教育资源扩容计划，推进学前教育普惠优质发展，合理规划幼儿园布局，加强人口聚集区幼儿园建设，满足适龄儿童入园需求。推动城乡义务教育优质均衡发展，教育投入继续向农村困难地</w:t>
      </w:r>
      <w:r>
        <w:rPr>
          <w:rFonts w:ascii="仿宋_GB2312" w:eastAsia="仿宋_GB2312" w:hAnsi="Times New Roman" w:hint="eastAsia"/>
          <w:kern w:val="0"/>
          <w:sz w:val="32"/>
          <w:szCs w:val="32"/>
        </w:rPr>
        <w:lastRenderedPageBreak/>
        <w:t>区和薄弱环节倾斜，实施“教育数字基建”工程。全面消除大班额。完成普通高中消除大班额和高中阶段教育普及攻坚计划，推动普通高中多样化特色化发展。将进城务工人员随迁子女义务教育纳入公共教育服务体系，落实以流入地为主、以公办学校为主的“两为主”政策，保障进城务工人员随迁子女接受义务教育权利。</w:t>
      </w:r>
    </w:p>
    <w:p w:rsidR="00D92198" w:rsidRDefault="00AE1128" w:rsidP="00A61652">
      <w:pPr>
        <w:spacing w:afterLines="100" w:after="312"/>
        <w:jc w:val="center"/>
        <w:outlineLvl w:val="2"/>
        <w:rPr>
          <w:rFonts w:ascii="楷体_GB2312" w:eastAsia="楷体_GB2312" w:hAnsi="仿宋_GB2312" w:cs="仿宋_GB2312"/>
          <w:b/>
          <w:sz w:val="32"/>
          <w:szCs w:val="32"/>
        </w:rPr>
      </w:pPr>
      <w:r>
        <w:rPr>
          <w:rFonts w:ascii="楷体_GB2312" w:eastAsia="楷体_GB2312" w:hAnsi="仿宋_GB2312" w:cs="仿宋_GB2312" w:hint="eastAsia"/>
          <w:b/>
          <w:sz w:val="32"/>
          <w:szCs w:val="32"/>
        </w:rPr>
        <w:t>第二节  推进现代职业教育高质量发展</w:t>
      </w:r>
    </w:p>
    <w:p w:rsidR="00D92198" w:rsidRDefault="00AE1128">
      <w:pPr>
        <w:spacing w:line="600" w:lineRule="exact"/>
        <w:ind w:firstLineChars="200" w:firstLine="640"/>
        <w:rPr>
          <w:rFonts w:ascii="仿宋_GB2312" w:eastAsia="仿宋_GB2312" w:hAnsi="Times New Roman"/>
          <w:kern w:val="0"/>
          <w:sz w:val="32"/>
          <w:szCs w:val="32"/>
        </w:rPr>
      </w:pPr>
      <w:r>
        <w:rPr>
          <w:rFonts w:ascii="仿宋_GB2312" w:eastAsia="仿宋_GB2312" w:hAnsi="Times New Roman" w:hint="eastAsia"/>
          <w:kern w:val="0"/>
          <w:sz w:val="32"/>
          <w:szCs w:val="32"/>
        </w:rPr>
        <w:t>贯彻落实国家职业教育改革实施方案，深化职普融通、产教融合、校企合作，完善现代职业教育和培训体系，提升办学质量和层次，打造一批高水平职业院校和高水平专业群。以高质量建设南阳高教园区为载体，合理布局入驻高教园区的普通高校和职业院校。开展省、市级产教融合建设试点，争取一批职业院校、企业成为国家职业教育“十百千”产教融合试点。支持企业深度参与职业教育人才培养全过程，大力推行 “订单式”、现代学徒制、企业新型学徒制等培养模式。实施中等职业学校达标建设工程，推动全市中等职业学校基本办学条件达到国家规定标准。落实职业院校实施学历教育与培训并举的法定职责，面向在校学生和全体社会成员广泛开展职业培训。完善特殊教育和专门教育保障机制。支持和规范民办教育发展，规范校外培训机构。推进高等职业学校高质量发展，重点建设</w:t>
      </w:r>
      <w:r>
        <w:rPr>
          <w:rFonts w:ascii="仿宋_GB2312" w:eastAsia="仿宋_GB2312" w:hAnsi="Times New Roman" w:hint="eastAsia"/>
          <w:kern w:val="0"/>
          <w:sz w:val="32"/>
          <w:szCs w:val="32"/>
        </w:rPr>
        <w:lastRenderedPageBreak/>
        <w:t>1-2所优质高等职业院校，培养服务区域发展的高素质技术技能人才。推动河南经济管理学校升专，筹建南阳工业职业学院、南阳工艺美术职业技术学院。</w:t>
      </w:r>
    </w:p>
    <w:p w:rsidR="00D92198" w:rsidRDefault="00D92198">
      <w:pPr>
        <w:ind w:firstLineChars="200" w:firstLine="640"/>
        <w:outlineLvl w:val="2"/>
        <w:rPr>
          <w:rFonts w:ascii="楷体_GB2312" w:eastAsia="楷体_GB2312" w:hAnsi="仿宋_GB2312" w:cs="仿宋_GB2312"/>
          <w:sz w:val="32"/>
          <w:szCs w:val="32"/>
        </w:rPr>
      </w:pPr>
    </w:p>
    <w:p w:rsidR="00D92198" w:rsidRDefault="00AE1128" w:rsidP="00A61652">
      <w:pPr>
        <w:spacing w:afterLines="100" w:after="312"/>
        <w:jc w:val="center"/>
        <w:outlineLvl w:val="2"/>
        <w:rPr>
          <w:rFonts w:ascii="楷体_GB2312" w:eastAsia="楷体_GB2312" w:hAnsi="仿宋_GB2312" w:cs="仿宋_GB2312"/>
          <w:b/>
          <w:sz w:val="32"/>
          <w:szCs w:val="32"/>
        </w:rPr>
      </w:pPr>
      <w:r>
        <w:rPr>
          <w:rFonts w:ascii="楷体_GB2312" w:eastAsia="楷体_GB2312" w:hAnsi="仿宋_GB2312" w:cs="仿宋_GB2312" w:hint="eastAsia"/>
          <w:b/>
          <w:sz w:val="32"/>
          <w:szCs w:val="32"/>
        </w:rPr>
        <w:t>第三节  推进高等教育内涵式发展</w:t>
      </w:r>
    </w:p>
    <w:p w:rsidR="00D92198" w:rsidRDefault="00AE1128" w:rsidP="00A61652">
      <w:pPr>
        <w:spacing w:afterLines="100" w:after="312" w:line="600" w:lineRule="exact"/>
        <w:ind w:firstLineChars="200" w:firstLine="640"/>
        <w:rPr>
          <w:rFonts w:ascii="仿宋_GB2312" w:eastAsia="仿宋_GB2312" w:hAnsi="Times New Roman"/>
          <w:kern w:val="0"/>
          <w:sz w:val="32"/>
          <w:szCs w:val="32"/>
        </w:rPr>
      </w:pPr>
      <w:r>
        <w:rPr>
          <w:rFonts w:ascii="仿宋_GB2312" w:eastAsia="仿宋_GB2312" w:hAnsi="Times New Roman" w:hint="eastAsia"/>
          <w:kern w:val="0"/>
          <w:sz w:val="32"/>
          <w:szCs w:val="32"/>
        </w:rPr>
        <w:t>以建设高水平人才培养体系为核心，以 “高等教育特色发展行动计划”为抓手，引导高校科学定位、突出特色、对标一流，全面提升高等教育人才培养、科学研究、社会服务、文化传承创新和国际交流的能力水平。完成张仲景国医大学恢复重建，打造国内一流的中医药科研教育高等学府。实施高水平应用型本科高校建设工程，加强南阳师范学院、南阳理工学院应用技术类型本科院校内涵建设，提升服务区域产业发展能力。实施南阳师范学院硕士重点建设单位提升工程，培育一批硕士学位授权点。力争2022年前南阳理工学院获批硕士学位授权点。争取南阳农业职业学院、南阳职业学院、河南工业职业技术学院、南阳科技职业学院升本。规划建设南阳大学城。</w:t>
      </w:r>
    </w:p>
    <w:p w:rsidR="00D92198" w:rsidRDefault="00AE1128" w:rsidP="00A61652">
      <w:pPr>
        <w:spacing w:afterLines="100" w:after="312" w:line="600" w:lineRule="exact"/>
        <w:jc w:val="center"/>
        <w:rPr>
          <w:rFonts w:ascii="黑体" w:eastAsia="黑体" w:hAnsi="黑体"/>
          <w:sz w:val="32"/>
          <w:szCs w:val="32"/>
        </w:rPr>
      </w:pPr>
      <w:bookmarkStart w:id="83" w:name="_Toc27387696"/>
      <w:r>
        <w:rPr>
          <w:rFonts w:ascii="黑体" w:eastAsia="黑体" w:hAnsi="黑体" w:hint="eastAsia"/>
          <w:sz w:val="32"/>
          <w:szCs w:val="32"/>
        </w:rPr>
        <w:t>第四十二章</w:t>
      </w:r>
      <w:bookmarkEnd w:id="82"/>
      <w:bookmarkEnd w:id="83"/>
      <w:r>
        <w:rPr>
          <w:rFonts w:ascii="黑体" w:eastAsia="黑体" w:hAnsi="黑体" w:hint="eastAsia"/>
          <w:sz w:val="32"/>
          <w:szCs w:val="32"/>
        </w:rPr>
        <w:t xml:space="preserve">   全面推进健康南阳建设</w:t>
      </w:r>
    </w:p>
    <w:p w:rsidR="00D92198" w:rsidRDefault="00AE1128" w:rsidP="00A61652">
      <w:pPr>
        <w:spacing w:afterLines="100" w:after="312" w:line="600" w:lineRule="exact"/>
        <w:ind w:firstLineChars="200" w:firstLine="640"/>
        <w:rPr>
          <w:rFonts w:ascii="仿宋_GB2312" w:eastAsia="仿宋_GB2312" w:hAnsi="Times New Roman"/>
          <w:kern w:val="0"/>
          <w:sz w:val="32"/>
          <w:szCs w:val="32"/>
        </w:rPr>
      </w:pPr>
      <w:r>
        <w:rPr>
          <w:rFonts w:ascii="仿宋_GB2312" w:eastAsia="仿宋_GB2312" w:hAnsi="Times New Roman" w:hint="eastAsia"/>
          <w:kern w:val="0"/>
          <w:sz w:val="32"/>
          <w:szCs w:val="32"/>
        </w:rPr>
        <w:t>按照保基本、强基层、建机制要求，完善基本医疗卫生制度，推进“健康南阳”建设。</w:t>
      </w:r>
    </w:p>
    <w:p w:rsidR="00D92198" w:rsidRDefault="00AE1128" w:rsidP="00A61652">
      <w:pPr>
        <w:spacing w:afterLines="100" w:after="312" w:line="600" w:lineRule="exact"/>
        <w:jc w:val="center"/>
        <w:rPr>
          <w:rFonts w:ascii="楷体_GB2312" w:eastAsia="楷体_GB2312" w:hAnsi="仿宋_GB2312" w:cs="仿宋_GB2312"/>
          <w:b/>
          <w:sz w:val="32"/>
          <w:szCs w:val="32"/>
        </w:rPr>
      </w:pPr>
      <w:r>
        <w:rPr>
          <w:rFonts w:ascii="楷体_GB2312" w:eastAsia="楷体_GB2312" w:hAnsi="仿宋_GB2312" w:cs="仿宋_GB2312" w:hint="eastAsia"/>
          <w:b/>
          <w:sz w:val="32"/>
          <w:szCs w:val="32"/>
        </w:rPr>
        <w:lastRenderedPageBreak/>
        <w:t>第一节   完善医疗卫生服务体系</w:t>
      </w:r>
    </w:p>
    <w:p w:rsidR="00D92198" w:rsidRDefault="00AE1128" w:rsidP="00A61652">
      <w:pPr>
        <w:spacing w:afterLines="100" w:after="312" w:line="600" w:lineRule="exact"/>
        <w:ind w:firstLineChars="200" w:firstLine="640"/>
        <w:rPr>
          <w:rFonts w:ascii="仿宋_GB2312" w:eastAsia="仿宋_GB2312" w:hAnsi="Times New Roman"/>
          <w:kern w:val="0"/>
          <w:sz w:val="32"/>
          <w:szCs w:val="32"/>
        </w:rPr>
      </w:pPr>
      <w:r>
        <w:rPr>
          <w:rFonts w:ascii="仿宋_GB2312" w:eastAsia="仿宋_GB2312" w:hAnsi="Times New Roman" w:hint="eastAsia"/>
          <w:kern w:val="0"/>
          <w:sz w:val="32"/>
          <w:szCs w:val="32"/>
        </w:rPr>
        <w:t>建立稳定的公共卫生事业投入机制。改革疾病预防控制体系，强化监测预警、风险评估、流行病学调查、检验检测、应急处置等职能，加强疾控机构标准化建设。完善传染病疫情和突发公共卫生事件监测系统，加强检测网络和能力建设。加大重大疫情应急物资储备、技术储备和产能储备，完善突发公共卫生事件应对预案和应急指挥体系。加快张仲景国医大学、张仲景中医药文化博物馆、市中心医院、中医院、传染病医院、妇幼保健院、中国中医博物院、中国中医科学院分院、紧急救援中心、疾控中心、应急医疗物资储备中心等“一校一馆六院三中心”建设，建成投用市中心医院新院区、市中医院新院区、市骨科医院新院区、市口腔医院新院区、市眼科医院新院区、市精神病院三期工程。办好县级综合医院、中医院和妇幼保健院“三所医院”，全部达到二级甲等水平，部分达到三级医院标准。加快推动乡镇、村（社区）医疗卫生机构服务能力达标升级。着力补齐城镇社区居家养老和农村养老服务短板，逐步建成以居家为基础、社区为依托、机构为补充、医养相结合的养老服务体系。</w:t>
      </w:r>
    </w:p>
    <w:p w:rsidR="00D92198" w:rsidRDefault="00AE1128" w:rsidP="00A61652">
      <w:pPr>
        <w:spacing w:afterLines="100" w:after="312" w:line="600" w:lineRule="exact"/>
        <w:jc w:val="center"/>
        <w:rPr>
          <w:rFonts w:ascii="楷体_GB2312" w:eastAsia="楷体_GB2312" w:hAnsi="仿宋_GB2312" w:cs="仿宋_GB2312"/>
          <w:b/>
          <w:sz w:val="32"/>
          <w:szCs w:val="32"/>
        </w:rPr>
      </w:pPr>
      <w:r>
        <w:rPr>
          <w:rFonts w:ascii="楷体_GB2312" w:eastAsia="楷体_GB2312" w:hAnsi="仿宋_GB2312" w:cs="仿宋_GB2312" w:hint="eastAsia"/>
          <w:b/>
          <w:sz w:val="32"/>
          <w:szCs w:val="32"/>
        </w:rPr>
        <w:t>第二节  促进中医药传承创新</w:t>
      </w:r>
    </w:p>
    <w:p w:rsidR="00D92198" w:rsidRDefault="00AE1128" w:rsidP="00A61652">
      <w:pPr>
        <w:spacing w:afterLines="100" w:after="312" w:line="600" w:lineRule="exact"/>
        <w:ind w:firstLineChars="200" w:firstLine="640"/>
        <w:rPr>
          <w:rFonts w:ascii="仿宋_GB2312" w:eastAsia="仿宋_GB2312" w:hAnsi="Times New Roman"/>
          <w:kern w:val="0"/>
          <w:sz w:val="32"/>
          <w:szCs w:val="32"/>
        </w:rPr>
      </w:pPr>
      <w:r>
        <w:rPr>
          <w:rFonts w:ascii="仿宋_GB2312" w:eastAsia="仿宋_GB2312" w:hAnsi="Times New Roman" w:hint="eastAsia"/>
          <w:kern w:val="0"/>
          <w:sz w:val="32"/>
          <w:szCs w:val="32"/>
        </w:rPr>
        <w:lastRenderedPageBreak/>
        <w:t>发挥“中医祖庭、医圣故里”独特优势，深入实施中医药强市战略，深化国家中医药综合改革试验区建设，创建全国基层中医药工作示范市，建设现代中医药优势产业走廊。争取设立南阳市国家中医药传承创新中心，依托复建的张仲景国医大学，筹建“中国中医科学院大学”，建设南阳中医药研究院，并作为“中国中医科学院南阳分院”。高标准建设张仲景国医大学附属中医院，建成国内一流的中医诊疗机构。规划建设国家中医药博物馆医圣馆（或仲景馆、南阳馆）。继续办好张仲景医药文化节、仲景论坛和艾产业大会。加快完成张仲景文化园、产业园、健康园建设。做大做强中医药骨干企业，规划建设中医药产业孵化中心，大力开展新型制剂、中药饮片、配方颗粒和中药鲜药饮片研发，加快中医药标准化建设，打造全国中医药创新成果转化基地。实施“中医药</w:t>
      </w:r>
      <w:r>
        <w:rPr>
          <w:rFonts w:ascii="仿宋_GB2312" w:eastAsia="仿宋_GB2312" w:hAnsi="Times New Roman"/>
          <w:kern w:val="0"/>
          <w:sz w:val="32"/>
          <w:szCs w:val="32"/>
        </w:rPr>
        <w:t>+</w:t>
      </w:r>
      <w:r>
        <w:rPr>
          <w:rFonts w:ascii="仿宋_GB2312" w:eastAsia="仿宋_GB2312" w:hAnsi="Times New Roman" w:hint="eastAsia"/>
          <w:kern w:val="0"/>
          <w:sz w:val="32"/>
          <w:szCs w:val="32"/>
        </w:rPr>
        <w:t>”工程，提升“八大宛药”规模品质，建设一批标准化中药材种植基地、中药材商贸物流基地、医养结合基地、中医药健康旅游基地。</w:t>
      </w:r>
    </w:p>
    <w:p w:rsidR="00D92198" w:rsidRDefault="00AE1128" w:rsidP="00A61652">
      <w:pPr>
        <w:spacing w:afterLines="100" w:after="312" w:line="600" w:lineRule="exact"/>
        <w:jc w:val="center"/>
        <w:rPr>
          <w:rFonts w:ascii="楷体_GB2312" w:eastAsia="楷体_GB2312" w:hAnsi="仿宋_GB2312" w:cs="仿宋_GB2312"/>
          <w:b/>
          <w:sz w:val="32"/>
          <w:szCs w:val="32"/>
        </w:rPr>
      </w:pPr>
      <w:r>
        <w:rPr>
          <w:rFonts w:ascii="楷体_GB2312" w:eastAsia="楷体_GB2312" w:hAnsi="仿宋_GB2312" w:cs="仿宋_GB2312" w:hint="eastAsia"/>
          <w:b/>
          <w:sz w:val="32"/>
          <w:szCs w:val="32"/>
        </w:rPr>
        <w:t>第三节   深化医药卫生体制改革</w:t>
      </w:r>
    </w:p>
    <w:p w:rsidR="00D92198" w:rsidRDefault="00AE1128" w:rsidP="00A61652">
      <w:pPr>
        <w:spacing w:afterLines="100" w:after="312" w:line="600" w:lineRule="exact"/>
        <w:ind w:firstLineChars="200" w:firstLine="640"/>
        <w:rPr>
          <w:rFonts w:ascii="仿宋_GB2312" w:eastAsia="仿宋_GB2312" w:hAnsi="Times New Roman"/>
          <w:kern w:val="0"/>
          <w:sz w:val="32"/>
          <w:szCs w:val="32"/>
        </w:rPr>
      </w:pPr>
      <w:r>
        <w:rPr>
          <w:rFonts w:ascii="仿宋_GB2312" w:eastAsia="仿宋_GB2312" w:hAnsi="Times New Roman" w:hint="eastAsia"/>
          <w:kern w:val="0"/>
          <w:sz w:val="32"/>
          <w:szCs w:val="32"/>
        </w:rPr>
        <w:t>巩固完善基本药物制度，深化药品生产流通领域改革，理顺医药价格机制，提高药品供应保障能力。坚持公益性定位，加强公立医院建设和管理考核，完善医疗、医保、医药联动机制，构建公益性、可持续性的运行新机制。加强县域紧密型医</w:t>
      </w:r>
      <w:r>
        <w:rPr>
          <w:rFonts w:ascii="仿宋_GB2312" w:eastAsia="仿宋_GB2312" w:hAnsi="Times New Roman" w:hint="eastAsia"/>
          <w:kern w:val="0"/>
          <w:sz w:val="32"/>
          <w:szCs w:val="32"/>
        </w:rPr>
        <w:lastRenderedPageBreak/>
        <w:t>联体、医共体建设，构建覆盖全民、布局合理、分工协作的医疗服务新体系，形成基层首诊、双向转诊、分级诊疗的就医新格局，做实家庭医生签约服务。保障基层医务人员薪酬待遇，推进村医“乡聘村用”和养老保障政策完善。落实医师多点执业，深化医保支付方式改革，促进社会办医规范发展。完善信息化保障体制机制，加快市级区域大健康数据中心建设，推进互联网医院建设，促进优质医疗资源下沉，开展“互联网+医疗健康”便民服务。</w:t>
      </w:r>
    </w:p>
    <w:p w:rsidR="00D92198" w:rsidRDefault="00AE1128" w:rsidP="00A61652">
      <w:pPr>
        <w:spacing w:afterLines="100" w:after="312" w:line="600" w:lineRule="exact"/>
        <w:jc w:val="center"/>
        <w:rPr>
          <w:rFonts w:ascii="楷体_GB2312" w:eastAsia="楷体_GB2312" w:hAnsi="黑体"/>
          <w:b/>
          <w:sz w:val="32"/>
          <w:szCs w:val="32"/>
        </w:rPr>
      </w:pPr>
      <w:r>
        <w:rPr>
          <w:rFonts w:ascii="楷体_GB2312" w:eastAsia="楷体_GB2312" w:hAnsi="黑体" w:hint="eastAsia"/>
          <w:b/>
          <w:sz w:val="32"/>
          <w:szCs w:val="32"/>
        </w:rPr>
        <w:t>第四节  提高全民健康素养</w:t>
      </w:r>
    </w:p>
    <w:p w:rsidR="00D92198" w:rsidRDefault="00AE1128" w:rsidP="00A61652">
      <w:pPr>
        <w:spacing w:afterLines="100" w:after="312" w:line="600" w:lineRule="exact"/>
        <w:ind w:firstLineChars="200" w:firstLine="640"/>
        <w:rPr>
          <w:rFonts w:ascii="仿宋_GB2312" w:eastAsia="仿宋_GB2312" w:hAnsi="Times New Roman"/>
          <w:kern w:val="0"/>
          <w:sz w:val="32"/>
          <w:szCs w:val="32"/>
        </w:rPr>
      </w:pPr>
      <w:r>
        <w:rPr>
          <w:rFonts w:ascii="仿宋_GB2312" w:eastAsia="仿宋_GB2312" w:hAnsi="Times New Roman" w:hint="eastAsia"/>
          <w:kern w:val="0"/>
          <w:sz w:val="32"/>
          <w:szCs w:val="32"/>
        </w:rPr>
        <w:t>深入开展爱国卫生运动，加强卫生健康知识普及。加强营养和膳食指导，推进“三减三健”和控烟限酒行动。加强公共体育设施和全民健身公共服务体系建设，建成城市社区10分钟健身圈。开展更加广泛的全民健身活动，提高全民健康素质。抓好体育场馆的综合有效利用，鼓励社会资本参与公共体育设施的建设运营。加大公共体育场馆和设施免费或低收费向社会开放力度。丰富体育赛事活动，积极承接和举办重大体育赛事，促进全民健身与竞技体育全面发展。积极培育和引导体育消费，推动体育产业与健康养老、文化旅游等相关产业的融合发展。</w:t>
      </w:r>
    </w:p>
    <w:p w:rsidR="00D92198" w:rsidRDefault="00AE1128" w:rsidP="00A61652">
      <w:pPr>
        <w:spacing w:afterLines="100" w:after="312" w:line="600" w:lineRule="exact"/>
        <w:jc w:val="center"/>
        <w:rPr>
          <w:rFonts w:ascii="楷体_GB2312" w:eastAsia="楷体_GB2312"/>
          <w:b/>
          <w:sz w:val="32"/>
          <w:szCs w:val="32"/>
        </w:rPr>
      </w:pPr>
      <w:r>
        <w:rPr>
          <w:rFonts w:ascii="楷体_GB2312" w:eastAsia="楷体_GB2312" w:hint="eastAsia"/>
          <w:b/>
          <w:sz w:val="32"/>
          <w:szCs w:val="32"/>
        </w:rPr>
        <w:t>第五节  保障食品药品安全</w:t>
      </w:r>
    </w:p>
    <w:p w:rsidR="00D92198" w:rsidRDefault="00AE1128" w:rsidP="00A61652">
      <w:pPr>
        <w:spacing w:afterLines="100" w:after="312" w:line="600" w:lineRule="exact"/>
        <w:ind w:firstLineChars="200" w:firstLine="640"/>
        <w:rPr>
          <w:rFonts w:ascii="仿宋_GB2312" w:eastAsia="仿宋_GB2312" w:hAnsi="Times New Roman"/>
          <w:kern w:val="0"/>
          <w:sz w:val="32"/>
          <w:szCs w:val="32"/>
        </w:rPr>
      </w:pPr>
      <w:r>
        <w:rPr>
          <w:rFonts w:ascii="仿宋_GB2312" w:eastAsia="仿宋_GB2312" w:hAnsi="Times New Roman" w:hint="eastAsia"/>
          <w:kern w:val="0"/>
          <w:sz w:val="32"/>
          <w:szCs w:val="32"/>
        </w:rPr>
        <w:lastRenderedPageBreak/>
        <w:t>加强和改进食品药品等质量安全监管，严厉打击制售有毒有害食品、假劣药品的违法犯罪活动，健全严密高效、社会共治的食品药品质量安全治理体系，创建国家食品安全示范城市。深入实施食品安全战略，严格食品安全标准，加强食品全链条质量安全监管，推进食品安全放心工程建设攻坚行动，加大重点领域食品安全问题联合整治力度，保障食品安全。严防严控药品安全风险，规范药品研制生产流通和使用。加大农村食品药品安全治理力度。完善对网络销售食品药品的监管。加强食品药品安全风险监测、抽检和监管执法，强化快速通报和快速反应。</w:t>
      </w:r>
    </w:p>
    <w:p w:rsidR="00D92198" w:rsidRDefault="00AE1128" w:rsidP="00A61652">
      <w:pPr>
        <w:spacing w:afterLines="100" w:after="312" w:line="600" w:lineRule="exact"/>
        <w:jc w:val="center"/>
        <w:rPr>
          <w:rFonts w:ascii="黑体" w:eastAsia="黑体" w:hAnsi="黑体"/>
          <w:sz w:val="32"/>
          <w:szCs w:val="32"/>
        </w:rPr>
      </w:pPr>
      <w:r>
        <w:rPr>
          <w:rFonts w:ascii="黑体" w:eastAsia="黑体" w:hAnsi="黑体" w:hint="eastAsia"/>
          <w:sz w:val="32"/>
          <w:szCs w:val="32"/>
        </w:rPr>
        <w:t>第四十三章  积极应对人口老龄化</w:t>
      </w:r>
    </w:p>
    <w:p w:rsidR="00D92198" w:rsidRDefault="00AE1128" w:rsidP="00A61652">
      <w:pPr>
        <w:spacing w:afterLines="100" w:after="312" w:line="600" w:lineRule="exact"/>
        <w:ind w:firstLineChars="200" w:firstLine="640"/>
        <w:rPr>
          <w:rFonts w:ascii="仿宋_GB2312" w:eastAsia="仿宋_GB2312" w:hAnsi="Times New Roman"/>
          <w:kern w:val="0"/>
          <w:sz w:val="32"/>
          <w:szCs w:val="32"/>
        </w:rPr>
      </w:pPr>
      <w:r>
        <w:rPr>
          <w:rFonts w:ascii="仿宋_GB2312" w:eastAsia="仿宋_GB2312" w:hAnsi="Times New Roman" w:hint="eastAsia"/>
          <w:kern w:val="0"/>
          <w:sz w:val="32"/>
          <w:szCs w:val="32"/>
        </w:rPr>
        <w:t>落实积极应对人口老龄化国家战略，以“一老一小”为重点完善人口服务体系，塑造支撑高质量发展的人口总量势能、结构红利和素质资本叠加优势。</w:t>
      </w:r>
    </w:p>
    <w:p w:rsidR="00D92198" w:rsidRDefault="00AE1128" w:rsidP="00A61652">
      <w:pPr>
        <w:spacing w:afterLines="100" w:after="312" w:line="600" w:lineRule="exact"/>
        <w:jc w:val="center"/>
        <w:rPr>
          <w:rFonts w:ascii="楷体_GB2312" w:eastAsia="楷体_GB2312"/>
          <w:b/>
          <w:sz w:val="32"/>
          <w:szCs w:val="32"/>
        </w:rPr>
      </w:pPr>
      <w:r>
        <w:rPr>
          <w:rFonts w:ascii="楷体_GB2312" w:eastAsia="楷体_GB2312" w:hint="eastAsia"/>
          <w:b/>
          <w:sz w:val="32"/>
          <w:szCs w:val="32"/>
        </w:rPr>
        <w:t>第一节  推动实现适度生育水平</w:t>
      </w:r>
    </w:p>
    <w:p w:rsidR="00D92198" w:rsidRDefault="00AE1128" w:rsidP="00A61652">
      <w:pPr>
        <w:spacing w:afterLines="100" w:after="312" w:line="600" w:lineRule="exact"/>
        <w:ind w:firstLineChars="200" w:firstLine="640"/>
        <w:rPr>
          <w:rFonts w:ascii="仿宋_GB2312" w:eastAsia="仿宋_GB2312" w:hAnsi="Times New Roman"/>
          <w:kern w:val="0"/>
          <w:sz w:val="32"/>
          <w:szCs w:val="32"/>
        </w:rPr>
      </w:pPr>
      <w:r>
        <w:rPr>
          <w:rFonts w:ascii="仿宋_GB2312" w:eastAsia="仿宋_GB2312" w:hAnsi="Times New Roman" w:hint="eastAsia"/>
          <w:kern w:val="0"/>
          <w:sz w:val="32"/>
          <w:szCs w:val="32"/>
        </w:rPr>
        <w:t>落实国家生育政策，增强生育政策包容性，降低生育、养育、教育成本，引导生育水平提升并稳定在适度区间。提高优生优育服务水平，全面开展产前筛查和新生儿疾病筛查，加强出生缺陷综合防治和危重孕产、新生儿救治保障。全面落实产</w:t>
      </w:r>
      <w:r>
        <w:rPr>
          <w:rFonts w:ascii="仿宋_GB2312" w:eastAsia="仿宋_GB2312" w:hAnsi="Times New Roman" w:hint="eastAsia"/>
          <w:kern w:val="0"/>
          <w:sz w:val="32"/>
          <w:szCs w:val="32"/>
        </w:rPr>
        <w:lastRenderedPageBreak/>
        <w:t>假政策，探索实施父母带薪育儿假，完善家庭婴幼儿早期发展指导支持体系。建立健全计划生育特殊困难家庭全方位帮扶保障机制。发展普惠托育服务体系，推进城乡社区婴幼儿照护服务设施建设，支持企事业单位和社会团体等社会力量提供普惠托育服务，鼓励幼儿园发展托幼一体化服务。加强婴幼儿照护服务主体培育和规范管理，提高从业人员素质。</w:t>
      </w:r>
    </w:p>
    <w:p w:rsidR="00D92198" w:rsidRDefault="00AE1128" w:rsidP="00A61652">
      <w:pPr>
        <w:spacing w:afterLines="100" w:after="312" w:line="600" w:lineRule="exact"/>
        <w:jc w:val="center"/>
        <w:rPr>
          <w:rFonts w:ascii="楷体_GB2312" w:eastAsia="楷体_GB2312"/>
          <w:b/>
          <w:sz w:val="32"/>
          <w:szCs w:val="32"/>
        </w:rPr>
      </w:pPr>
      <w:r>
        <w:rPr>
          <w:rFonts w:ascii="楷体_GB2312" w:eastAsia="楷体_GB2312" w:hint="eastAsia"/>
          <w:b/>
          <w:sz w:val="32"/>
          <w:szCs w:val="32"/>
        </w:rPr>
        <w:t>第二节  完善养老服务体系</w:t>
      </w:r>
    </w:p>
    <w:p w:rsidR="00D92198" w:rsidRDefault="00AE1128" w:rsidP="00A61652">
      <w:pPr>
        <w:spacing w:afterLines="100" w:after="312" w:line="600" w:lineRule="exact"/>
        <w:ind w:firstLineChars="200" w:firstLine="640"/>
        <w:rPr>
          <w:rFonts w:ascii="仿宋_GB2312" w:eastAsia="仿宋_GB2312" w:hAnsi="Times New Roman"/>
          <w:kern w:val="0"/>
          <w:sz w:val="32"/>
          <w:szCs w:val="32"/>
        </w:rPr>
      </w:pPr>
      <w:r>
        <w:rPr>
          <w:rFonts w:ascii="仿宋_GB2312" w:eastAsia="仿宋_GB2312" w:hAnsi="Times New Roman" w:hint="eastAsia"/>
          <w:kern w:val="0"/>
          <w:sz w:val="32"/>
          <w:szCs w:val="32"/>
        </w:rPr>
        <w:t>加大政策支持，加大财政投入，科学规划布局，加快养老设施建设。支持家庭承担养老功能，落实独生子女护理假政策，建立父母随子女异地养老定居、医疗转诊绿色通道机制。加快布局建设日间照料机构等社区养老服务设施，积极发展社区嵌入式养老和互助性养老。发展普惠型养老服务，深化公办养老机构改革，完善公建民营管理机制，扩大养老机构护理型床位供给。完善农村养老服务网络，改造提升特困人员供养服务设施。积极发展医养结合机构，加强养老服务机构质量安全、运营秩序等监管，提高养老护理人员规模和素质。开展居家、社区和公共设施适老化建设改造，推进老年大学县级全覆盖，注重消除老年“数字鸿沟”。加强老年人权益保障，建设老年友好型社会。</w:t>
      </w:r>
    </w:p>
    <w:p w:rsidR="00D92198" w:rsidRDefault="00AE1128" w:rsidP="00A61652">
      <w:pPr>
        <w:spacing w:afterLines="100" w:after="312" w:line="600" w:lineRule="exact"/>
        <w:jc w:val="center"/>
        <w:rPr>
          <w:rFonts w:ascii="楷体_GB2312" w:eastAsia="楷体_GB2312"/>
          <w:b/>
          <w:sz w:val="32"/>
          <w:szCs w:val="32"/>
        </w:rPr>
      </w:pPr>
      <w:r>
        <w:rPr>
          <w:rFonts w:ascii="楷体_GB2312" w:eastAsia="楷体_GB2312" w:hint="eastAsia"/>
          <w:b/>
          <w:sz w:val="32"/>
          <w:szCs w:val="32"/>
        </w:rPr>
        <w:lastRenderedPageBreak/>
        <w:t>第三节  发展银发经济</w:t>
      </w:r>
    </w:p>
    <w:p w:rsidR="00D92198" w:rsidRDefault="00AE1128" w:rsidP="00A61652">
      <w:pPr>
        <w:spacing w:afterLines="100" w:after="312" w:line="600" w:lineRule="exact"/>
        <w:ind w:firstLineChars="200" w:firstLine="640"/>
        <w:rPr>
          <w:rFonts w:ascii="仿宋_GB2312" w:eastAsia="仿宋_GB2312" w:hAnsi="Times New Roman"/>
          <w:kern w:val="0"/>
          <w:sz w:val="32"/>
          <w:szCs w:val="32"/>
        </w:rPr>
      </w:pPr>
      <w:r>
        <w:rPr>
          <w:rFonts w:ascii="仿宋_GB2312" w:eastAsia="仿宋_GB2312" w:hAnsi="Times New Roman" w:hint="eastAsia"/>
          <w:kern w:val="0"/>
          <w:sz w:val="32"/>
          <w:szCs w:val="32"/>
        </w:rPr>
        <w:t>积极开发老龄人力资源，倡导终身发展理念，支持老年人力所能及发光发热、老有所为。健全配套政策措施，支持大龄劳动者和老年人就业创业。积极研发推广适老用品、老年功能代偿和辅助产品、智慧养老产品，丰富适老性金融产品和服务，促进银发经济全链条发展。广泛宣传老干部、老战士、老专家、老教师、老模范等离退休老同志先进事迹和崇高精神，支持更多老同志在关心下一代等方面发挥特长和优势。</w:t>
      </w:r>
    </w:p>
    <w:tbl>
      <w:tblPr>
        <w:tblpPr w:leftFromText="180" w:rightFromText="180" w:vertAnchor="text" w:horzAnchor="margin" w:tblpY="103"/>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48"/>
      </w:tblGrid>
      <w:tr w:rsidR="00D92198">
        <w:trPr>
          <w:trHeight w:val="461"/>
        </w:trPr>
        <w:tc>
          <w:tcPr>
            <w:tcW w:w="8748" w:type="dxa"/>
            <w:vAlign w:val="center"/>
          </w:tcPr>
          <w:p w:rsidR="00D92198" w:rsidRDefault="00AE1128">
            <w:pPr>
              <w:spacing w:line="600" w:lineRule="exact"/>
              <w:ind w:firstLineChars="100" w:firstLine="300"/>
              <w:jc w:val="center"/>
              <w:rPr>
                <w:rFonts w:ascii="黑体" w:eastAsia="黑体" w:hAnsi="黑体" w:cs="宋体"/>
                <w:bCs/>
                <w:kern w:val="0"/>
                <w:sz w:val="30"/>
                <w:szCs w:val="30"/>
              </w:rPr>
            </w:pPr>
            <w:r>
              <w:rPr>
                <w:rFonts w:ascii="黑体" w:eastAsia="黑体" w:hAnsi="黑体" w:cs="宋体" w:hint="eastAsia"/>
                <w:bCs/>
                <w:kern w:val="0"/>
                <w:sz w:val="30"/>
                <w:szCs w:val="30"/>
              </w:rPr>
              <w:t>专栏10：养老服务重点项目</w:t>
            </w:r>
          </w:p>
        </w:tc>
      </w:tr>
      <w:tr w:rsidR="00D92198">
        <w:trPr>
          <w:trHeight w:val="296"/>
        </w:trPr>
        <w:tc>
          <w:tcPr>
            <w:tcW w:w="8748" w:type="dxa"/>
          </w:tcPr>
          <w:p w:rsidR="00D92198" w:rsidRDefault="00AE1128" w:rsidP="00A61652">
            <w:pPr>
              <w:spacing w:line="460" w:lineRule="exact"/>
              <w:ind w:firstLineChars="196" w:firstLine="549"/>
              <w:rPr>
                <w:rFonts w:ascii="仿宋_GB2312" w:eastAsia="仿宋_GB2312"/>
                <w:sz w:val="28"/>
                <w:szCs w:val="28"/>
              </w:rPr>
            </w:pPr>
            <w:r>
              <w:rPr>
                <w:rFonts w:ascii="仿宋_GB2312" w:eastAsia="仿宋_GB2312" w:hint="eastAsia"/>
                <w:sz w:val="28"/>
                <w:szCs w:val="28"/>
              </w:rPr>
              <w:t>1.新建宛城区、卧龙区、新野县、西峡县、方城县、桐柏县、社旗县、内乡县、南召县、淅川县、镇平县、西峡县、高新区、城乡化一体示范区、官庄工区、鸭河工区等16个县级特困供养服务设施（敬老院）项目。</w:t>
            </w:r>
          </w:p>
          <w:p w:rsidR="00D92198" w:rsidRDefault="00AE1128" w:rsidP="00A61652">
            <w:pPr>
              <w:spacing w:line="460" w:lineRule="exact"/>
              <w:ind w:firstLineChars="196" w:firstLine="549"/>
              <w:rPr>
                <w:rFonts w:ascii="仿宋_GB2312" w:eastAsia="仿宋_GB2312"/>
                <w:sz w:val="28"/>
                <w:szCs w:val="28"/>
              </w:rPr>
            </w:pPr>
            <w:r>
              <w:rPr>
                <w:rFonts w:ascii="仿宋_GB2312" w:eastAsia="仿宋_GB2312" w:hint="eastAsia"/>
                <w:sz w:val="28"/>
                <w:szCs w:val="28"/>
              </w:rPr>
              <w:t>2.新建38个城镇街道综合性养老服务中心。</w:t>
            </w:r>
          </w:p>
          <w:p w:rsidR="00D92198" w:rsidRDefault="00AE1128" w:rsidP="00A61652">
            <w:pPr>
              <w:spacing w:line="460" w:lineRule="exact"/>
              <w:ind w:firstLineChars="196" w:firstLine="549"/>
              <w:rPr>
                <w:rFonts w:ascii="仿宋_GB2312" w:eastAsia="仿宋_GB2312"/>
                <w:sz w:val="28"/>
                <w:szCs w:val="28"/>
              </w:rPr>
            </w:pPr>
            <w:r>
              <w:rPr>
                <w:rFonts w:ascii="仿宋_GB2312" w:eastAsia="仿宋_GB2312" w:hint="eastAsia"/>
                <w:sz w:val="28"/>
                <w:szCs w:val="28"/>
              </w:rPr>
              <w:t>3.新建148个城市老年人日间照料中心。</w:t>
            </w:r>
          </w:p>
          <w:p w:rsidR="00D92198" w:rsidRDefault="00AE1128" w:rsidP="00A61652">
            <w:pPr>
              <w:spacing w:line="460" w:lineRule="exact"/>
              <w:ind w:firstLineChars="196" w:firstLine="549"/>
              <w:rPr>
                <w:rFonts w:ascii="仿宋_GB2312" w:eastAsia="仿宋_GB2312"/>
                <w:sz w:val="28"/>
                <w:szCs w:val="28"/>
              </w:rPr>
            </w:pPr>
            <w:r>
              <w:rPr>
                <w:rFonts w:ascii="仿宋_GB2312" w:eastAsia="仿宋_GB2312" w:hint="eastAsia"/>
                <w:sz w:val="28"/>
                <w:szCs w:val="28"/>
              </w:rPr>
              <w:t>4.新建2500个左右农村幸福院（互助家园）。</w:t>
            </w:r>
          </w:p>
          <w:p w:rsidR="00D92198" w:rsidRDefault="00AE1128" w:rsidP="00A61652">
            <w:pPr>
              <w:spacing w:line="460" w:lineRule="exact"/>
              <w:ind w:firstLineChars="196" w:firstLine="549"/>
              <w:rPr>
                <w:rFonts w:ascii="仿宋_GB2312" w:eastAsia="仿宋_GB2312"/>
                <w:sz w:val="28"/>
                <w:szCs w:val="28"/>
              </w:rPr>
            </w:pPr>
            <w:r>
              <w:rPr>
                <w:rFonts w:ascii="仿宋_GB2312" w:eastAsia="仿宋_GB2312" w:hint="eastAsia"/>
                <w:sz w:val="28"/>
                <w:szCs w:val="28"/>
              </w:rPr>
              <w:t>5.市级福利园区项目。在市西北部卧龙区靳岗街道办事处与谢庄镇交界处，规划建设集儿童福利、残疾人福利、养老和救助等功能为一体的 “六院三站一中心”综合性福利园区。</w:t>
            </w:r>
          </w:p>
          <w:p w:rsidR="00D92198" w:rsidRDefault="00AE1128" w:rsidP="00A61652">
            <w:pPr>
              <w:spacing w:line="460" w:lineRule="exact"/>
              <w:ind w:firstLineChars="196" w:firstLine="549"/>
              <w:rPr>
                <w:rFonts w:ascii="仿宋_GB2312" w:eastAsia="仿宋_GB2312"/>
                <w:sz w:val="28"/>
                <w:szCs w:val="28"/>
              </w:rPr>
            </w:pPr>
            <w:r>
              <w:rPr>
                <w:rFonts w:ascii="仿宋_GB2312" w:eastAsia="仿宋_GB2312" w:hint="eastAsia"/>
                <w:sz w:val="28"/>
                <w:szCs w:val="28"/>
              </w:rPr>
              <w:t>6.康养中心项目。在城乡一体化示范区健康养生城范围内，建设集残疾人康养、假肢站、特困人员疗养中心、救助物资站为一体的南阳市康养中心。</w:t>
            </w:r>
          </w:p>
          <w:p w:rsidR="00D92198" w:rsidRDefault="00AE1128" w:rsidP="00A61652">
            <w:pPr>
              <w:spacing w:line="460" w:lineRule="exact"/>
              <w:ind w:firstLineChars="196" w:firstLine="549"/>
              <w:rPr>
                <w:rFonts w:ascii="仿宋_GB2312" w:eastAsia="仿宋_GB2312"/>
                <w:sz w:val="28"/>
                <w:szCs w:val="28"/>
              </w:rPr>
            </w:pPr>
            <w:r>
              <w:rPr>
                <w:rFonts w:ascii="仿宋_GB2312" w:eastAsia="仿宋_GB2312" w:hint="eastAsia"/>
                <w:sz w:val="28"/>
                <w:szCs w:val="28"/>
              </w:rPr>
              <w:t>7.筹划中原长寿城项目。</w:t>
            </w:r>
          </w:p>
        </w:tc>
      </w:tr>
    </w:tbl>
    <w:p w:rsidR="00D92198" w:rsidRDefault="00AE1128" w:rsidP="00A61652">
      <w:pPr>
        <w:spacing w:afterLines="100" w:after="312" w:line="600" w:lineRule="exact"/>
        <w:jc w:val="center"/>
        <w:rPr>
          <w:rFonts w:ascii="方正小标宋简体" w:eastAsia="方正小标宋简体" w:hAnsi="黑体" w:cs="黑体"/>
          <w:sz w:val="32"/>
          <w:szCs w:val="32"/>
        </w:rPr>
      </w:pPr>
      <w:r>
        <w:rPr>
          <w:rFonts w:ascii="方正小标宋简体" w:eastAsia="方正小标宋简体" w:hAnsi="黑体" w:cs="黑体" w:hint="eastAsia"/>
          <w:sz w:val="32"/>
          <w:szCs w:val="32"/>
        </w:rPr>
        <w:lastRenderedPageBreak/>
        <w:t>第十三篇  增进民生福祉，建设幸福美好家园</w:t>
      </w:r>
    </w:p>
    <w:p w:rsidR="00D92198" w:rsidRDefault="00AE1128" w:rsidP="00A61652">
      <w:pPr>
        <w:spacing w:afterLines="100" w:after="312" w:line="600" w:lineRule="exact"/>
        <w:ind w:firstLineChars="200" w:firstLine="640"/>
        <w:jc w:val="left"/>
        <w:rPr>
          <w:rFonts w:ascii="仿宋_GB2312" w:eastAsia="仿宋_GB2312" w:hAnsi="Times New Roman"/>
          <w:kern w:val="0"/>
          <w:sz w:val="32"/>
          <w:szCs w:val="32"/>
        </w:rPr>
      </w:pPr>
      <w:bookmarkStart w:id="84" w:name="_Hlk59033019"/>
      <w:bookmarkEnd w:id="79"/>
      <w:r>
        <w:rPr>
          <w:rFonts w:ascii="仿宋_GB2312" w:eastAsia="仿宋_GB2312" w:hAnsi="Times New Roman" w:hint="eastAsia"/>
          <w:kern w:val="0"/>
          <w:sz w:val="32"/>
          <w:szCs w:val="32"/>
        </w:rPr>
        <w:t>坚持把实现好、维护好、发展好最广大人民根本利益作为发展的出发点和落脚点，尽力而为、量力而行，健全基本公共服务体系，完善共建共治共享的社会治理制度，扎实推动共同富裕，不断增强人民群众获得感、幸福感、安全感。</w:t>
      </w:r>
    </w:p>
    <w:p w:rsidR="00D92198" w:rsidRDefault="00AE1128" w:rsidP="00A61652">
      <w:pPr>
        <w:pStyle w:val="2"/>
        <w:spacing w:afterLines="100" w:after="312"/>
        <w:ind w:firstLineChars="0" w:firstLine="0"/>
        <w:jc w:val="center"/>
        <w:rPr>
          <w:rFonts w:ascii="黑体" w:hAnsi="黑体"/>
          <w:szCs w:val="32"/>
        </w:rPr>
      </w:pPr>
      <w:bookmarkStart w:id="85" w:name="_Toc27387694"/>
      <w:bookmarkStart w:id="86" w:name="_Toc490695950"/>
      <w:bookmarkStart w:id="87" w:name="_Toc27387692"/>
      <w:bookmarkStart w:id="88" w:name="_Toc490695948"/>
      <w:bookmarkEnd w:id="84"/>
      <w:r>
        <w:rPr>
          <w:rFonts w:ascii="黑体" w:hAnsi="黑体" w:hint="eastAsia"/>
          <w:szCs w:val="32"/>
        </w:rPr>
        <w:t>第四十四章  改善人民生活品质</w:t>
      </w:r>
    </w:p>
    <w:p w:rsidR="00D92198" w:rsidRDefault="00AE1128" w:rsidP="00A61652">
      <w:pPr>
        <w:spacing w:afterLines="100" w:after="312" w:line="600" w:lineRule="exact"/>
        <w:ind w:firstLineChars="200" w:firstLine="640"/>
        <w:jc w:val="left"/>
        <w:rPr>
          <w:rFonts w:ascii="仿宋_GB2312" w:eastAsia="仿宋_GB2312" w:hAnsi="Times New Roman"/>
          <w:kern w:val="0"/>
          <w:sz w:val="32"/>
          <w:szCs w:val="32"/>
        </w:rPr>
      </w:pPr>
      <w:r>
        <w:rPr>
          <w:rFonts w:ascii="仿宋_GB2312" w:eastAsia="仿宋_GB2312" w:hAnsi="Times New Roman" w:hint="eastAsia"/>
          <w:kern w:val="0"/>
          <w:sz w:val="32"/>
          <w:szCs w:val="32"/>
        </w:rPr>
        <w:t>千万百计稳定和扩大就业，不断增加居民收入，努力改善人民生活品质。</w:t>
      </w:r>
    </w:p>
    <w:p w:rsidR="00D92198" w:rsidRDefault="00AE1128" w:rsidP="00A61652">
      <w:pPr>
        <w:pStyle w:val="2"/>
        <w:spacing w:afterLines="100" w:after="312"/>
        <w:ind w:firstLineChars="0" w:firstLine="0"/>
        <w:jc w:val="center"/>
        <w:rPr>
          <w:rFonts w:ascii="楷体_GB2312" w:eastAsia="楷体_GB2312" w:hAnsi="楷体"/>
          <w:b/>
          <w:szCs w:val="32"/>
        </w:rPr>
      </w:pPr>
      <w:bookmarkStart w:id="89" w:name="_Hlk59033067"/>
      <w:bookmarkEnd w:id="85"/>
      <w:bookmarkEnd w:id="86"/>
      <w:r>
        <w:rPr>
          <w:rFonts w:ascii="楷体_GB2312" w:eastAsia="楷体_GB2312" w:hAnsi="楷体" w:hint="eastAsia"/>
          <w:b/>
          <w:szCs w:val="32"/>
        </w:rPr>
        <w:t xml:space="preserve"> 第一节  优化收入分配结构</w:t>
      </w:r>
    </w:p>
    <w:p w:rsidR="00D92198" w:rsidRDefault="00AE1128" w:rsidP="00A61652">
      <w:pPr>
        <w:spacing w:afterLines="100" w:after="312" w:line="600" w:lineRule="exact"/>
        <w:ind w:firstLineChars="200" w:firstLine="640"/>
        <w:jc w:val="left"/>
        <w:rPr>
          <w:rFonts w:ascii="仿宋_GB2312" w:eastAsia="仿宋_GB2312" w:hAnsi="Times New Roman"/>
          <w:kern w:val="0"/>
          <w:sz w:val="32"/>
          <w:szCs w:val="32"/>
        </w:rPr>
      </w:pPr>
      <w:r>
        <w:rPr>
          <w:rFonts w:ascii="仿宋_GB2312" w:eastAsia="仿宋_GB2312" w:hAnsi="Times New Roman" w:hint="eastAsia"/>
          <w:kern w:val="0"/>
          <w:sz w:val="32"/>
          <w:szCs w:val="32"/>
        </w:rPr>
        <w:t>坚持按劳分配为主体、多种分配方式并存，提高劳动报酬在初次分配中的比重，健全工资合理增长机制，提高低收入群体收入，扩大中等收入群体。完善按要素分配政策制度，健全各类生产要素由市场决定报酬的机制，探索通过土地、资本等要素使用权、收益权增加中低收入群体要素收入。多渠道增加城乡居民财产性收入，进一步缩小城乡居民收入差距。实施扩大中等收入群体行动计划，以大中专院校毕业生、技能型劳动者、农民工为重点，不断提高中等收入人群比重。完善再分配机制，加大税收、社保、转移支付等调节力度和精准性，合理</w:t>
      </w:r>
      <w:r>
        <w:rPr>
          <w:rFonts w:ascii="仿宋_GB2312" w:eastAsia="仿宋_GB2312" w:hAnsi="Times New Roman" w:hint="eastAsia"/>
          <w:kern w:val="0"/>
          <w:sz w:val="32"/>
          <w:szCs w:val="32"/>
        </w:rPr>
        <w:lastRenderedPageBreak/>
        <w:t>调节过高收入，取缔非法收入。发挥第三次分配作用，发展慈善事业，改善收入和财富分配格局。加大低收入困难户帮扶力度，确保低收入群体收入增长高于居民收入平均增长水平。</w:t>
      </w:r>
    </w:p>
    <w:bookmarkEnd w:id="89"/>
    <w:p w:rsidR="00D92198" w:rsidRDefault="00AE1128" w:rsidP="00A61652">
      <w:pPr>
        <w:pStyle w:val="2"/>
        <w:spacing w:afterLines="100" w:after="312"/>
        <w:ind w:firstLineChars="0" w:firstLine="0"/>
        <w:jc w:val="center"/>
        <w:rPr>
          <w:rFonts w:ascii="楷体_GB2312" w:eastAsia="楷体_GB2312" w:hAnsi="楷体"/>
          <w:b/>
        </w:rPr>
      </w:pPr>
      <w:r>
        <w:rPr>
          <w:rFonts w:ascii="楷体_GB2312" w:eastAsia="楷体_GB2312" w:hAnsi="楷体" w:hint="eastAsia"/>
          <w:b/>
        </w:rPr>
        <w:t xml:space="preserve">第二节  </w:t>
      </w:r>
      <w:bookmarkStart w:id="90" w:name="_Hlk59033434"/>
      <w:r>
        <w:rPr>
          <w:rFonts w:ascii="楷体_GB2312" w:eastAsia="楷体_GB2312" w:hAnsi="楷体" w:hint="eastAsia"/>
          <w:b/>
        </w:rPr>
        <w:t>千方百计扩大就业</w:t>
      </w:r>
      <w:bookmarkEnd w:id="87"/>
      <w:bookmarkEnd w:id="88"/>
    </w:p>
    <w:p w:rsidR="00D92198" w:rsidRDefault="00AE1128" w:rsidP="00A61652">
      <w:pPr>
        <w:spacing w:afterLines="100" w:after="312" w:line="600" w:lineRule="exact"/>
        <w:ind w:firstLineChars="200" w:firstLine="640"/>
        <w:jc w:val="left"/>
        <w:rPr>
          <w:rFonts w:ascii="仿宋_GB2312" w:eastAsia="仿宋_GB2312" w:hAnsi="Times New Roman"/>
          <w:kern w:val="0"/>
          <w:sz w:val="32"/>
          <w:szCs w:val="32"/>
        </w:rPr>
      </w:pPr>
      <w:r>
        <w:rPr>
          <w:rFonts w:ascii="仿宋_GB2312" w:eastAsia="仿宋_GB2312" w:hAnsi="Times New Roman" w:hint="eastAsia"/>
          <w:kern w:val="0"/>
          <w:sz w:val="32"/>
          <w:szCs w:val="32"/>
        </w:rPr>
        <w:t>坚持经济发展就业导向，建立城乡统筹、部门联动、政策支持、社会参与和服务多样的创业带动就业机制，扩大就业容量，提升就业质量，促进充分就业。推动农民工、退役军人、高校毕业生、下岗转岗职工、就业困难人员等群体创业就业。健全残疾人、零就业家庭人员、最低生活保障家庭人群、大龄低技能劳动者等就业困难群体援助制度，加强公益性岗位开发和托底安置。</w:t>
      </w:r>
      <w:bookmarkStart w:id="91" w:name="_Toc490695949"/>
      <w:bookmarkStart w:id="92" w:name="_Toc27387693"/>
      <w:bookmarkEnd w:id="90"/>
      <w:r>
        <w:rPr>
          <w:rFonts w:ascii="仿宋_GB2312" w:eastAsia="仿宋_GB2312" w:hAnsi="Times New Roman" w:hint="eastAsia"/>
          <w:kern w:val="0"/>
          <w:sz w:val="32"/>
          <w:szCs w:val="32"/>
        </w:rPr>
        <w:t>完善公共就业创业服务体系，健全终身职业技能培训制度，实施就业技能培训和岗位技能提升培训专项行动，不断提高城乡劳动者就业能力和职业转换能力。健全劳动关系协商机制，引导企业改善用工环境，加强企业民主管理制度建设，依法保障职工基本权益。坚决解决拖欠农民工工资问题，构建和谐劳动关系。</w:t>
      </w:r>
    </w:p>
    <w:p w:rsidR="00D92198" w:rsidRDefault="00AE1128" w:rsidP="00A61652">
      <w:pPr>
        <w:spacing w:afterLines="100" w:after="312" w:line="600" w:lineRule="exact"/>
        <w:jc w:val="center"/>
        <w:rPr>
          <w:rFonts w:ascii="黑体" w:eastAsia="黑体" w:hAnsi="黑体"/>
          <w:sz w:val="32"/>
          <w:szCs w:val="32"/>
        </w:rPr>
      </w:pPr>
      <w:r>
        <w:rPr>
          <w:rFonts w:ascii="黑体" w:eastAsia="黑体" w:hAnsi="黑体" w:hint="eastAsia"/>
          <w:sz w:val="32"/>
          <w:szCs w:val="32"/>
        </w:rPr>
        <w:t>第</w:t>
      </w:r>
      <w:bookmarkStart w:id="93" w:name="_Hlk59033647"/>
      <w:r>
        <w:rPr>
          <w:rFonts w:ascii="黑体" w:eastAsia="黑体" w:hAnsi="黑体" w:hint="eastAsia"/>
          <w:sz w:val="32"/>
          <w:szCs w:val="32"/>
        </w:rPr>
        <w:t>四十五章  健全多层次社会保障体系</w:t>
      </w:r>
      <w:bookmarkEnd w:id="91"/>
      <w:bookmarkEnd w:id="92"/>
    </w:p>
    <w:p w:rsidR="00D92198" w:rsidRDefault="00AE1128" w:rsidP="00A61652">
      <w:pPr>
        <w:spacing w:afterLines="100" w:after="312" w:line="600" w:lineRule="exact"/>
        <w:ind w:firstLineChars="200" w:firstLine="640"/>
        <w:jc w:val="left"/>
        <w:rPr>
          <w:rFonts w:ascii="仿宋_GB2312" w:eastAsia="仿宋_GB2312" w:hAnsi="Times New Roman"/>
          <w:kern w:val="0"/>
          <w:sz w:val="32"/>
          <w:szCs w:val="32"/>
        </w:rPr>
      </w:pPr>
      <w:r>
        <w:rPr>
          <w:rFonts w:ascii="仿宋_GB2312" w:eastAsia="仿宋_GB2312" w:hAnsi="Times New Roman" w:hint="eastAsia"/>
          <w:kern w:val="0"/>
          <w:sz w:val="32"/>
          <w:szCs w:val="32"/>
        </w:rPr>
        <w:t>健全覆盖全民、统筹城乡、公平统一、可持续的多层次社会保障体系。</w:t>
      </w:r>
    </w:p>
    <w:p w:rsidR="00D92198" w:rsidRDefault="00AE1128" w:rsidP="00A61652">
      <w:pPr>
        <w:spacing w:afterLines="100" w:after="312" w:line="600" w:lineRule="exact"/>
        <w:jc w:val="center"/>
        <w:rPr>
          <w:rFonts w:ascii="楷体_GB2312" w:eastAsia="楷体_GB2312" w:hAnsi="仿宋_GB2312" w:cs="仿宋_GB2312"/>
          <w:b/>
          <w:sz w:val="32"/>
          <w:szCs w:val="32"/>
        </w:rPr>
      </w:pPr>
      <w:r>
        <w:rPr>
          <w:rFonts w:ascii="楷体_GB2312" w:eastAsia="楷体_GB2312" w:hAnsi="仿宋_GB2312" w:cs="仿宋_GB2312" w:hint="eastAsia"/>
          <w:b/>
          <w:sz w:val="32"/>
          <w:szCs w:val="32"/>
        </w:rPr>
        <w:lastRenderedPageBreak/>
        <w:t>第一节  完善社会保险制度</w:t>
      </w:r>
    </w:p>
    <w:p w:rsidR="00D92198" w:rsidRDefault="00AE1128" w:rsidP="00A61652">
      <w:pPr>
        <w:spacing w:afterLines="100" w:after="312" w:line="600" w:lineRule="exact"/>
        <w:ind w:firstLineChars="200" w:firstLine="640"/>
        <w:jc w:val="left"/>
        <w:rPr>
          <w:rFonts w:ascii="仿宋_GB2312" w:eastAsia="仿宋_GB2312" w:hAnsi="Times New Roman"/>
          <w:kern w:val="0"/>
          <w:sz w:val="32"/>
          <w:szCs w:val="32"/>
        </w:rPr>
      </w:pPr>
      <w:r>
        <w:rPr>
          <w:rFonts w:ascii="仿宋_GB2312" w:eastAsia="仿宋_GB2312" w:hAnsi="Times New Roman" w:hint="eastAsia"/>
          <w:kern w:val="0"/>
          <w:sz w:val="32"/>
          <w:szCs w:val="32"/>
        </w:rPr>
        <w:t>落实基本医疗、失业保险、工伤保险省级统筹。建立退休人员基本养老金合理调整机制，调整完善养老金计发基数。完善养老保险转移接续机制，建立健全城乡居民养老保险参保人员丧葬补助和高龄补贴制度。发展多层次、多支柱养老保险体系，完善企业年金、职业年金制度，推动养老保险第三支柱发展。完善失业保险调剂制度。建立预防、补偿、康复“三位一体”工伤保险制度体系。实行医疗保障待遇清单制度，完善基本医疗保险门诊共济保障机制，健全重大疾病医疗保险和救助制度。完善生育保险政策。推行以按照病种付费为主的多元复合式医保支付方式，按规定将符合条件的互联网医疗服务纳入医保支付范围，落实异地就医结算。完善灵活就业人员参保政策，实现社会保险法定人群全覆盖。加强社会保险经办服务体系建设，推进社会保险经办服务市县乡村全覆盖，构建全市统一的“规范化、标准化、信息化”社会保险公共服务平台，实现与全国统一社会保险公共服务平台的无缝对接和互联互通。</w:t>
      </w:r>
    </w:p>
    <w:p w:rsidR="00D92198" w:rsidRDefault="00AE1128" w:rsidP="00A61652">
      <w:pPr>
        <w:spacing w:afterLines="100" w:after="312" w:line="600" w:lineRule="exact"/>
        <w:ind w:firstLineChars="200" w:firstLine="643"/>
        <w:jc w:val="center"/>
        <w:rPr>
          <w:rFonts w:ascii="楷体_GB2312" w:eastAsia="楷体_GB2312" w:hAnsi="仿宋_GB2312" w:cs="仿宋_GB2312"/>
          <w:b/>
          <w:sz w:val="32"/>
          <w:szCs w:val="32"/>
        </w:rPr>
      </w:pPr>
      <w:r>
        <w:rPr>
          <w:rFonts w:ascii="楷体_GB2312" w:eastAsia="楷体_GB2312" w:hAnsi="仿宋_GB2312" w:cs="仿宋_GB2312" w:hint="eastAsia"/>
          <w:b/>
          <w:sz w:val="32"/>
          <w:szCs w:val="32"/>
        </w:rPr>
        <w:t>第二节  健全社会救助和社会福利制度</w:t>
      </w:r>
    </w:p>
    <w:p w:rsidR="00D92198" w:rsidRDefault="00AE1128" w:rsidP="00A61652">
      <w:pPr>
        <w:spacing w:afterLines="100" w:after="312" w:line="600" w:lineRule="exact"/>
        <w:ind w:firstLineChars="200" w:firstLine="640"/>
        <w:jc w:val="left"/>
        <w:rPr>
          <w:rFonts w:ascii="仿宋_GB2312" w:eastAsia="仿宋_GB2312" w:hAnsi="Times New Roman"/>
          <w:kern w:val="0"/>
          <w:sz w:val="32"/>
          <w:szCs w:val="32"/>
        </w:rPr>
      </w:pPr>
      <w:r>
        <w:rPr>
          <w:rFonts w:ascii="仿宋_GB2312" w:eastAsia="仿宋_GB2312" w:hAnsi="Times New Roman" w:hint="eastAsia"/>
          <w:kern w:val="0"/>
          <w:sz w:val="32"/>
          <w:szCs w:val="32"/>
        </w:rPr>
        <w:t>以最低生活保障、特困人员救助供养为基础，以专项救助为支撑，急难救助为辅助，社会力量参与为补充，健全分层分</w:t>
      </w:r>
      <w:r>
        <w:rPr>
          <w:rFonts w:ascii="仿宋_GB2312" w:eastAsia="仿宋_GB2312" w:hAnsi="Times New Roman" w:hint="eastAsia"/>
          <w:kern w:val="0"/>
          <w:sz w:val="32"/>
          <w:szCs w:val="32"/>
        </w:rPr>
        <w:lastRenderedPageBreak/>
        <w:t>类救助体系。建立健全“四集中”工作长效机制，巩固发展“四集中”兜底保障成果。健全老年人、残疾人关爱服务体系，做好生活无着落流浪乞讨人员救助，完善帮扶残疾人、孤儿等社会福利制度。完善基本生活救助制度，健全救助保障标准与物价上涨挂钩联动机制。完善提升“政福保”“政康保”保障水平，在试点基础上，探索建立“防贫保”。加快精神卫生社会福利机构建设。推动殡仪馆、城市公益性公墓等殡葬设施县市区全覆盖，推动乡镇示范性农村公益性公墓建设，大力推行文明治丧和生态殡葬。</w:t>
      </w:r>
    </w:p>
    <w:p w:rsidR="00D92198" w:rsidRDefault="00AE1128" w:rsidP="00A61652">
      <w:pPr>
        <w:spacing w:afterLines="100" w:after="312" w:line="600" w:lineRule="exact"/>
        <w:ind w:firstLineChars="200" w:firstLine="643"/>
        <w:jc w:val="center"/>
        <w:rPr>
          <w:rFonts w:ascii="楷体_GB2312" w:eastAsia="楷体_GB2312" w:hAnsi="仿宋_GB2312" w:cs="仿宋_GB2312"/>
          <w:b/>
          <w:sz w:val="32"/>
          <w:szCs w:val="32"/>
        </w:rPr>
      </w:pPr>
      <w:r>
        <w:rPr>
          <w:rFonts w:ascii="楷体_GB2312" w:eastAsia="楷体_GB2312" w:hAnsi="仿宋_GB2312" w:cs="仿宋_GB2312" w:hint="eastAsia"/>
          <w:b/>
          <w:sz w:val="32"/>
          <w:szCs w:val="32"/>
        </w:rPr>
        <w:t>第三节  加强退役军人服务保障</w:t>
      </w:r>
    </w:p>
    <w:p w:rsidR="00D92198" w:rsidRDefault="00AE1128" w:rsidP="00A61652">
      <w:pPr>
        <w:spacing w:afterLines="100" w:after="312" w:line="600" w:lineRule="exact"/>
        <w:ind w:firstLineChars="200" w:firstLine="640"/>
        <w:jc w:val="left"/>
        <w:rPr>
          <w:rFonts w:ascii="仿宋_GB2312" w:eastAsia="仿宋_GB2312" w:hAnsi="Times New Roman"/>
          <w:kern w:val="0"/>
          <w:sz w:val="32"/>
          <w:szCs w:val="32"/>
        </w:rPr>
      </w:pPr>
      <w:r>
        <w:rPr>
          <w:rFonts w:ascii="仿宋_GB2312" w:eastAsia="仿宋_GB2312" w:hAnsi="Times New Roman" w:hint="eastAsia"/>
          <w:kern w:val="0"/>
          <w:sz w:val="32"/>
          <w:szCs w:val="32"/>
        </w:rPr>
        <w:t>健全退役军人工作体系和保障制度，依法维护军人军属合法权益。加强退役军人安置保障，实施</w:t>
      </w:r>
      <w:r>
        <w:rPr>
          <w:rFonts w:ascii="仿宋_GB2312" w:eastAsia="仿宋_GB2312" w:hAnsi="Times New Roman"/>
          <w:kern w:val="0"/>
          <w:sz w:val="32"/>
          <w:szCs w:val="32"/>
        </w:rPr>
        <w:t>军转干部、退役士兵</w:t>
      </w:r>
      <w:r>
        <w:rPr>
          <w:rFonts w:ascii="仿宋_GB2312" w:eastAsia="仿宋_GB2312" w:hAnsi="Times New Roman" w:hint="eastAsia"/>
          <w:kern w:val="0"/>
          <w:sz w:val="32"/>
          <w:szCs w:val="32"/>
        </w:rPr>
        <w:t>“</w:t>
      </w:r>
      <w:r>
        <w:rPr>
          <w:rFonts w:ascii="仿宋_GB2312" w:eastAsia="仿宋_GB2312" w:hAnsi="Times New Roman"/>
          <w:kern w:val="0"/>
          <w:sz w:val="32"/>
          <w:szCs w:val="32"/>
        </w:rPr>
        <w:t>阳光安置</w:t>
      </w:r>
      <w:r>
        <w:rPr>
          <w:rFonts w:ascii="仿宋_GB2312" w:eastAsia="仿宋_GB2312" w:hAnsi="Times New Roman" w:hint="eastAsia"/>
          <w:kern w:val="0"/>
          <w:sz w:val="32"/>
          <w:szCs w:val="32"/>
        </w:rPr>
        <w:t>”</w:t>
      </w:r>
      <w:r>
        <w:rPr>
          <w:rFonts w:ascii="仿宋_GB2312" w:eastAsia="仿宋_GB2312" w:hAnsi="Times New Roman"/>
          <w:kern w:val="0"/>
          <w:sz w:val="32"/>
          <w:szCs w:val="32"/>
        </w:rPr>
        <w:t>和</w:t>
      </w:r>
      <w:r>
        <w:rPr>
          <w:rFonts w:ascii="仿宋_GB2312" w:eastAsia="仿宋_GB2312" w:hAnsi="Times New Roman" w:hint="eastAsia"/>
          <w:kern w:val="0"/>
          <w:sz w:val="32"/>
          <w:szCs w:val="32"/>
        </w:rPr>
        <w:t>“</w:t>
      </w:r>
      <w:r>
        <w:rPr>
          <w:rFonts w:ascii="仿宋_GB2312" w:eastAsia="仿宋_GB2312" w:hAnsi="Times New Roman"/>
          <w:kern w:val="0"/>
          <w:sz w:val="32"/>
          <w:szCs w:val="32"/>
        </w:rPr>
        <w:t>直通车</w:t>
      </w:r>
      <w:r>
        <w:rPr>
          <w:rFonts w:ascii="仿宋_GB2312" w:eastAsia="仿宋_GB2312" w:hAnsi="Times New Roman" w:hint="eastAsia"/>
          <w:kern w:val="0"/>
          <w:sz w:val="32"/>
          <w:szCs w:val="32"/>
        </w:rPr>
        <w:t>”</w:t>
      </w:r>
      <w:r>
        <w:rPr>
          <w:rFonts w:ascii="仿宋_GB2312" w:eastAsia="仿宋_GB2312" w:hAnsi="Times New Roman"/>
          <w:kern w:val="0"/>
          <w:sz w:val="32"/>
          <w:szCs w:val="32"/>
        </w:rPr>
        <w:t>式安置</w:t>
      </w:r>
      <w:r>
        <w:rPr>
          <w:rFonts w:ascii="仿宋_GB2312" w:eastAsia="仿宋_GB2312" w:hAnsi="Times New Roman" w:hint="eastAsia"/>
          <w:kern w:val="0"/>
          <w:sz w:val="32"/>
          <w:szCs w:val="32"/>
        </w:rPr>
        <w:t>，建设南阳军创小镇，打造集退役军人就业、创业、居住、生活、教育、医疗、养老等一站式综合服务区。实施退役军人适应性培训、职业培训和军人终身职业教育，落实鼓励企业吸纳录用退役军人等政策，提升就业安置质量。建立健全新型待遇保障体系，做好优抚褒扬工作，落实优抚对象待遇。</w:t>
      </w:r>
      <w:r>
        <w:rPr>
          <w:rFonts w:ascii="仿宋_GB2312" w:eastAsia="仿宋_GB2312" w:hAnsi="Times New Roman"/>
          <w:kern w:val="0"/>
          <w:sz w:val="32"/>
          <w:szCs w:val="32"/>
        </w:rPr>
        <w:t>改进</w:t>
      </w:r>
      <w:r>
        <w:rPr>
          <w:rFonts w:ascii="仿宋_GB2312" w:eastAsia="仿宋_GB2312" w:hAnsi="Times New Roman" w:hint="eastAsia"/>
          <w:kern w:val="0"/>
          <w:sz w:val="32"/>
          <w:szCs w:val="32"/>
        </w:rPr>
        <w:t>离退休军人</w:t>
      </w:r>
      <w:r>
        <w:rPr>
          <w:rFonts w:ascii="仿宋_GB2312" w:eastAsia="仿宋_GB2312" w:hAnsi="Times New Roman"/>
          <w:kern w:val="0"/>
          <w:sz w:val="32"/>
          <w:szCs w:val="32"/>
        </w:rPr>
        <w:t>和伤病残</w:t>
      </w:r>
      <w:r>
        <w:rPr>
          <w:rFonts w:ascii="仿宋_GB2312" w:eastAsia="仿宋_GB2312" w:hAnsi="Times New Roman" w:hint="eastAsia"/>
          <w:kern w:val="0"/>
          <w:sz w:val="32"/>
          <w:szCs w:val="32"/>
        </w:rPr>
        <w:t>退役军人</w:t>
      </w:r>
      <w:r>
        <w:rPr>
          <w:rFonts w:ascii="仿宋_GB2312" w:eastAsia="仿宋_GB2312" w:hAnsi="Times New Roman"/>
          <w:kern w:val="0"/>
          <w:sz w:val="32"/>
          <w:szCs w:val="32"/>
        </w:rPr>
        <w:t>移交安置办法，实现</w:t>
      </w:r>
      <w:r>
        <w:rPr>
          <w:rFonts w:ascii="仿宋_GB2312" w:eastAsia="仿宋_GB2312" w:hAnsi="Times New Roman" w:hint="eastAsia"/>
          <w:kern w:val="0"/>
          <w:sz w:val="32"/>
          <w:szCs w:val="32"/>
        </w:rPr>
        <w:t>“</w:t>
      </w:r>
      <w:r>
        <w:rPr>
          <w:rFonts w:ascii="仿宋_GB2312" w:eastAsia="仿宋_GB2312" w:hAnsi="Times New Roman"/>
          <w:kern w:val="0"/>
          <w:sz w:val="32"/>
          <w:szCs w:val="32"/>
        </w:rPr>
        <w:t>即退即审、即审即接、即接即保障</w:t>
      </w:r>
      <w:r>
        <w:rPr>
          <w:rFonts w:ascii="仿宋_GB2312" w:eastAsia="仿宋_GB2312" w:hAnsi="Times New Roman" w:hint="eastAsia"/>
          <w:kern w:val="0"/>
          <w:sz w:val="32"/>
          <w:szCs w:val="32"/>
        </w:rPr>
        <w:t>”</w:t>
      </w:r>
      <w:r>
        <w:rPr>
          <w:rFonts w:ascii="仿宋_GB2312" w:eastAsia="仿宋_GB2312" w:hAnsi="Times New Roman"/>
          <w:kern w:val="0"/>
          <w:sz w:val="32"/>
          <w:szCs w:val="32"/>
        </w:rPr>
        <w:t>；</w:t>
      </w:r>
      <w:r>
        <w:rPr>
          <w:rFonts w:ascii="仿宋_GB2312" w:eastAsia="仿宋_GB2312" w:hAnsi="Times New Roman" w:hint="eastAsia"/>
          <w:kern w:val="0"/>
          <w:sz w:val="32"/>
          <w:szCs w:val="32"/>
        </w:rPr>
        <w:t>完善离退休军人</w:t>
      </w:r>
      <w:r>
        <w:rPr>
          <w:rFonts w:ascii="仿宋_GB2312" w:eastAsia="仿宋_GB2312" w:hAnsi="Times New Roman"/>
          <w:kern w:val="0"/>
          <w:sz w:val="32"/>
          <w:szCs w:val="32"/>
        </w:rPr>
        <w:t>待遇政策调整机制。</w:t>
      </w:r>
      <w:r>
        <w:rPr>
          <w:rFonts w:ascii="仿宋_GB2312" w:eastAsia="仿宋_GB2312" w:hAnsi="Times New Roman" w:hint="eastAsia"/>
          <w:kern w:val="0"/>
          <w:sz w:val="32"/>
          <w:szCs w:val="32"/>
        </w:rPr>
        <w:t>提升优抚医院、光荣院、军供站、</w:t>
      </w:r>
      <w:r>
        <w:rPr>
          <w:rFonts w:ascii="仿宋_GB2312" w:eastAsia="仿宋_GB2312" w:hAnsi="Times New Roman" w:hint="eastAsia"/>
          <w:kern w:val="0"/>
          <w:sz w:val="32"/>
          <w:szCs w:val="32"/>
        </w:rPr>
        <w:lastRenderedPageBreak/>
        <w:t>军人公墓等建设服务水平，完成市级烈士陵园迁建，加强烈士纪念设施保护管理，改造提升县级烈士纪念设施。成立“南阳市退役军人关爱基金会”，规范基金运行监管。建立退役军人信息化综合管理平台，系统推进“退役军人+互联网”服务。深入推进“双拥”共建，巩固拓展“双拥”模范城市创建成果，促进军政军民团结。</w:t>
      </w:r>
    </w:p>
    <w:p w:rsidR="00D92198" w:rsidRDefault="00AE1128" w:rsidP="00A61652">
      <w:pPr>
        <w:spacing w:afterLines="100" w:after="312" w:line="600" w:lineRule="exact"/>
        <w:ind w:firstLineChars="200" w:firstLine="643"/>
        <w:jc w:val="center"/>
        <w:rPr>
          <w:rFonts w:ascii="楷体_GB2312" w:eastAsia="楷体_GB2312" w:hAnsi="仿宋_GB2312" w:cs="仿宋_GB2312"/>
          <w:b/>
          <w:sz w:val="32"/>
          <w:szCs w:val="32"/>
        </w:rPr>
      </w:pPr>
      <w:r>
        <w:rPr>
          <w:rFonts w:ascii="楷体_GB2312" w:eastAsia="楷体_GB2312" w:hAnsi="仿宋_GB2312" w:cs="仿宋_GB2312" w:hint="eastAsia"/>
          <w:b/>
          <w:sz w:val="32"/>
          <w:szCs w:val="32"/>
        </w:rPr>
        <w:t>第四节  提升残疾人福利水平和助残服务能力</w:t>
      </w:r>
    </w:p>
    <w:p w:rsidR="00D92198" w:rsidRDefault="00AE1128" w:rsidP="00A61652">
      <w:pPr>
        <w:spacing w:afterLines="100" w:after="312" w:line="600" w:lineRule="exact"/>
        <w:ind w:firstLineChars="200" w:firstLine="640"/>
        <w:jc w:val="left"/>
        <w:rPr>
          <w:rFonts w:ascii="仿宋_GB2312" w:eastAsia="仿宋_GB2312" w:hAnsi="Times New Roman"/>
          <w:kern w:val="0"/>
          <w:sz w:val="32"/>
          <w:szCs w:val="32"/>
        </w:rPr>
      </w:pPr>
      <w:r>
        <w:rPr>
          <w:rFonts w:ascii="仿宋_GB2312" w:eastAsia="仿宋_GB2312" w:hAnsi="Times New Roman" w:hint="eastAsia"/>
          <w:kern w:val="0"/>
          <w:sz w:val="32"/>
          <w:szCs w:val="32"/>
        </w:rPr>
        <w:t>健全残疾人社会福利和帮扶制度，推进残疾人服务设施和综合服务体系建设，加强残疾人公共服务监管，促进残疾人融合发展。加强残疾人劳动权益和职业技能培训，扶持残疾人自主创业。推进适龄残疾儿童和少年教育全覆盖，提高残疾人教育普及水平和教育质量。促进康复服务市场化发展，</w:t>
      </w:r>
      <w:r>
        <w:rPr>
          <w:rFonts w:ascii="仿宋_GB2312" w:eastAsia="仿宋_GB2312" w:hAnsi="仿宋_GB2312" w:cs="仿宋_GB2312" w:hint="eastAsia"/>
          <w:sz w:val="32"/>
          <w:szCs w:val="32"/>
        </w:rPr>
        <w:t>培育壮大康复辅助器具产业，建设辐射带动周边省市的康复辅助器具配置服务体系，推进康复辅助器具产业与养老、助残、医疗、健康业态融合发展，</w:t>
      </w:r>
      <w:r>
        <w:rPr>
          <w:rFonts w:ascii="仿宋_GB2312" w:eastAsia="仿宋_GB2312" w:hAnsi="Times New Roman" w:hint="eastAsia"/>
          <w:kern w:val="0"/>
          <w:sz w:val="32"/>
          <w:szCs w:val="32"/>
        </w:rPr>
        <w:t>提高康复辅助器具适配率。</w:t>
      </w:r>
      <w:r>
        <w:rPr>
          <w:rFonts w:ascii="仿宋_GB2312" w:eastAsia="仿宋_GB2312" w:hAnsi="仿宋_GB2312" w:cs="仿宋_GB2312" w:hint="eastAsia"/>
          <w:sz w:val="32"/>
          <w:szCs w:val="32"/>
        </w:rPr>
        <w:t>创建康复辅助器具产业国家综合创新试点城市。</w:t>
      </w:r>
      <w:r>
        <w:rPr>
          <w:rFonts w:ascii="仿宋_GB2312" w:eastAsia="仿宋_GB2312" w:hAnsi="Times New Roman" w:hint="eastAsia"/>
          <w:kern w:val="0"/>
          <w:sz w:val="32"/>
          <w:szCs w:val="32"/>
        </w:rPr>
        <w:t>完善无障碍环境建设和维护政策，支持困难残疾人家庭无障碍设施改造。健全残疾人“两项补贴”制度，提升精神障碍群体社区康复服务水平。</w:t>
      </w:r>
    </w:p>
    <w:p w:rsidR="00D92198" w:rsidRDefault="00AE1128" w:rsidP="00A61652">
      <w:pPr>
        <w:spacing w:afterLines="100" w:after="312" w:line="600" w:lineRule="exact"/>
        <w:jc w:val="center"/>
        <w:rPr>
          <w:rFonts w:ascii="黑体" w:eastAsia="黑体" w:hAnsi="黑体"/>
          <w:sz w:val="32"/>
          <w:szCs w:val="32"/>
        </w:rPr>
      </w:pPr>
      <w:bookmarkStart w:id="94" w:name="_Hlk59034822"/>
      <w:bookmarkEnd w:id="93"/>
      <w:r>
        <w:rPr>
          <w:rFonts w:ascii="黑体" w:eastAsia="黑体" w:hAnsi="黑体" w:hint="eastAsia"/>
          <w:sz w:val="32"/>
          <w:szCs w:val="32"/>
        </w:rPr>
        <w:t>第四十六章  促进妇女儿童和青年全面发展</w:t>
      </w:r>
    </w:p>
    <w:p w:rsidR="00D92198" w:rsidRDefault="00AE1128" w:rsidP="00A61652">
      <w:pPr>
        <w:spacing w:afterLines="100" w:after="312" w:line="600" w:lineRule="exact"/>
        <w:ind w:firstLineChars="200" w:firstLine="640"/>
        <w:rPr>
          <w:rFonts w:ascii="仿宋_GB2312" w:eastAsia="仿宋_GB2312" w:hAnsi="Times New Roman"/>
          <w:kern w:val="0"/>
          <w:sz w:val="32"/>
          <w:szCs w:val="32"/>
        </w:rPr>
      </w:pPr>
      <w:r>
        <w:rPr>
          <w:rFonts w:ascii="仿宋_GB2312" w:eastAsia="仿宋_GB2312" w:hAnsi="Times New Roman" w:hint="eastAsia"/>
          <w:kern w:val="0"/>
          <w:sz w:val="32"/>
          <w:szCs w:val="32"/>
        </w:rPr>
        <w:lastRenderedPageBreak/>
        <w:t>坚持男女平等基本国策，完善妇女、儿童和青年发展政策体系，加强家庭、家教、家风建设。</w:t>
      </w:r>
    </w:p>
    <w:p w:rsidR="00D92198" w:rsidRDefault="00AE1128" w:rsidP="00A61652">
      <w:pPr>
        <w:spacing w:afterLines="100" w:after="312" w:line="600" w:lineRule="exact"/>
        <w:jc w:val="center"/>
        <w:rPr>
          <w:rFonts w:ascii="楷体_GB2312" w:eastAsia="楷体_GB2312"/>
          <w:b/>
          <w:sz w:val="32"/>
          <w:szCs w:val="32"/>
        </w:rPr>
      </w:pPr>
      <w:r>
        <w:rPr>
          <w:rFonts w:ascii="楷体_GB2312" w:eastAsia="楷体_GB2312" w:hint="eastAsia"/>
          <w:b/>
          <w:sz w:val="32"/>
          <w:szCs w:val="32"/>
        </w:rPr>
        <w:t>第一节  保障妇女合法权益</w:t>
      </w:r>
    </w:p>
    <w:p w:rsidR="00D92198" w:rsidRDefault="00AE1128" w:rsidP="00A61652">
      <w:pPr>
        <w:spacing w:afterLines="100" w:after="312" w:line="600" w:lineRule="exact"/>
        <w:ind w:firstLineChars="200" w:firstLine="640"/>
        <w:rPr>
          <w:rFonts w:ascii="仿宋_GB2312" w:eastAsia="仿宋_GB2312" w:hAnsi="Times New Roman"/>
          <w:kern w:val="0"/>
          <w:sz w:val="32"/>
          <w:szCs w:val="32"/>
        </w:rPr>
      </w:pPr>
      <w:r>
        <w:rPr>
          <w:rFonts w:ascii="仿宋_GB2312" w:eastAsia="仿宋_GB2312" w:hAnsi="Times New Roman" w:hint="eastAsia"/>
          <w:kern w:val="0"/>
          <w:sz w:val="32"/>
          <w:szCs w:val="32"/>
        </w:rPr>
        <w:t>实施妇女发展规划，持续改善妇女发展环境，依法保障妇女平等获得就学、就业、婚姻财产、参与社会事务和民主管理等权利，全面消除性别歧视，提升妇女依法维权能力。完善城乡生育津补贴制度，切实保障妇女职工生育权益和母婴权益，扩大母婴室覆盖区域。推广“一站式”服务模式，提高妇女保健、婚前保健、孕产保健等健康服务水平，加强妇女常见病筛查和早诊早治，建立健全农村妇女宫颈癌和乳腺癌综合防治体系。加强农村留守妇女关爱服务和特殊困难妇女群众民生保障。引导妇女自尊自信自立自强，开展富有女性特色的建功立业活动，拓宽妇女就业渠道，组织动员妇女走在时代前列。</w:t>
      </w:r>
    </w:p>
    <w:p w:rsidR="00D92198" w:rsidRDefault="00AE1128" w:rsidP="00A61652">
      <w:pPr>
        <w:spacing w:afterLines="100" w:after="312" w:line="600" w:lineRule="exact"/>
        <w:jc w:val="center"/>
        <w:rPr>
          <w:rFonts w:ascii="楷体_GB2312" w:eastAsia="楷体_GB2312"/>
          <w:b/>
          <w:sz w:val="32"/>
          <w:szCs w:val="32"/>
        </w:rPr>
      </w:pPr>
      <w:r>
        <w:rPr>
          <w:rFonts w:ascii="楷体_GB2312" w:eastAsia="楷体_GB2312" w:hint="eastAsia"/>
          <w:b/>
          <w:sz w:val="32"/>
          <w:szCs w:val="32"/>
        </w:rPr>
        <w:t>第二节  健全儿童关爱服务体系</w:t>
      </w:r>
    </w:p>
    <w:p w:rsidR="00D92198" w:rsidRDefault="00AE1128" w:rsidP="00A61652">
      <w:pPr>
        <w:spacing w:afterLines="100" w:after="312" w:line="600" w:lineRule="exact"/>
        <w:ind w:firstLineChars="200" w:firstLine="640"/>
        <w:rPr>
          <w:rFonts w:ascii="仿宋_GB2312" w:eastAsia="仿宋_GB2312" w:hAnsi="Times New Roman"/>
          <w:kern w:val="0"/>
          <w:sz w:val="32"/>
          <w:szCs w:val="32"/>
        </w:rPr>
      </w:pPr>
      <w:r>
        <w:rPr>
          <w:rFonts w:ascii="仿宋_GB2312" w:eastAsia="仿宋_GB2312" w:hAnsi="Times New Roman" w:hint="eastAsia"/>
          <w:kern w:val="0"/>
          <w:sz w:val="32"/>
          <w:szCs w:val="32"/>
        </w:rPr>
        <w:t>实施儿童发展规划，完善促进儿童优先发展和全面发展的制度体系，保障儿童生存、发展、受保护和参与的权利。实施学龄前儿童营养改善计划，加强儿童营养及食品用品质量安全保障，有效控制儿童肥胖和近视，预防和控制儿童疾病。</w:t>
      </w:r>
      <w:r>
        <w:rPr>
          <w:rFonts w:ascii="仿宋_GB2312" w:eastAsia="仿宋_GB2312" w:hAnsi="仿宋_GB2312" w:cs="仿宋_GB2312" w:hint="eastAsia"/>
          <w:sz w:val="32"/>
          <w:szCs w:val="32"/>
          <w:shd w:val="clear" w:color="auto" w:fill="FFFFFF"/>
        </w:rPr>
        <w:t>建立未成年人保护工作协调机制，统筹推进未成年人保护工作。</w:t>
      </w:r>
      <w:r>
        <w:rPr>
          <w:rFonts w:ascii="仿宋_GB2312" w:eastAsia="仿宋_GB2312" w:hAnsi="仿宋_GB2312" w:cs="仿宋_GB2312" w:hint="eastAsia"/>
          <w:sz w:val="32"/>
          <w:szCs w:val="32"/>
        </w:rPr>
        <w:t>加</w:t>
      </w:r>
      <w:r>
        <w:rPr>
          <w:rFonts w:ascii="仿宋_GB2312" w:eastAsia="仿宋_GB2312" w:hAnsi="仿宋_GB2312" w:cs="仿宋_GB2312" w:hint="eastAsia"/>
          <w:sz w:val="32"/>
          <w:szCs w:val="32"/>
        </w:rPr>
        <w:lastRenderedPageBreak/>
        <w:t>强困境儿童分类保障和农村留守儿童关爱服务，健全孤儿、事实无人抚养儿童社会福利制度。加强未成年人救助保护机构建设，推进未成年人救助保护机构转型升级，提升关爱服务能力。优化儿童福利机构区域布局，推动区域性集中养育，实现集中养育机构养育、康复、教育、医疗、社会工作一体化高质量发展。加快儿童之家和儿童心理公共服务体系建设。</w:t>
      </w:r>
      <w:r>
        <w:rPr>
          <w:rFonts w:ascii="仿宋_GB2312" w:eastAsia="仿宋_GB2312" w:hAnsi="Times New Roman" w:hint="eastAsia"/>
          <w:kern w:val="0"/>
          <w:sz w:val="32"/>
          <w:szCs w:val="32"/>
        </w:rPr>
        <w:t>预防和控制儿童伤害，严厉打击危害儿童身心健康的违法犯罪行为。健全未成年人网络保护综合治理机制。加强中小学生欺凌和暴力防治，预防未成年人犯罪。</w:t>
      </w:r>
    </w:p>
    <w:p w:rsidR="00D92198" w:rsidRDefault="00AE1128" w:rsidP="00A61652">
      <w:pPr>
        <w:spacing w:afterLines="100" w:after="312" w:line="600" w:lineRule="exact"/>
        <w:jc w:val="center"/>
        <w:rPr>
          <w:rFonts w:ascii="楷体_GB2312" w:eastAsia="楷体_GB2312"/>
          <w:b/>
          <w:sz w:val="32"/>
          <w:szCs w:val="32"/>
        </w:rPr>
      </w:pPr>
      <w:r>
        <w:rPr>
          <w:rFonts w:ascii="楷体_GB2312" w:eastAsia="楷体_GB2312" w:hint="eastAsia"/>
          <w:b/>
          <w:sz w:val="32"/>
          <w:szCs w:val="32"/>
        </w:rPr>
        <w:t>第三节  完善青年发展政策体系</w:t>
      </w:r>
    </w:p>
    <w:p w:rsidR="00D92198" w:rsidRDefault="00AE1128" w:rsidP="00A61652">
      <w:pPr>
        <w:spacing w:afterLines="100" w:after="312" w:line="600" w:lineRule="exact"/>
        <w:ind w:firstLineChars="200" w:firstLine="640"/>
        <w:rPr>
          <w:rFonts w:ascii="仿宋_GB2312" w:eastAsia="仿宋_GB2312" w:hAnsi="Times New Roman"/>
          <w:kern w:val="0"/>
          <w:sz w:val="32"/>
          <w:szCs w:val="32"/>
        </w:rPr>
      </w:pPr>
      <w:r>
        <w:rPr>
          <w:rFonts w:ascii="仿宋_GB2312" w:eastAsia="仿宋_GB2312" w:hAnsi="Times New Roman" w:hint="eastAsia"/>
          <w:kern w:val="0"/>
          <w:sz w:val="32"/>
          <w:szCs w:val="32"/>
        </w:rPr>
        <w:t xml:space="preserve">实施中长期青年发展规划，突出青年优先发展理念，优化青年成长环境，维护青年发展权益，促进青年全面发展。加强青年教育、就业、住房、婚恋等服务支持。全面建设青年友好型城市、青年发展型城市。加强青年理想信念教育，深入实施青年马克思主义者培训工程。引导青年有序参与政治生活和社会公共事务，引导青年踊跃投身创新实践，鼓励青年在经济社会发展中充分发挥生力军和突击队作用。加强青年社会组织培育，鼓励和支持青年参与社会实践和志愿服务。完善青年工作联席会议机制，健全青年发展状况监测评估体系。 </w:t>
      </w:r>
    </w:p>
    <w:p w:rsidR="00D92198" w:rsidRDefault="00AE1128" w:rsidP="00A61652">
      <w:pPr>
        <w:spacing w:afterLines="100" w:after="312" w:line="600" w:lineRule="exact"/>
        <w:jc w:val="center"/>
        <w:rPr>
          <w:rFonts w:ascii="楷体_GB2312" w:eastAsia="楷体_GB2312"/>
          <w:b/>
          <w:sz w:val="32"/>
          <w:szCs w:val="32"/>
        </w:rPr>
      </w:pPr>
      <w:r>
        <w:rPr>
          <w:rFonts w:ascii="楷体_GB2312" w:eastAsia="楷体_GB2312" w:hint="eastAsia"/>
          <w:b/>
          <w:sz w:val="32"/>
          <w:szCs w:val="32"/>
        </w:rPr>
        <w:lastRenderedPageBreak/>
        <w:t>第四节  支持家庭发展</w:t>
      </w:r>
    </w:p>
    <w:p w:rsidR="00D92198" w:rsidRDefault="00AE1128" w:rsidP="00A61652">
      <w:pPr>
        <w:spacing w:afterLines="100" w:after="312" w:line="600" w:lineRule="exact"/>
        <w:ind w:firstLineChars="200" w:firstLine="640"/>
        <w:rPr>
          <w:rFonts w:ascii="仿宋_GB2312" w:eastAsia="仿宋_GB2312" w:hAnsi="Times New Roman"/>
          <w:kern w:val="0"/>
          <w:sz w:val="32"/>
          <w:szCs w:val="32"/>
        </w:rPr>
      </w:pPr>
      <w:r>
        <w:rPr>
          <w:rFonts w:ascii="仿宋_GB2312" w:eastAsia="仿宋_GB2312" w:hAnsi="Times New Roman" w:hint="eastAsia"/>
          <w:kern w:val="0"/>
          <w:sz w:val="32"/>
          <w:szCs w:val="32"/>
        </w:rPr>
        <w:t>以建设文明家庭、实施科学家教、传承优良家风为重点，深入实施“家家幸福安康工程”，完善支持家庭发展的政策体系。倡导家庭责任共担，建设平等、和睦、文明的家庭关系。健全学校家庭社会协同育人机制。构建覆盖城乡的家庭教育指导服务体系，完善婚姻家庭纠纷预防化解机制，推进家庭教育指导服务中心、服务站点、信息化服务平台等建设。加强对困难家庭、失独家庭、单亲特困等特殊家庭的政策支持、救助和服务。推进家风家教示范基地建设，开展最美家庭推选宣传、弘扬好家风好家训。</w:t>
      </w:r>
    </w:p>
    <w:p w:rsidR="00D92198" w:rsidRDefault="00AE1128">
      <w:pPr>
        <w:overflowPunct w:val="0"/>
        <w:spacing w:line="600" w:lineRule="exact"/>
        <w:jc w:val="center"/>
        <w:rPr>
          <w:rFonts w:ascii="方正小标宋简体" w:eastAsia="方正小标宋简体" w:hAnsi="黑体"/>
          <w:sz w:val="32"/>
          <w:szCs w:val="32"/>
        </w:rPr>
      </w:pPr>
      <w:bookmarkStart w:id="95" w:name="_Toc27387697"/>
      <w:bookmarkEnd w:id="94"/>
      <w:r>
        <w:rPr>
          <w:rFonts w:ascii="方正小标宋简体" w:eastAsia="方正小标宋简体" w:hAnsi="黑体" w:hint="eastAsia"/>
          <w:sz w:val="32"/>
          <w:szCs w:val="32"/>
        </w:rPr>
        <w:t>第十四篇  全面落实总体国家安全观，建设更高</w:t>
      </w:r>
    </w:p>
    <w:p w:rsidR="00D92198" w:rsidRDefault="00AE1128">
      <w:pPr>
        <w:overflowPunct w:val="0"/>
        <w:spacing w:line="600" w:lineRule="exact"/>
        <w:jc w:val="center"/>
        <w:rPr>
          <w:rFonts w:ascii="方正小标宋简体" w:eastAsia="方正小标宋简体" w:hAnsi="黑体"/>
          <w:sz w:val="32"/>
          <w:szCs w:val="32"/>
        </w:rPr>
      </w:pPr>
      <w:r>
        <w:rPr>
          <w:rFonts w:ascii="方正小标宋简体" w:eastAsia="方正小标宋简体" w:hAnsi="黑体" w:hint="eastAsia"/>
          <w:sz w:val="32"/>
          <w:szCs w:val="32"/>
        </w:rPr>
        <w:t>水平的平安南阳</w:t>
      </w:r>
    </w:p>
    <w:p w:rsidR="00D92198" w:rsidRDefault="00AE1128" w:rsidP="00A61652">
      <w:pPr>
        <w:spacing w:beforeLines="100" w:before="312" w:afterLines="100" w:after="312" w:line="600" w:lineRule="exact"/>
        <w:ind w:firstLine="641"/>
        <w:rPr>
          <w:rFonts w:ascii="仿宋_GB2312" w:eastAsia="仿宋_GB2312" w:hAnsi="Times New Roman"/>
          <w:kern w:val="0"/>
          <w:sz w:val="32"/>
          <w:szCs w:val="32"/>
        </w:rPr>
      </w:pPr>
      <w:r>
        <w:rPr>
          <w:rFonts w:ascii="仿宋_GB2312" w:eastAsia="仿宋_GB2312" w:hAnsi="Times New Roman" w:hint="eastAsia"/>
          <w:kern w:val="0"/>
          <w:sz w:val="32"/>
          <w:szCs w:val="32"/>
        </w:rPr>
        <w:t>贯彻国家安全战略，统筹传统安全和非传统安全，把安全发展贯穿全市经济社会发展各领域和全过程，着力防范和化解现代化进程中各种风险，筑牢安全防线。</w:t>
      </w:r>
    </w:p>
    <w:p w:rsidR="00D92198" w:rsidRDefault="00AE1128" w:rsidP="00A61652">
      <w:pPr>
        <w:overflowPunct w:val="0"/>
        <w:spacing w:afterLines="100" w:after="312" w:line="600" w:lineRule="exact"/>
        <w:jc w:val="center"/>
        <w:rPr>
          <w:rFonts w:ascii="黑体" w:eastAsia="黑体" w:hAnsi="黑体"/>
          <w:sz w:val="32"/>
          <w:szCs w:val="32"/>
        </w:rPr>
      </w:pPr>
      <w:r>
        <w:rPr>
          <w:rFonts w:ascii="黑体" w:eastAsia="黑体" w:hAnsi="黑体" w:hint="eastAsia"/>
          <w:sz w:val="32"/>
          <w:szCs w:val="32"/>
        </w:rPr>
        <w:t>第四十七章  坚决维护政治安全</w:t>
      </w:r>
    </w:p>
    <w:p w:rsidR="00D92198" w:rsidRDefault="00AE1128" w:rsidP="00A61652">
      <w:pPr>
        <w:spacing w:afterLines="100" w:after="312" w:line="570" w:lineRule="exact"/>
        <w:ind w:firstLineChars="200" w:firstLine="640"/>
        <w:rPr>
          <w:rFonts w:ascii="仿宋_GB2312" w:eastAsia="仿宋_GB2312" w:hAnsi="Times New Roman"/>
          <w:kern w:val="0"/>
          <w:sz w:val="32"/>
          <w:szCs w:val="32"/>
        </w:rPr>
      </w:pPr>
      <w:r>
        <w:rPr>
          <w:rFonts w:ascii="仿宋_GB2312" w:eastAsia="仿宋_GB2312" w:hAnsi="Times New Roman" w:hint="eastAsia"/>
          <w:kern w:val="0"/>
          <w:sz w:val="32"/>
          <w:szCs w:val="32"/>
        </w:rPr>
        <w:t>全面落实国家安全责任制，构建上下贯通的国家安全工作体系和责任体系。完善国家安全审查和监管机制，加强国家安</w:t>
      </w:r>
      <w:r>
        <w:rPr>
          <w:rFonts w:ascii="仿宋_GB2312" w:eastAsia="仿宋_GB2312" w:hAnsi="Times New Roman" w:hint="eastAsia"/>
          <w:kern w:val="0"/>
          <w:sz w:val="32"/>
          <w:szCs w:val="32"/>
        </w:rPr>
        <w:lastRenderedPageBreak/>
        <w:t>全执法。坚定维护国家政权安全、制度安全、意识形态安全，守好维护政治安全生命线。严格落实意识形态工作责任制，加强各类阵地建设和管理，全面加强网络安全保障体系和能力建设。严密防范和坚决打击敌对势力渗透、破坏、颠覆和分裂活动。依法精准、常态长效推进反恐维稳工作，规划建设反恐训练基地和警察训练中心。坚决遏制非法宗教和邪教滋扰破坏活动。加强国家安全宣传教育，增强全民国家安全意识、保密意识和国防观念，巩固国家安全人民防线。</w:t>
      </w:r>
    </w:p>
    <w:p w:rsidR="00D92198" w:rsidRDefault="00AE1128" w:rsidP="00A61652">
      <w:pPr>
        <w:overflowPunct w:val="0"/>
        <w:spacing w:afterLines="100" w:after="312" w:line="570" w:lineRule="exact"/>
        <w:jc w:val="center"/>
        <w:rPr>
          <w:rFonts w:ascii="黑体" w:eastAsia="黑体" w:hAnsi="黑体"/>
          <w:sz w:val="32"/>
          <w:szCs w:val="32"/>
        </w:rPr>
      </w:pPr>
      <w:r>
        <w:rPr>
          <w:rFonts w:ascii="黑体" w:eastAsia="黑体" w:hAnsi="黑体" w:hint="eastAsia"/>
          <w:sz w:val="32"/>
          <w:szCs w:val="32"/>
        </w:rPr>
        <w:t>第四十八章  坚决确保经济安全</w:t>
      </w:r>
    </w:p>
    <w:p w:rsidR="00D92198" w:rsidRDefault="00AE1128" w:rsidP="00A61652">
      <w:pPr>
        <w:spacing w:afterLines="100" w:after="312" w:line="570" w:lineRule="exact"/>
        <w:ind w:firstLineChars="200" w:firstLine="640"/>
        <w:rPr>
          <w:rFonts w:ascii="仿宋_GB2312" w:eastAsia="仿宋_GB2312" w:hAnsi="Times New Roman"/>
          <w:kern w:val="0"/>
          <w:sz w:val="32"/>
          <w:szCs w:val="32"/>
        </w:rPr>
      </w:pPr>
      <w:r>
        <w:rPr>
          <w:rFonts w:ascii="仿宋_GB2312" w:eastAsia="仿宋_GB2312" w:hAnsi="Times New Roman" w:hint="eastAsia"/>
          <w:kern w:val="0"/>
          <w:sz w:val="32"/>
          <w:szCs w:val="32"/>
        </w:rPr>
        <w:t>加强经济安全风险预警、防控机制和能力建设。实施产业竞争力调查和评价，增强产业链供应链韧性。确保粮食安全，维护生态安全，维护水利、电力、供水、油气、交通、通信、网络等重要基础设施安全。维护新型领域安全，加强对新经济、新业态分析研究，提高对新型风险的识别、预警、防控能力。健全预防、预警、处置、问责制度机制，有效防范化解金融风险，对违法违规行为零容忍。健全执法、司法、法律服务衔接配套的综合保障体系，对涉及企业债务、企业破产等案件，灵活运用执法司法措施，帮助企业渡过难关。对涉众型经济犯罪，加强与金融机构、行业监管部门的协同配合，统筹推进打击违法和维护稳定工作，严防经济金融风险向政治社会领域传导。</w:t>
      </w:r>
    </w:p>
    <w:p w:rsidR="00D92198" w:rsidRDefault="00AE1128" w:rsidP="00A61652">
      <w:pPr>
        <w:overflowPunct w:val="0"/>
        <w:spacing w:afterLines="100" w:after="312" w:line="570" w:lineRule="exact"/>
        <w:jc w:val="center"/>
        <w:rPr>
          <w:rFonts w:ascii="黑体" w:eastAsia="黑体" w:hAnsi="黑体"/>
          <w:sz w:val="32"/>
          <w:szCs w:val="32"/>
        </w:rPr>
      </w:pPr>
      <w:r>
        <w:rPr>
          <w:rFonts w:ascii="黑体" w:eastAsia="黑体" w:hAnsi="黑体" w:hint="eastAsia"/>
          <w:sz w:val="32"/>
          <w:szCs w:val="32"/>
        </w:rPr>
        <w:lastRenderedPageBreak/>
        <w:t>第四十九章  坚决保障人民生命安全</w:t>
      </w:r>
    </w:p>
    <w:p w:rsidR="00D92198" w:rsidRDefault="00AE1128" w:rsidP="00A61652">
      <w:pPr>
        <w:overflowPunct w:val="0"/>
        <w:spacing w:afterLines="100" w:after="312" w:line="600" w:lineRule="exact"/>
        <w:ind w:firstLineChars="200" w:firstLine="640"/>
        <w:rPr>
          <w:rFonts w:ascii="仿宋_GB2312" w:eastAsia="仿宋_GB2312"/>
          <w:sz w:val="32"/>
          <w:szCs w:val="32"/>
        </w:rPr>
      </w:pPr>
      <w:r>
        <w:rPr>
          <w:rFonts w:ascii="仿宋_GB2312" w:eastAsia="仿宋_GB2312" w:hint="eastAsia"/>
          <w:sz w:val="32"/>
          <w:szCs w:val="32"/>
        </w:rPr>
        <w:t>坚持把保护人民生命安全放在第一位，健全隐患排查治理和风险防控体系，织密织牢维护公共安全的防护网和责任网，全面提高公共安全保障能力。完善和落实安全生产责任制，深入开展安全生产专项整治，加强安全生产监管执法，有效遏制危险化学品、矿山、建筑施工、交通、火灾等重特大安全事故。加强特种设备安全综合监督管理。强化生物安全保护，抓好动物疫病防控。加强对寄递物流、危</w:t>
      </w:r>
      <w:r>
        <w:rPr>
          <w:rFonts w:ascii="仿宋_GB2312" w:eastAsia="仿宋_GB2312" w:hint="eastAsia"/>
          <w:spacing w:val="6"/>
          <w:sz w:val="32"/>
          <w:szCs w:val="32"/>
        </w:rPr>
        <w:t>爆物品等行业监管。建立健全药品和疫苗全生命周期管理机制，健全质量标识和全程可追溯制度。加强生物安全风险防控。加强重点领域和高危行业从业人员安全教育，提高社会安全意</w:t>
      </w:r>
      <w:r>
        <w:rPr>
          <w:rFonts w:ascii="仿宋_GB2312" w:eastAsia="仿宋_GB2312" w:hint="eastAsia"/>
          <w:sz w:val="32"/>
          <w:szCs w:val="32"/>
        </w:rPr>
        <w:t>识。</w:t>
      </w:r>
    </w:p>
    <w:p w:rsidR="00D92198" w:rsidRDefault="00AE1128" w:rsidP="00A61652">
      <w:pPr>
        <w:overflowPunct w:val="0"/>
        <w:spacing w:afterLines="100" w:after="312" w:line="600" w:lineRule="exact"/>
        <w:jc w:val="center"/>
        <w:rPr>
          <w:rFonts w:ascii="黑体" w:eastAsia="黑体" w:hAnsi="黑体"/>
          <w:sz w:val="32"/>
          <w:szCs w:val="32"/>
        </w:rPr>
      </w:pPr>
      <w:r>
        <w:rPr>
          <w:rFonts w:ascii="黑体" w:eastAsia="黑体" w:hAnsi="黑体" w:hint="eastAsia"/>
          <w:sz w:val="32"/>
          <w:szCs w:val="32"/>
        </w:rPr>
        <w:t>第五十章 坚决维护社会稳定和安全</w:t>
      </w:r>
    </w:p>
    <w:p w:rsidR="00D92198" w:rsidRDefault="00AE1128" w:rsidP="00A61652">
      <w:pPr>
        <w:overflowPunct w:val="0"/>
        <w:spacing w:afterLines="100" w:after="312" w:line="600" w:lineRule="exact"/>
        <w:ind w:firstLineChars="200" w:firstLine="640"/>
        <w:rPr>
          <w:rFonts w:ascii="仿宋_GB2312" w:eastAsia="仿宋_GB2312"/>
          <w:sz w:val="32"/>
          <w:szCs w:val="32"/>
        </w:rPr>
      </w:pPr>
      <w:r>
        <w:rPr>
          <w:rFonts w:ascii="仿宋_GB2312" w:eastAsia="仿宋_GB2312" w:hint="eastAsia"/>
          <w:sz w:val="32"/>
          <w:szCs w:val="32"/>
        </w:rPr>
        <w:t>扎实推进市域社会治理现代化试点城市建设，提高社会治理现代化水平。完善共建共治共享的社会治理制度，健全党组织领导的自治、法治、德治相结合的城乡基层治理体系，发挥群团组织和社会组织在社会治理中的作用，建设社会治理共同体。加强城乡社区治理和服务体系建设，整合基层社会治理资源，构建网格化管理、精细化服务、信息化支撑、开放共享的基层管理服务平台，推进社会工作服务站乡镇（街道）全覆盖。</w:t>
      </w:r>
      <w:r>
        <w:rPr>
          <w:rFonts w:ascii="仿宋_GB2312" w:eastAsia="仿宋_GB2312" w:hint="eastAsia"/>
          <w:sz w:val="32"/>
          <w:szCs w:val="32"/>
        </w:rPr>
        <w:lastRenderedPageBreak/>
        <w:t>坚持和发展新时代“枫桥经验”，加强信访矛盾源头防治，完善“一村（格）一警”、村（居）法律顾问长效机制，畅通和规范群众诉求表达、利益协调、权益保障通道，完善各类调解联动工作体系，推进信访制度改革措施落实，完善领导干部接访下访包案制度，把矛盾纠纷化解在基层、消除在萌芽状态。健全社会心理服务体系和危机干预机制。坚持专群结合、群防群治，深化平安创建活动，全面推进市县乡村四级综治中心标准化、实体化建设，深化“雪亮工程”建设，打造立体化、法治化、专业化、智能化的市域社会治安防控体系。坚决防范和打击新型网络犯罪，推动扫黑除恶斗争常态化，强化社会治安重点地区排查整治，保持社会大局安全稳定。</w:t>
      </w:r>
    </w:p>
    <w:p w:rsidR="00D92198" w:rsidRDefault="00AE1128" w:rsidP="00A61652">
      <w:pPr>
        <w:overflowPunct w:val="0"/>
        <w:spacing w:afterLines="100" w:after="312" w:line="600" w:lineRule="exact"/>
        <w:jc w:val="center"/>
        <w:rPr>
          <w:rFonts w:ascii="黑体" w:eastAsia="黑体" w:hAnsi="黑体"/>
          <w:sz w:val="32"/>
          <w:szCs w:val="32"/>
        </w:rPr>
      </w:pPr>
      <w:r>
        <w:rPr>
          <w:rFonts w:ascii="黑体" w:eastAsia="黑体" w:hAnsi="黑体" w:hint="eastAsia"/>
          <w:sz w:val="32"/>
          <w:szCs w:val="32"/>
        </w:rPr>
        <w:t>第五十一章  健全现代应急管理体系</w:t>
      </w:r>
    </w:p>
    <w:p w:rsidR="00D92198" w:rsidRDefault="00AE1128" w:rsidP="00A61652">
      <w:pPr>
        <w:overflowPunct w:val="0"/>
        <w:spacing w:afterLines="100" w:after="312" w:line="600" w:lineRule="exact"/>
        <w:ind w:firstLineChars="200" w:firstLine="640"/>
        <w:rPr>
          <w:rFonts w:ascii="仿宋_GB2312" w:eastAsia="仿宋_GB2312"/>
          <w:sz w:val="32"/>
          <w:szCs w:val="32"/>
        </w:rPr>
      </w:pPr>
      <w:r>
        <w:rPr>
          <w:rFonts w:ascii="仿宋_GB2312" w:eastAsia="仿宋_GB2312" w:hint="eastAsia"/>
          <w:sz w:val="32"/>
          <w:szCs w:val="32"/>
        </w:rPr>
        <w:t>深化应急管理体制改革，完善突发事件应急处置机制，健全分级响应和跨区域跨部门协同联动机制，构建主动保障型公共安全技术评价体系。健全自然灾害风险研判、隐患治理、监测预警和信息共享机制，加强自然灾害风险普查，加大发生机理研究，提升气象灾害、森林火灾、地质灾害、地震等自然灾害防范能力，实施公共基础设施和城市重要基础设施安全加固防护工程，完善全过程自然灾害救助制度。加强应急物资保障，加快应急救援基地、应急物资储备中心、消防训练基地、应急</w:t>
      </w:r>
      <w:r>
        <w:rPr>
          <w:rFonts w:ascii="仿宋_GB2312" w:eastAsia="仿宋_GB2312" w:hint="eastAsia"/>
          <w:sz w:val="32"/>
          <w:szCs w:val="32"/>
        </w:rPr>
        <w:lastRenderedPageBreak/>
        <w:t>消防、气象科普教育基地建设。推进各行业系统消防管理标准化建设。统筹加强综合性消防救援队伍、行业专业救援队伍、社会化救援队伍建设。融合开展防灾减灾宣传教育，加强应急疏散演练。</w:t>
      </w:r>
    </w:p>
    <w:bookmarkEnd w:id="95"/>
    <w:p w:rsidR="00D92198" w:rsidRDefault="00AE1128">
      <w:pPr>
        <w:pStyle w:val="2"/>
        <w:ind w:firstLineChars="0" w:firstLine="0"/>
        <w:jc w:val="center"/>
        <w:rPr>
          <w:rFonts w:ascii="方正小标宋简体" w:eastAsia="方正小标宋简体" w:hAnsi="黑体" w:cs="仿宋"/>
          <w:szCs w:val="32"/>
        </w:rPr>
      </w:pPr>
      <w:r>
        <w:rPr>
          <w:rFonts w:ascii="方正小标宋简体" w:eastAsia="方正小标宋简体" w:hAnsi="黑体" w:cs="仿宋" w:hint="eastAsia"/>
          <w:szCs w:val="32"/>
        </w:rPr>
        <w:t>第十五篇  加强社会主义民主法治建设，完善权力</w:t>
      </w:r>
    </w:p>
    <w:p w:rsidR="00D92198" w:rsidRDefault="00AE1128">
      <w:pPr>
        <w:pStyle w:val="2"/>
        <w:ind w:firstLineChars="0" w:firstLine="0"/>
        <w:jc w:val="center"/>
        <w:rPr>
          <w:rFonts w:ascii="方正小标宋简体" w:eastAsia="方正小标宋简体" w:hAnsi="黑体" w:cs="仿宋"/>
          <w:szCs w:val="32"/>
        </w:rPr>
      </w:pPr>
      <w:r>
        <w:rPr>
          <w:rFonts w:ascii="方正小标宋简体" w:eastAsia="方正小标宋简体" w:hAnsi="黑体" w:cs="仿宋" w:hint="eastAsia"/>
          <w:szCs w:val="32"/>
        </w:rPr>
        <w:t>运行监督机制</w:t>
      </w:r>
    </w:p>
    <w:p w:rsidR="00D92198" w:rsidRDefault="00AE1128" w:rsidP="00A61652">
      <w:pPr>
        <w:overflowPunct w:val="0"/>
        <w:spacing w:beforeLines="100" w:before="312" w:afterLines="100" w:after="312" w:line="600" w:lineRule="exact"/>
        <w:ind w:firstLineChars="200" w:firstLine="640"/>
        <w:rPr>
          <w:rFonts w:ascii="仿宋_GB2312" w:eastAsia="仿宋_GB2312"/>
          <w:sz w:val="32"/>
          <w:szCs w:val="32"/>
        </w:rPr>
      </w:pPr>
      <w:r>
        <w:rPr>
          <w:rFonts w:ascii="仿宋_GB2312" w:eastAsia="仿宋_GB2312" w:hint="eastAsia"/>
          <w:sz w:val="32"/>
          <w:szCs w:val="32"/>
        </w:rPr>
        <w:t>坚持中国共产党领导、人民当家做主、依法治国有机统一，坚定不移走中国特色社会主义政治发展道路，巩固和发展生动活泼、安定团结的政治局面。</w:t>
      </w:r>
    </w:p>
    <w:p w:rsidR="00D92198" w:rsidRDefault="00AE1128" w:rsidP="00A61652">
      <w:pPr>
        <w:overflowPunct w:val="0"/>
        <w:spacing w:afterLines="100" w:after="312" w:line="600" w:lineRule="exact"/>
        <w:jc w:val="center"/>
        <w:rPr>
          <w:rFonts w:ascii="黑体" w:eastAsia="黑体" w:hAnsi="黑体"/>
          <w:sz w:val="32"/>
          <w:szCs w:val="32"/>
        </w:rPr>
      </w:pPr>
      <w:r>
        <w:rPr>
          <w:rFonts w:ascii="黑体" w:eastAsia="黑体" w:hAnsi="黑体" w:hint="eastAsia"/>
          <w:sz w:val="32"/>
          <w:szCs w:val="32"/>
        </w:rPr>
        <w:t>第五十二章  发展社会主义民主</w:t>
      </w:r>
    </w:p>
    <w:p w:rsidR="00D92198" w:rsidRDefault="00AE1128" w:rsidP="00A61652">
      <w:pPr>
        <w:overflowPunct w:val="0"/>
        <w:spacing w:afterLines="100" w:after="312" w:line="600" w:lineRule="exact"/>
        <w:ind w:firstLineChars="200" w:firstLine="640"/>
        <w:rPr>
          <w:rFonts w:ascii="仿宋_GB2312" w:eastAsia="仿宋_GB2312"/>
          <w:sz w:val="32"/>
          <w:szCs w:val="32"/>
        </w:rPr>
      </w:pPr>
      <w:r>
        <w:rPr>
          <w:rFonts w:ascii="仿宋_GB2312" w:eastAsia="仿宋_GB2312" w:hint="eastAsia"/>
          <w:sz w:val="32"/>
          <w:szCs w:val="32"/>
        </w:rPr>
        <w:t>坚持和完善人民代表大会制度,构建市县人大“</w:t>
      </w:r>
      <w:r>
        <w:rPr>
          <w:rFonts w:ascii="仿宋_GB2312" w:eastAsia="仿宋_GB2312"/>
          <w:sz w:val="32"/>
          <w:szCs w:val="32"/>
        </w:rPr>
        <w:t>1+3</w:t>
      </w:r>
      <w:r>
        <w:rPr>
          <w:rFonts w:ascii="仿宋_GB2312" w:eastAsia="仿宋_GB2312" w:hint="eastAsia"/>
          <w:sz w:val="32"/>
          <w:szCs w:val="32"/>
        </w:rPr>
        <w:t>”基本履职新格局，加强人大对“一府一委两院”的监督,密切人大代表同人民群众的联系,保障人民依法通过各种途径和形式管理国家事务、管理经济文化事业、管理社会事务。坚持和完善中国共产党领导的多党合作和政治协商制度,构建“</w:t>
      </w:r>
      <w:r>
        <w:rPr>
          <w:rFonts w:ascii="仿宋_GB2312" w:eastAsia="仿宋_GB2312"/>
          <w:sz w:val="32"/>
          <w:szCs w:val="32"/>
        </w:rPr>
        <w:t>1+3+N</w:t>
      </w:r>
      <w:r>
        <w:rPr>
          <w:rFonts w:ascii="仿宋_GB2312" w:eastAsia="仿宋_GB2312" w:hint="eastAsia"/>
          <w:sz w:val="32"/>
          <w:szCs w:val="32"/>
        </w:rPr>
        <w:t>”</w:t>
      </w:r>
      <w:r>
        <w:rPr>
          <w:rFonts w:ascii="仿宋_GB2312" w:eastAsia="仿宋_GB2312"/>
          <w:sz w:val="32"/>
          <w:szCs w:val="32"/>
        </w:rPr>
        <w:t>新时代市县政协新格局，</w:t>
      </w:r>
      <w:r>
        <w:rPr>
          <w:rFonts w:ascii="仿宋_GB2312" w:eastAsia="仿宋_GB2312" w:hint="eastAsia"/>
          <w:sz w:val="32"/>
          <w:szCs w:val="32"/>
        </w:rPr>
        <w:t>加强人民政协专门协商机构建设,充分发挥民主党派、工商联和无党派人士作用,推进协商民主广泛、多层、制度化发展。全面贯彻党的民族政策,筑牢中华民族共同体意识。全面贯彻党的宗教工作基本方针,引导宗教与社会主义社会</w:t>
      </w:r>
      <w:r>
        <w:rPr>
          <w:rFonts w:ascii="仿宋_GB2312" w:eastAsia="仿宋_GB2312" w:hint="eastAsia"/>
          <w:sz w:val="32"/>
          <w:szCs w:val="32"/>
        </w:rPr>
        <w:lastRenderedPageBreak/>
        <w:t>相适应。完善大统战工作格局，加强与民主党派和无党派人士的合作共事，加强对党外知识分子、非公有制经济人士、新的社会阶层人士的团结引导工作，广泛汇聚港澳台同胞、海外侨胞的智慧和力量，深入开展“同心联结”活动，巩固和发展大团结大联合局面。充分发挥工会、共青团、妇联等人民团体作用,全面贯彻党的侨务政策,做好新时代港澳和对台工作。</w:t>
      </w:r>
    </w:p>
    <w:p w:rsidR="00D92198" w:rsidRDefault="00AE1128" w:rsidP="00A61652">
      <w:pPr>
        <w:spacing w:afterLines="100" w:after="312" w:line="600" w:lineRule="exact"/>
        <w:jc w:val="center"/>
        <w:rPr>
          <w:rFonts w:ascii="黑体" w:eastAsia="黑体" w:hAnsi="黑体" w:cs="楷体_GB2312"/>
          <w:bCs/>
          <w:kern w:val="0"/>
          <w:sz w:val="32"/>
          <w:szCs w:val="32"/>
        </w:rPr>
      </w:pPr>
      <w:r>
        <w:rPr>
          <w:rFonts w:ascii="黑体" w:eastAsia="黑体" w:hAnsi="黑体" w:cs="楷体_GB2312" w:hint="eastAsia"/>
          <w:bCs/>
          <w:kern w:val="0"/>
          <w:sz w:val="32"/>
          <w:szCs w:val="32"/>
        </w:rPr>
        <w:t>第五十三章  全面推进依法治市</w:t>
      </w:r>
    </w:p>
    <w:p w:rsidR="00D92198" w:rsidRDefault="00AE1128" w:rsidP="00A61652">
      <w:pPr>
        <w:overflowPunct w:val="0"/>
        <w:spacing w:afterLines="100" w:after="312" w:line="600" w:lineRule="exact"/>
        <w:ind w:firstLineChars="200" w:firstLine="640"/>
        <w:rPr>
          <w:rFonts w:ascii="仿宋_GB2312" w:eastAsia="仿宋_GB2312"/>
          <w:sz w:val="32"/>
          <w:szCs w:val="32"/>
        </w:rPr>
      </w:pPr>
      <w:r>
        <w:rPr>
          <w:rFonts w:ascii="仿宋_GB2312" w:eastAsia="仿宋_GB2312" w:hint="eastAsia"/>
          <w:sz w:val="32"/>
          <w:szCs w:val="32"/>
        </w:rPr>
        <w:t>深入贯彻习近平法治思想,牢固树立尊崇宪法意识，一体推进法治南阳、法治政府、法治社会建设。完善依法治市工作推进机制,运用法治思维和法治方式深化改革、推动发展、化解矛盾、维护稳定、应对风险。加强重点领域、新兴领域地方立法,完善地方性法规规章体系。严格规范公正文明执法,深入推进服务型执法,规范执法自由裁量权,推进行政复议体制改革。深化司法责任制综合配套改革，加强司法制约监督，确保司法公正高效权威。弘扬社会主义法治精神，深入推进普法工作，提升全民法治意识和法治素养。加强青少年法治教育，营造尊法学法守法用法的社会风尚。深化公共法律服务体系建设，扩大法律援助范围。弘扬社会主义法治精神，有效发挥法治固根本、稳预期、利长远的保障作用。</w:t>
      </w:r>
    </w:p>
    <w:p w:rsidR="00D92198" w:rsidRDefault="00AE1128" w:rsidP="00A61652">
      <w:pPr>
        <w:spacing w:afterLines="100" w:after="312" w:line="600" w:lineRule="exact"/>
        <w:jc w:val="center"/>
        <w:rPr>
          <w:rFonts w:ascii="黑体" w:eastAsia="黑体" w:hAnsi="黑体" w:cs="楷体_GB2312"/>
          <w:bCs/>
          <w:kern w:val="0"/>
          <w:sz w:val="32"/>
          <w:szCs w:val="32"/>
        </w:rPr>
      </w:pPr>
      <w:r>
        <w:rPr>
          <w:rFonts w:ascii="黑体" w:eastAsia="黑体" w:hAnsi="黑体" w:cs="楷体_GB2312" w:hint="eastAsia"/>
          <w:bCs/>
          <w:kern w:val="0"/>
          <w:sz w:val="32"/>
          <w:szCs w:val="32"/>
        </w:rPr>
        <w:lastRenderedPageBreak/>
        <w:t>第五十四章  完善权力运行制约和监督机制</w:t>
      </w:r>
    </w:p>
    <w:p w:rsidR="00D92198" w:rsidRDefault="00AE1128" w:rsidP="00A61652">
      <w:pPr>
        <w:spacing w:afterLines="100" w:after="312" w:line="600" w:lineRule="exact"/>
        <w:ind w:firstLineChars="200" w:firstLine="640"/>
        <w:rPr>
          <w:rFonts w:ascii="方正小标宋简体" w:eastAsia="方正小标宋简体" w:hAnsi="黑体" w:cs="黑体"/>
          <w:sz w:val="32"/>
          <w:szCs w:val="32"/>
        </w:rPr>
      </w:pPr>
      <w:r>
        <w:rPr>
          <w:rFonts w:ascii="仿宋_GB2312" w:eastAsia="仿宋_GB2312" w:hint="eastAsia"/>
          <w:sz w:val="32"/>
          <w:szCs w:val="32"/>
        </w:rPr>
        <w:t>健全党统一领导、全面覆盖、权威高效的监督体系，强化对权力运行的制约和监督，完善监察权、审判权、检察权运行和监督机制。健全分事行权、分岗设权、分级授权、定期轮岗制度，完善党务、政务、司法和各领域办事公开制度，建立权力运行可查询、可追溯的反馈机制，完善全覆盖的制度执行监督机制。深化重点领域监督机制改革和制度建设，强化政治监督，深入推进纪律、监察、巡视、派驻等四项监督全覆盖，加强党内监督与人大、民主、行政、司法、审计、财会、统计、群众、舆论等监督统筹衔接，促进治理效能全面提升</w:t>
      </w:r>
      <w:r>
        <w:rPr>
          <w:rFonts w:ascii="方正小标宋简体" w:eastAsia="方正小标宋简体" w:hAnsi="黑体" w:cs="黑体" w:hint="eastAsia"/>
          <w:sz w:val="32"/>
          <w:szCs w:val="32"/>
        </w:rPr>
        <w:t>。</w:t>
      </w:r>
    </w:p>
    <w:p w:rsidR="00D92198" w:rsidRDefault="00AE1128" w:rsidP="00A61652">
      <w:pPr>
        <w:spacing w:afterLines="100" w:after="312" w:line="600" w:lineRule="exact"/>
        <w:jc w:val="center"/>
        <w:rPr>
          <w:rFonts w:ascii="方正小标宋简体" w:eastAsia="方正小标宋简体" w:hAnsi="黑体" w:cs="黑体"/>
          <w:sz w:val="32"/>
          <w:szCs w:val="32"/>
        </w:rPr>
      </w:pPr>
      <w:r>
        <w:rPr>
          <w:rFonts w:ascii="方正小标宋简体" w:eastAsia="方正小标宋简体" w:hAnsi="黑体" w:cs="黑体" w:hint="eastAsia"/>
          <w:sz w:val="32"/>
          <w:szCs w:val="32"/>
        </w:rPr>
        <w:t>第十六篇  加强规划实施保障</w:t>
      </w:r>
    </w:p>
    <w:p w:rsidR="00D92198" w:rsidRDefault="00AE1128" w:rsidP="00A61652">
      <w:pPr>
        <w:overflowPunct w:val="0"/>
        <w:spacing w:afterLines="100" w:after="312" w:line="600" w:lineRule="exact"/>
        <w:ind w:firstLineChars="200" w:firstLine="640"/>
        <w:rPr>
          <w:rFonts w:ascii="仿宋_GB2312" w:eastAsia="仿宋_GB2312"/>
          <w:sz w:val="32"/>
          <w:szCs w:val="32"/>
        </w:rPr>
      </w:pPr>
      <w:r>
        <w:rPr>
          <w:rFonts w:ascii="仿宋_GB2312" w:eastAsia="仿宋_GB2312" w:hint="eastAsia"/>
          <w:sz w:val="32"/>
          <w:szCs w:val="32"/>
        </w:rPr>
        <w:t>全面建设社会主义现代化南阳，关键在党。必须加强党的集中统一领导，抓实抓细党的建设高质量工作体系，持续营造学的氛围、干的氛围、严的氛围，更好地把方向、谋大局、定政策、促改革，更好地统一思想、凝聚共识，形成推动高质量发展的强大合力。</w:t>
      </w:r>
    </w:p>
    <w:p w:rsidR="00D92198" w:rsidRDefault="00AE1128" w:rsidP="00A61652">
      <w:pPr>
        <w:spacing w:afterLines="100" w:after="312" w:line="600" w:lineRule="exact"/>
        <w:jc w:val="center"/>
        <w:rPr>
          <w:rFonts w:ascii="黑体" w:eastAsia="黑体" w:hAnsi="黑体" w:cs="楷体_GB2312"/>
          <w:bCs/>
          <w:kern w:val="0"/>
          <w:sz w:val="32"/>
          <w:szCs w:val="32"/>
        </w:rPr>
      </w:pPr>
      <w:r>
        <w:rPr>
          <w:rFonts w:ascii="黑体" w:eastAsia="黑体" w:hAnsi="黑体" w:cs="楷体_GB2312" w:hint="eastAsia"/>
          <w:bCs/>
          <w:kern w:val="0"/>
          <w:sz w:val="32"/>
          <w:szCs w:val="32"/>
        </w:rPr>
        <w:t>第五十五章 坚持和完善党领导经济社会发展的体制机制</w:t>
      </w:r>
    </w:p>
    <w:p w:rsidR="00D92198" w:rsidRDefault="00AE1128" w:rsidP="00A61652">
      <w:pPr>
        <w:overflowPunct w:val="0"/>
        <w:spacing w:afterLines="100" w:after="312" w:line="600" w:lineRule="exact"/>
        <w:ind w:firstLineChars="200" w:firstLine="640"/>
        <w:rPr>
          <w:rFonts w:ascii="仿宋_GB2312" w:eastAsia="仿宋_GB2312"/>
          <w:sz w:val="32"/>
          <w:szCs w:val="32"/>
        </w:rPr>
      </w:pPr>
      <w:r>
        <w:rPr>
          <w:rFonts w:ascii="仿宋_GB2312" w:eastAsia="仿宋_GB2312" w:hint="eastAsia"/>
          <w:sz w:val="32"/>
          <w:szCs w:val="32"/>
        </w:rPr>
        <w:t>深入学习运用中国共产党一百年的宝贵经验，把党的领导</w:t>
      </w:r>
      <w:r>
        <w:rPr>
          <w:rFonts w:ascii="仿宋_GB2312" w:eastAsia="仿宋_GB2312" w:hint="eastAsia"/>
          <w:sz w:val="32"/>
          <w:szCs w:val="32"/>
        </w:rPr>
        <w:lastRenderedPageBreak/>
        <w:t>贯穿到经济社会发展全过程、各方面，完善上下贯通、决策科学、执行高效的组织体系。强化党对经济工作的集中统一领导，健全党委议事协调机构谋大事抓大事机制，完善党委定期分析经济社会发展形势、研究经济社会发展战略和重大政策举措制度，加强全局性重大工作的过程监测和实时调度。建立健全推动高质量发展的指标体系、政策体系、标准体系、统计体系和绩效评价制度、政绩考核制度，强化跟踪督查、评估分析、结果运用，确保责任落实、措施落实、任务落实。</w:t>
      </w:r>
    </w:p>
    <w:p w:rsidR="00D92198" w:rsidRDefault="00AE1128" w:rsidP="00A61652">
      <w:pPr>
        <w:spacing w:afterLines="100" w:after="312" w:line="600" w:lineRule="exact"/>
        <w:jc w:val="center"/>
        <w:rPr>
          <w:rFonts w:ascii="黑体" w:eastAsia="黑体" w:hAnsi="黑体" w:cs="楷体_GB2312"/>
          <w:bCs/>
          <w:kern w:val="0"/>
          <w:sz w:val="32"/>
          <w:szCs w:val="32"/>
        </w:rPr>
      </w:pPr>
      <w:r>
        <w:rPr>
          <w:rFonts w:ascii="黑体" w:eastAsia="黑体" w:hAnsi="黑体" w:cs="楷体_GB2312" w:hint="eastAsia"/>
          <w:bCs/>
          <w:kern w:val="0"/>
          <w:sz w:val="32"/>
          <w:szCs w:val="32"/>
        </w:rPr>
        <w:t>第五十六章  全面加强党的建设</w:t>
      </w:r>
    </w:p>
    <w:p w:rsidR="00D92198" w:rsidRDefault="00AE1128" w:rsidP="00A61652">
      <w:pPr>
        <w:overflowPunct w:val="0"/>
        <w:spacing w:afterLines="100" w:after="312" w:line="600" w:lineRule="exact"/>
        <w:ind w:firstLineChars="200" w:firstLine="640"/>
        <w:rPr>
          <w:rFonts w:ascii="仿宋_GB2312" w:eastAsia="仿宋_GB2312"/>
          <w:sz w:val="32"/>
          <w:szCs w:val="32"/>
        </w:rPr>
      </w:pPr>
      <w:r>
        <w:rPr>
          <w:rFonts w:ascii="仿宋_GB2312" w:eastAsia="仿宋_GB2312" w:hint="eastAsia"/>
          <w:sz w:val="32"/>
          <w:szCs w:val="32"/>
        </w:rPr>
        <w:t>落实全面从严治党主体责任、监督责任，以政治建设为统领，加强根本建设、基础建设、长远建设，提高党的建设质量。巩固深化“不忘初心、牢记使命”主题教育成果，贯通运用“五种学习方式”，推动广大党员干部深入学习贯彻习近平新时代中国特色社会主义思想，增强“四个意识”、坚定“四个自信”、做到“两个维护”，确保习近平总书记重大要求和党中央、省委各项决策部署落到实处。贯彻新时代党的组织路线，坚持好干部标准，在马克思主义实践观和群众观的交叉点上识别选用干部，激励保护干部干事创业，推动各级党员干部加强思想淬炼、政治历练、实践锻炼、专业训练，大力建设高素质专业化干部队伍。持续大抓基层、大抓基础，强化带头人队伍建设，</w:t>
      </w:r>
      <w:r>
        <w:rPr>
          <w:rFonts w:ascii="仿宋_GB2312" w:eastAsia="仿宋_GB2312" w:hint="eastAsia"/>
          <w:sz w:val="32"/>
          <w:szCs w:val="32"/>
        </w:rPr>
        <w:lastRenderedPageBreak/>
        <w:t>建强基层党组织。深化拓展全域党建，推动基层党建工作与中心工作互融共促。坚持严的主基调，锲而不舍落实中央八项规定精神，持续纠治形式主义、官僚主义，倡树“五比五不比”“五转五带头”，落实“三个一”工作机制，推动改进作风和基层减负常态化。加强政治监督，强化对公权力运行的制约和监督，深化“以案促改”，一体推进不敢腐、不能腐、不想腐，巩固发展风清气正的政治生态。</w:t>
      </w:r>
    </w:p>
    <w:p w:rsidR="00D92198" w:rsidRDefault="00AE1128" w:rsidP="00A61652">
      <w:pPr>
        <w:spacing w:afterLines="100" w:after="312" w:line="600" w:lineRule="exact"/>
        <w:jc w:val="center"/>
        <w:rPr>
          <w:rFonts w:ascii="黑体" w:eastAsia="黑体" w:hAnsi="黑体" w:cs="楷体_GB2312"/>
          <w:bCs/>
          <w:kern w:val="0"/>
          <w:sz w:val="32"/>
          <w:szCs w:val="32"/>
        </w:rPr>
      </w:pPr>
      <w:r>
        <w:rPr>
          <w:rFonts w:ascii="黑体" w:eastAsia="黑体" w:hAnsi="黑体" w:cs="楷体_GB2312" w:hint="eastAsia"/>
          <w:bCs/>
          <w:kern w:val="0"/>
          <w:sz w:val="32"/>
          <w:szCs w:val="32"/>
        </w:rPr>
        <w:t>第五十七章  建立统一规划体系</w:t>
      </w:r>
    </w:p>
    <w:p w:rsidR="00D92198" w:rsidRDefault="00AE1128" w:rsidP="00A61652">
      <w:pPr>
        <w:overflowPunct w:val="0"/>
        <w:spacing w:afterLines="100" w:after="312" w:line="600" w:lineRule="exact"/>
        <w:ind w:firstLineChars="200" w:firstLine="640"/>
        <w:rPr>
          <w:rFonts w:ascii="仿宋_GB2312" w:eastAsia="仿宋_GB2312"/>
          <w:sz w:val="32"/>
          <w:szCs w:val="32"/>
        </w:rPr>
      </w:pPr>
      <w:r>
        <w:rPr>
          <w:rFonts w:ascii="仿宋_GB2312" w:eastAsia="仿宋_GB2312" w:hint="eastAsia"/>
          <w:sz w:val="32"/>
          <w:szCs w:val="32"/>
        </w:rPr>
        <w:t>突出发展规划统领作用，强化国土空间规划的基础作用和专项规划、区域规划的支撑作用，健全规划目录清单、编制备案、衔接协调等管理制度。按照本规划明确的战略行动、重点举措、主要任务和市级国土空间规划确定的国土空间开发保护要求，制定实施重点区域规划、重点领域专项规划或实施方案，明确保障空间和细化落实时间表路线图。建设规划综合管理信息平台，将市级各类规划和县级发展规划纳入统一管理并进行衔接备案，确保各级各类规划与本规划在主要目标、发展方向、总体布局、重大政策、重大工程、风险防控等方面协调一致，形成贯彻落实合力。</w:t>
      </w:r>
    </w:p>
    <w:p w:rsidR="00D92198" w:rsidRDefault="00AE1128" w:rsidP="00A61652">
      <w:pPr>
        <w:spacing w:afterLines="100" w:after="312" w:line="600" w:lineRule="exact"/>
        <w:jc w:val="center"/>
        <w:rPr>
          <w:rFonts w:ascii="黑体" w:eastAsia="黑体" w:hAnsi="黑体" w:cs="楷体_GB2312"/>
          <w:bCs/>
          <w:kern w:val="0"/>
          <w:sz w:val="32"/>
          <w:szCs w:val="32"/>
        </w:rPr>
      </w:pPr>
      <w:bookmarkStart w:id="96" w:name="_Toc452298451"/>
      <w:bookmarkStart w:id="97" w:name="_Toc450810652"/>
      <w:bookmarkStart w:id="98" w:name="_Toc439969497"/>
      <w:r>
        <w:rPr>
          <w:rFonts w:ascii="黑体" w:eastAsia="黑体" w:hAnsi="黑体" w:cs="楷体_GB2312" w:hint="eastAsia"/>
          <w:bCs/>
          <w:kern w:val="0"/>
          <w:sz w:val="32"/>
          <w:szCs w:val="32"/>
        </w:rPr>
        <w:t xml:space="preserve">第五十八章  </w:t>
      </w:r>
      <w:bookmarkEnd w:id="96"/>
      <w:bookmarkEnd w:id="97"/>
      <w:bookmarkEnd w:id="98"/>
      <w:r>
        <w:rPr>
          <w:rFonts w:ascii="黑体" w:eastAsia="黑体" w:hAnsi="黑体" w:cs="楷体_GB2312" w:hint="eastAsia"/>
          <w:bCs/>
          <w:kern w:val="0"/>
          <w:sz w:val="32"/>
          <w:szCs w:val="32"/>
        </w:rPr>
        <w:t>完善规划实施机制</w:t>
      </w:r>
    </w:p>
    <w:p w:rsidR="00D92198" w:rsidRDefault="00AE1128">
      <w:pPr>
        <w:overflowPunct w:val="0"/>
        <w:spacing w:line="600" w:lineRule="exact"/>
        <w:ind w:firstLineChars="200" w:firstLine="640"/>
        <w:rPr>
          <w:rFonts w:ascii="仿宋_GB2312" w:eastAsia="仿宋_GB2312"/>
          <w:sz w:val="32"/>
          <w:szCs w:val="32"/>
        </w:rPr>
      </w:pPr>
      <w:r>
        <w:rPr>
          <w:rFonts w:ascii="仿宋_GB2312" w:eastAsia="仿宋_GB2312" w:hint="eastAsia"/>
          <w:sz w:val="32"/>
          <w:szCs w:val="32"/>
        </w:rPr>
        <w:lastRenderedPageBreak/>
        <w:t>制定本规划实施任务分工方案，细化落实规划实施责任，建立约束性指标和重大工程项目、重大政策、重大改革举措推进落实机制，加强综合督查和考核问责，确保如期完成。将本规划确定的主要指标分解纳入年度计划指标体系，设置年度目标并做好年度间综合平衡，合理确定年度工作重点。健全规划政策协调机制，加强中期财政规划和年度预算、政府投资、土地供应、融资配套、要素保障等政策与本规划实施的衔接协调，财政性资金和资源要素优先投向本规划确定的重大任务和重大工程项目。开展规划实施情况动态监测、中期评估和总结评估，依法向市人大常委会报告规划实施情况，自觉接受人大监督、审计监督、社会监督。</w:t>
      </w:r>
    </w:p>
    <w:p w:rsidR="00D92198" w:rsidRDefault="00D92198">
      <w:pPr>
        <w:overflowPunct w:val="0"/>
        <w:spacing w:line="600" w:lineRule="exact"/>
        <w:ind w:firstLineChars="200" w:firstLine="640"/>
        <w:rPr>
          <w:rFonts w:ascii="仿宋_GB2312" w:eastAsia="仿宋_GB2312"/>
          <w:sz w:val="32"/>
          <w:szCs w:val="32"/>
        </w:rPr>
      </w:pPr>
    </w:p>
    <w:p w:rsidR="00D92198" w:rsidRDefault="00AE1128">
      <w:pPr>
        <w:overflowPunct w:val="0"/>
        <w:spacing w:line="600" w:lineRule="exact"/>
        <w:ind w:firstLineChars="200" w:firstLine="640"/>
        <w:rPr>
          <w:rFonts w:ascii="仿宋_GB2312" w:eastAsia="仿宋_GB2312"/>
          <w:sz w:val="32"/>
          <w:szCs w:val="32"/>
        </w:rPr>
      </w:pPr>
      <w:r>
        <w:rPr>
          <w:rFonts w:ascii="仿宋_GB2312" w:eastAsia="仿宋_GB2312" w:hint="eastAsia"/>
          <w:sz w:val="32"/>
          <w:szCs w:val="32"/>
        </w:rPr>
        <w:t>实现“十四五”规划和二〇三五年远景目标，</w:t>
      </w:r>
      <w:r>
        <w:rPr>
          <w:rFonts w:ascii="仿宋_GB2312" w:eastAsia="仿宋_GB2312"/>
          <w:sz w:val="32"/>
          <w:szCs w:val="32"/>
        </w:rPr>
        <w:t>任务艰巨</w:t>
      </w:r>
      <w:r>
        <w:rPr>
          <w:rFonts w:ascii="仿宋_GB2312" w:eastAsia="仿宋_GB2312" w:hint="eastAsia"/>
          <w:sz w:val="32"/>
          <w:szCs w:val="32"/>
        </w:rPr>
        <w:t>，使命光荣，责任重大。全市各级党组织和党员干部群众要紧密团结在以习近平同志为核心的党中央周围，用心工作、务实重干，乘势而上、奋勇争先，全力打造新兴区域经济中心，全面建设社会主义现代化南阳，为助力中原更加出彩而努力奋斗！</w:t>
      </w:r>
    </w:p>
    <w:sectPr w:rsidR="00D92198">
      <w:footerReference w:type="default" r:id="rId13"/>
      <w:pgSz w:w="11906" w:h="16838"/>
      <w:pgMar w:top="2098" w:right="1474" w:bottom="1985" w:left="1588" w:header="851" w:footer="1162" w:gutter="170"/>
      <w:pgNumType w:start="2"/>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2504" w:rsidRDefault="00732504">
      <w:r>
        <w:separator/>
      </w:r>
    </w:p>
  </w:endnote>
  <w:endnote w:type="continuationSeparator" w:id="0">
    <w:p w:rsidR="00732504" w:rsidRDefault="00732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embedRegular r:id="rId1" w:subsetted="1" w:fontKey="{53274C4B-6CC4-44B3-B94A-E2D060A6446C}"/>
    <w:embedBold r:id="rId2" w:subsetted="1" w:fontKey="{BC10C77D-B467-460C-9AAF-B7EF175E0ABB}"/>
  </w:font>
  <w:font w:name="黑体">
    <w:altName w:val="SimHei"/>
    <w:panose1 w:val="02010609060101010101"/>
    <w:charset w:val="86"/>
    <w:family w:val="auto"/>
    <w:pitch w:val="variable"/>
    <w:sig w:usb0="800002BF" w:usb1="38CF7CFA" w:usb2="00000016" w:usb3="00000000" w:csb0="00040001" w:csb1="00000000"/>
    <w:embedRegular r:id="rId3" w:subsetted="1" w:fontKey="{76253D59-74D5-4DF0-8EA5-8C8286FE2352}"/>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embedRegular r:id="rId4" w:subsetted="1" w:fontKey="{A73F206E-D80B-44C7-8F68-0009105B5798}"/>
    <w:embedBold r:id="rId5" w:subsetted="1" w:fontKey="{F3EBC9BC-4736-4547-B9EF-FF600C52656A}"/>
  </w:font>
  <w:font w:name="Courier New">
    <w:panose1 w:val="02070309020205020404"/>
    <w:charset w:val="00"/>
    <w:family w:val="modern"/>
    <w:notTrueType/>
    <w:pitch w:val="fixed"/>
    <w:sig w:usb0="00000003" w:usb1="00000000" w:usb2="00000000" w:usb3="00000000" w:csb0="00000001" w:csb1="00000000"/>
  </w:font>
  <w:font w:name="楷体_GB2312">
    <w:panose1 w:val="02010609030101010101"/>
    <w:charset w:val="86"/>
    <w:family w:val="modern"/>
    <w:pitch w:val="fixed"/>
    <w:sig w:usb0="00000001" w:usb1="080E0000" w:usb2="00000010" w:usb3="00000000" w:csb0="00040000" w:csb1="00000000"/>
    <w:embedBold r:id="rId6" w:subsetted="1" w:fontKey="{9291368B-D170-44A4-ABC2-D8FB3271DAA8}"/>
  </w:font>
  <w:font w:name="仿宋">
    <w:panose1 w:val="02010609060101010101"/>
    <w:charset w:val="86"/>
    <w:family w:val="modern"/>
    <w:pitch w:val="fixed"/>
    <w:sig w:usb0="800002BF" w:usb1="38CF7CFA" w:usb2="00000016" w:usb3="00000000" w:csb0="00040001" w:csb1="00000000"/>
    <w:embedRegular r:id="rId7" w:subsetted="1" w:fontKey="{3FC2E654-5192-4AD6-9D63-0127239DAE38}"/>
    <w:embedBold r:id="rId8" w:subsetted="1" w:fontKey="{2CC52293-88F0-4A38-9A9C-205F8076CE90}"/>
  </w:font>
  <w:font w:name="方正小标宋简体">
    <w:panose1 w:val="03000509000000000000"/>
    <w:charset w:val="86"/>
    <w:family w:val="script"/>
    <w:pitch w:val="fixed"/>
    <w:sig w:usb0="00000001" w:usb1="080E0000" w:usb2="00000010" w:usb3="00000000" w:csb0="00040000" w:csb1="00000000"/>
    <w:embedRegular r:id="rId9" w:subsetted="1" w:fontKey="{410A8591-638F-4CF0-99C5-DFA00FC0A728}"/>
  </w:font>
  <w:font w:name="等线">
    <w:altName w:val="微软雅黑"/>
    <w:charset w:val="86"/>
    <w:family w:val="auto"/>
    <w:pitch w:val="default"/>
    <w:sig w:usb0="00000000" w:usb1="00000000" w:usb2="00000016" w:usb3="00000000" w:csb0="0004000F"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embedBold r:id="rId10" w:subsetted="1" w:fontKey="{86A7AC5D-4064-44F0-801C-8EE61173F8CC}"/>
  </w:font>
  <w:font w:name="Adobe 楷体 Std R">
    <w:altName w:val="楷体_GB2312"/>
    <w:charset w:val="86"/>
    <w:family w:val="auto"/>
    <w:pitch w:val="default"/>
    <w:sig w:usb0="00000000" w:usb1="0000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198" w:rsidRDefault="00732504">
    <w:pPr>
      <w:pStyle w:val="a8"/>
      <w:jc w:val="center"/>
    </w:pPr>
    <w:r>
      <w:pict>
        <v:shapetype id="_x0000_t202" coordsize="21600,21600" o:spt="202" path="m,l,21600r21600,l21600,xe">
          <v:stroke joinstyle="miter"/>
          <v:path gradientshapeok="t" o:connecttype="rect"/>
        </v:shapetype>
        <v:shape id="文本框 5" o:spid="_x0000_s3073" type="#_x0000_t202" style="position:absolute;left:0;text-align:left;margin-left:278.4pt;margin-top:0;width:2in;height:2in;z-index:251661312;mso-wrap-style:none;mso-position-horizontal:outside;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" filled="f" stroked="f">
          <v:textbox style="mso-fit-shape-to-text:t" inset="0,0,0,0">
            <w:txbxContent>
              <w:p w:rsidR="00D92198" w:rsidRDefault="00AE1128">
                <w:pPr>
                  <w:pStyle w:val="a8"/>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fldChar w:fldCharType="begin"/>
                </w:r>
                <w:r>
                  <w:rPr>
                    <w:rFonts w:ascii="仿宋_GB2312" w:eastAsia="仿宋_GB2312" w:hAnsi="仿宋_GB2312" w:cs="仿宋_GB2312" w:hint="eastAsia"/>
                    <w:sz w:val="28"/>
                    <w:szCs w:val="28"/>
                  </w:rPr>
                  <w:instrText xml:space="preserve"> PAGE  \* MERGEFORMAT </w:instrText>
                </w:r>
                <w:r>
                  <w:rPr>
                    <w:rFonts w:ascii="仿宋_GB2312" w:eastAsia="仿宋_GB2312" w:hAnsi="仿宋_GB2312" w:cs="仿宋_GB2312" w:hint="eastAsia"/>
                    <w:sz w:val="28"/>
                    <w:szCs w:val="28"/>
                  </w:rPr>
                  <w:fldChar w:fldCharType="separate"/>
                </w:r>
                <w:r w:rsidR="006D5585">
                  <w:rPr>
                    <w:rFonts w:ascii="仿宋_GB2312" w:eastAsia="仿宋_GB2312" w:hAnsi="仿宋_GB2312" w:cs="仿宋_GB2312"/>
                    <w:noProof/>
                    <w:sz w:val="28"/>
                    <w:szCs w:val="28"/>
                  </w:rPr>
                  <w:t>1</w:t>
                </w:r>
                <w:r>
                  <w:rPr>
                    <w:rFonts w:ascii="仿宋_GB2312" w:eastAsia="仿宋_GB2312" w:hAnsi="仿宋_GB2312" w:cs="仿宋_GB2312" w:hint="eastAsia"/>
                    <w:sz w:val="28"/>
                    <w:szCs w:val="28"/>
                  </w:rPr>
                  <w:fldChar w:fldCharType="end"/>
                </w:r>
                <w:r>
                  <w:rPr>
                    <w:rFonts w:ascii="仿宋_GB2312" w:eastAsia="仿宋_GB2312" w:hAnsi="仿宋_GB2312" w:cs="仿宋_GB2312" w:hint="eastAsia"/>
                    <w:sz w:val="28"/>
                    <w:szCs w:val="28"/>
                  </w:rPr>
                  <w:t xml:space="preserve"> —</w:t>
                </w:r>
              </w:p>
            </w:txbxContent>
          </v:textbox>
          <w10:wrap anchorx="margin"/>
        </v:shape>
      </w:pict>
    </w:r>
    <w:r>
      <w:pict>
        <v:shape id="文本框 1025" o:spid="_x0000_s3074" type="#_x0000_t202" style="position:absolute;left:0;text-align:left;margin-left:-27.45pt;margin-top:0;width:42.05pt;height:15.55pt;z-index:251660288;mso-wrap-style:none;mso-position-horizontal:outside;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" filled="f" stroked="f">
          <v:textbox style="mso-fit-shape-to-text:t" inset="0,0,0,0">
            <w:txbxContent>
              <w:p w:rsidR="00D92198" w:rsidRDefault="00D92198">
                <w:pPr>
                  <w:rPr>
                    <w:szCs w:val="24"/>
                  </w:rPr>
                </w:pPr>
              </w:p>
            </w:txbxContent>
          </v:textbox>
          <w10:wrap anchorx="margin"/>
        </v:shape>
      </w:pict>
    </w:r>
  </w:p>
  <w:p w:rsidR="00D92198" w:rsidRDefault="00D92198">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198" w:rsidRDefault="00732504">
    <w:pPr>
      <w:pStyle w:val="a8"/>
      <w:tabs>
        <w:tab w:val="left" w:pos="5808"/>
        <w:tab w:val="right" w:pos="8794"/>
      </w:tabs>
    </w:pPr>
    <w:r>
      <w:pict>
        <v:shapetype id="_x0000_t202" coordsize="21600,21600" o:spt="202" path="m,l,21600r21600,l21600,xe">
          <v:stroke joinstyle="miter"/>
          <v:path gradientshapeok="t" o:connecttype="rect"/>
        </v:shapetype>
        <v:shape id="文本框 6" o:spid="_x0000_s3075" type="#_x0000_t202" style="position:absolute;margin-left:278.4pt;margin-top:0;width:2in;height:2in;z-index:251662336;mso-wrap-style:none;mso-position-horizontal:outside;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" filled="f" stroked="f">
          <v:textbox style="mso-fit-shape-to-text:t" inset="0,0,0,0">
            <w:txbxContent>
              <w:p w:rsidR="00D92198" w:rsidRDefault="00AE1128">
                <w:pPr>
                  <w:pStyle w:val="a8"/>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fldChar w:fldCharType="begin"/>
                </w:r>
                <w:r>
                  <w:rPr>
                    <w:rFonts w:ascii="仿宋_GB2312" w:eastAsia="仿宋_GB2312" w:hAnsi="仿宋_GB2312" w:cs="仿宋_GB2312" w:hint="eastAsia"/>
                    <w:sz w:val="28"/>
                    <w:szCs w:val="28"/>
                  </w:rPr>
                  <w:instrText xml:space="preserve"> PAGE  \* MERGEFORMAT </w:instrText>
                </w:r>
                <w:r>
                  <w:rPr>
                    <w:rFonts w:ascii="仿宋_GB2312" w:eastAsia="仿宋_GB2312" w:hAnsi="仿宋_GB2312" w:cs="仿宋_GB2312" w:hint="eastAsia"/>
                    <w:sz w:val="28"/>
                    <w:szCs w:val="28"/>
                  </w:rPr>
                  <w:fldChar w:fldCharType="separate"/>
                </w:r>
                <w:r w:rsidR="006D5585">
                  <w:rPr>
                    <w:rFonts w:ascii="仿宋_GB2312" w:eastAsia="仿宋_GB2312" w:hAnsi="仿宋_GB2312" w:cs="仿宋_GB2312"/>
                    <w:noProof/>
                    <w:sz w:val="28"/>
                    <w:szCs w:val="28"/>
                  </w:rPr>
                  <w:t>45</w:t>
                </w:r>
                <w:r>
                  <w:rPr>
                    <w:rFonts w:ascii="仿宋_GB2312" w:eastAsia="仿宋_GB2312" w:hAnsi="仿宋_GB2312" w:cs="仿宋_GB2312" w:hint="eastAsia"/>
                    <w:sz w:val="28"/>
                    <w:szCs w:val="28"/>
                  </w:rPr>
                  <w:fldChar w:fldCharType="end"/>
                </w:r>
                <w:r>
                  <w:rPr>
                    <w:rFonts w:ascii="仿宋_GB2312" w:eastAsia="仿宋_GB2312" w:hAnsi="仿宋_GB2312" w:cs="仿宋_GB2312" w:hint="eastAsia"/>
                    <w:sz w:val="28"/>
                    <w:szCs w:val="28"/>
                  </w:rPr>
                  <w:t xml:space="preserve"> —</w:t>
                </w:r>
              </w:p>
            </w:txbxContent>
          </v:textbox>
          <w10:wrap anchorx="margin"/>
        </v:shape>
      </w:pict>
    </w:r>
    <w:r>
      <w:pict>
        <v:shape id="文本框 1026" o:spid="_x0000_s3076" type="#_x0000_t202" style="position:absolute;margin-left:-27.45pt;margin-top:0;width:42.05pt;height:28.4pt;z-index:251659264;mso-wrap-style:none;mso-position-horizontal:outside;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" filled="f" stroked="f">
          <v:textbox style="mso-fit-shape-to-text:t" inset="0,0,0,0">
            <w:txbxContent>
              <w:p w:rsidR="00D92198" w:rsidRDefault="00732504">
                <w:pPr>
                  <w:pStyle w:val="a8"/>
                  <w:ind w:right="240"/>
                  <w:jc w:val="right"/>
                  <w:rPr>
                    <w:rFonts w:asciiTheme="minorEastAsia" w:eastAsiaTheme="minorEastAsia" w:hAnsiTheme="minorEastAsia" w:cstheme="minorEastAsia"/>
                    <w:sz w:val="24"/>
                    <w:szCs w:val="24"/>
                  </w:rPr>
                </w:pPr>
                <w:sdt>
                  <w:sdtPr>
                    <w:rPr>
                      <w:rFonts w:asciiTheme="minorEastAsia" w:eastAsiaTheme="minorEastAsia" w:hAnsiTheme="minorEastAsia" w:cstheme="minorEastAsia" w:hint="eastAsia"/>
                      <w:sz w:val="24"/>
                      <w:szCs w:val="24"/>
                    </w:rPr>
                    <w:id w:val="248353768"/>
                    <w:showingPlcHdr/>
                  </w:sdtPr>
                  <w:sdtEndPr/>
                  <w:sdtContent>
                    <w:r w:rsidR="00AE1128">
                      <w:rPr>
                        <w:rFonts w:asciiTheme="minorEastAsia" w:eastAsiaTheme="minorEastAsia" w:hAnsiTheme="minorEastAsia" w:cstheme="minorEastAsia"/>
                        <w:sz w:val="24"/>
                        <w:szCs w:val="24"/>
                      </w:rPr>
                      <w:t xml:space="preserve">     </w:t>
                    </w:r>
                  </w:sdtContent>
                </w:sdt>
              </w:p>
              <w:p w:rsidR="00D92198" w:rsidRDefault="00D92198"/>
            </w:txbxContent>
          </v:textbox>
          <w10:wrap anchorx="margin"/>
        </v:shape>
      </w:pict>
    </w:r>
    <w:r w:rsidR="00AE1128">
      <w:rPr>
        <w:rFonts w:hint="eastAsia"/>
      </w:rPr>
      <w:tab/>
    </w:r>
    <w:r w:rsidR="00AE1128">
      <w:rPr>
        <w:rFonts w:hint="eastAsia"/>
      </w:rPr>
      <w:tab/>
    </w:r>
    <w:r w:rsidR="00AE1128">
      <w:rPr>
        <w:rFonts w:hint="eastAsia"/>
      </w:rPr>
      <w:tab/>
    </w:r>
    <w:r w:rsidR="00AE1128">
      <w:rPr>
        <w:rFonts w:hint="eastAsia"/>
      </w:rPr>
      <w:tab/>
    </w:r>
  </w:p>
  <w:p w:rsidR="00D92198" w:rsidRDefault="00D9219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2504" w:rsidRDefault="00732504">
      <w:r>
        <w:separator/>
      </w:r>
    </w:p>
  </w:footnote>
  <w:footnote w:type="continuationSeparator" w:id="0">
    <w:p w:rsidR="00732504" w:rsidRDefault="007325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198" w:rsidRDefault="00D92198">
    <w:pPr>
      <w:pStyle w:val="a9"/>
      <w:pBdr>
        <w:bottom w:val="none" w:sz="0" w:space="1"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TrueTypeFonts/>
  <w:saveSubsetFonts/>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noLineBreaksAfter w:lang="zh-CN" w:val="$([{£¥·‘“〈《「『【〔〖〝﹙﹛﹝＄（．［｛￡￥"/>
  <w:noLineBreaksBefore w:lang="zh-CN" w:val="!%),.:;&gt;?]}¢¨°·ˇˉ―‖’”…‰′″›℃∶、。〃〉》」』】〕〗〞︶︺︾﹀﹄﹚﹜﹞！＂％＇），．：；？］｀｜｝～￠"/>
  <w:hdrShapeDefaults>
    <o:shapedefaults v:ext="edit" spidmax="3077"/>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043C3"/>
    <w:rsid w:val="00002726"/>
    <w:rsid w:val="000029D0"/>
    <w:rsid w:val="00003B0B"/>
    <w:rsid w:val="000050BD"/>
    <w:rsid w:val="000052D5"/>
    <w:rsid w:val="00006435"/>
    <w:rsid w:val="00007102"/>
    <w:rsid w:val="000074D6"/>
    <w:rsid w:val="000123FA"/>
    <w:rsid w:val="00012523"/>
    <w:rsid w:val="00013275"/>
    <w:rsid w:val="0001407D"/>
    <w:rsid w:val="00015444"/>
    <w:rsid w:val="000154F1"/>
    <w:rsid w:val="00016BF9"/>
    <w:rsid w:val="00020398"/>
    <w:rsid w:val="000204FE"/>
    <w:rsid w:val="000208F9"/>
    <w:rsid w:val="00023F31"/>
    <w:rsid w:val="00024073"/>
    <w:rsid w:val="00025BA2"/>
    <w:rsid w:val="00034068"/>
    <w:rsid w:val="00034417"/>
    <w:rsid w:val="000351B1"/>
    <w:rsid w:val="000351B4"/>
    <w:rsid w:val="00037060"/>
    <w:rsid w:val="00037C41"/>
    <w:rsid w:val="00040E72"/>
    <w:rsid w:val="00040F96"/>
    <w:rsid w:val="00051100"/>
    <w:rsid w:val="000513DD"/>
    <w:rsid w:val="0005363D"/>
    <w:rsid w:val="00054FC2"/>
    <w:rsid w:val="000552B3"/>
    <w:rsid w:val="00056A4F"/>
    <w:rsid w:val="000574E7"/>
    <w:rsid w:val="000622B8"/>
    <w:rsid w:val="00062C9E"/>
    <w:rsid w:val="00063340"/>
    <w:rsid w:val="00064105"/>
    <w:rsid w:val="00064D9D"/>
    <w:rsid w:val="00067690"/>
    <w:rsid w:val="000702F7"/>
    <w:rsid w:val="00070FE1"/>
    <w:rsid w:val="000739C9"/>
    <w:rsid w:val="000742FF"/>
    <w:rsid w:val="000748FB"/>
    <w:rsid w:val="00075CDE"/>
    <w:rsid w:val="00077918"/>
    <w:rsid w:val="00080A65"/>
    <w:rsid w:val="00081782"/>
    <w:rsid w:val="00081F4E"/>
    <w:rsid w:val="000829B9"/>
    <w:rsid w:val="00083657"/>
    <w:rsid w:val="00085FB2"/>
    <w:rsid w:val="000862B7"/>
    <w:rsid w:val="00086310"/>
    <w:rsid w:val="0009011A"/>
    <w:rsid w:val="00090BFE"/>
    <w:rsid w:val="0009247E"/>
    <w:rsid w:val="00092B98"/>
    <w:rsid w:val="00093BAE"/>
    <w:rsid w:val="000950E9"/>
    <w:rsid w:val="000961CA"/>
    <w:rsid w:val="000975BF"/>
    <w:rsid w:val="000A43D4"/>
    <w:rsid w:val="000A45CF"/>
    <w:rsid w:val="000A51CE"/>
    <w:rsid w:val="000A5565"/>
    <w:rsid w:val="000A65E1"/>
    <w:rsid w:val="000A7150"/>
    <w:rsid w:val="000A7A58"/>
    <w:rsid w:val="000A7B11"/>
    <w:rsid w:val="000A7ED1"/>
    <w:rsid w:val="000B1B68"/>
    <w:rsid w:val="000B711D"/>
    <w:rsid w:val="000C0F8A"/>
    <w:rsid w:val="000C1D49"/>
    <w:rsid w:val="000C279D"/>
    <w:rsid w:val="000C5DBC"/>
    <w:rsid w:val="000C7822"/>
    <w:rsid w:val="000D0028"/>
    <w:rsid w:val="000D151B"/>
    <w:rsid w:val="000D2955"/>
    <w:rsid w:val="000D316B"/>
    <w:rsid w:val="000D4504"/>
    <w:rsid w:val="000D5083"/>
    <w:rsid w:val="000D5606"/>
    <w:rsid w:val="000D7AAB"/>
    <w:rsid w:val="000E013F"/>
    <w:rsid w:val="000E131E"/>
    <w:rsid w:val="000E3F97"/>
    <w:rsid w:val="000E5744"/>
    <w:rsid w:val="000E7E4C"/>
    <w:rsid w:val="000F075C"/>
    <w:rsid w:val="000F19E2"/>
    <w:rsid w:val="000F2CC2"/>
    <w:rsid w:val="000F304A"/>
    <w:rsid w:val="000F33AD"/>
    <w:rsid w:val="000F3746"/>
    <w:rsid w:val="000F3D19"/>
    <w:rsid w:val="000F41A8"/>
    <w:rsid w:val="000F44CC"/>
    <w:rsid w:val="000F5101"/>
    <w:rsid w:val="000F51C3"/>
    <w:rsid w:val="000F70D6"/>
    <w:rsid w:val="001007F2"/>
    <w:rsid w:val="00102893"/>
    <w:rsid w:val="00102A58"/>
    <w:rsid w:val="00105BA9"/>
    <w:rsid w:val="00106B86"/>
    <w:rsid w:val="00110158"/>
    <w:rsid w:val="00110A13"/>
    <w:rsid w:val="00112FBD"/>
    <w:rsid w:val="00117FAC"/>
    <w:rsid w:val="00120E31"/>
    <w:rsid w:val="00121205"/>
    <w:rsid w:val="0012379D"/>
    <w:rsid w:val="001238F7"/>
    <w:rsid w:val="001241F9"/>
    <w:rsid w:val="0012475B"/>
    <w:rsid w:val="00124775"/>
    <w:rsid w:val="001250D5"/>
    <w:rsid w:val="001251FA"/>
    <w:rsid w:val="00125CAE"/>
    <w:rsid w:val="00125D26"/>
    <w:rsid w:val="00127499"/>
    <w:rsid w:val="0013249C"/>
    <w:rsid w:val="00134D4B"/>
    <w:rsid w:val="001403E0"/>
    <w:rsid w:val="00140469"/>
    <w:rsid w:val="001466F6"/>
    <w:rsid w:val="00147359"/>
    <w:rsid w:val="001479BB"/>
    <w:rsid w:val="0015085A"/>
    <w:rsid w:val="00150DCB"/>
    <w:rsid w:val="001529E7"/>
    <w:rsid w:val="0015441B"/>
    <w:rsid w:val="00155293"/>
    <w:rsid w:val="0015595A"/>
    <w:rsid w:val="001564BD"/>
    <w:rsid w:val="0015719E"/>
    <w:rsid w:val="00160432"/>
    <w:rsid w:val="001629FB"/>
    <w:rsid w:val="00162E10"/>
    <w:rsid w:val="00171716"/>
    <w:rsid w:val="001717DB"/>
    <w:rsid w:val="00172F33"/>
    <w:rsid w:val="00175259"/>
    <w:rsid w:val="00177686"/>
    <w:rsid w:val="00180B25"/>
    <w:rsid w:val="0018595B"/>
    <w:rsid w:val="00185990"/>
    <w:rsid w:val="001906EE"/>
    <w:rsid w:val="001947C6"/>
    <w:rsid w:val="001959F3"/>
    <w:rsid w:val="00195E84"/>
    <w:rsid w:val="00196566"/>
    <w:rsid w:val="00197FC1"/>
    <w:rsid w:val="001A365B"/>
    <w:rsid w:val="001A4B62"/>
    <w:rsid w:val="001A5D51"/>
    <w:rsid w:val="001A60F2"/>
    <w:rsid w:val="001A6732"/>
    <w:rsid w:val="001A6B3E"/>
    <w:rsid w:val="001B03A9"/>
    <w:rsid w:val="001B2350"/>
    <w:rsid w:val="001B461F"/>
    <w:rsid w:val="001B536B"/>
    <w:rsid w:val="001B57BE"/>
    <w:rsid w:val="001B58BF"/>
    <w:rsid w:val="001C02D9"/>
    <w:rsid w:val="001C0519"/>
    <w:rsid w:val="001C0EF7"/>
    <w:rsid w:val="001C35C2"/>
    <w:rsid w:val="001C4A82"/>
    <w:rsid w:val="001C6CBE"/>
    <w:rsid w:val="001D1A09"/>
    <w:rsid w:val="001D2C45"/>
    <w:rsid w:val="001D376E"/>
    <w:rsid w:val="001D42F4"/>
    <w:rsid w:val="001D66E0"/>
    <w:rsid w:val="001D694B"/>
    <w:rsid w:val="001D7156"/>
    <w:rsid w:val="001D7FEC"/>
    <w:rsid w:val="001E0DF2"/>
    <w:rsid w:val="001E3D2F"/>
    <w:rsid w:val="001E487F"/>
    <w:rsid w:val="001E574F"/>
    <w:rsid w:val="001E57D4"/>
    <w:rsid w:val="001E6BE1"/>
    <w:rsid w:val="001F4004"/>
    <w:rsid w:val="001F463E"/>
    <w:rsid w:val="001F6CAC"/>
    <w:rsid w:val="001F760F"/>
    <w:rsid w:val="00201458"/>
    <w:rsid w:val="00205CCA"/>
    <w:rsid w:val="00206037"/>
    <w:rsid w:val="00206407"/>
    <w:rsid w:val="0020677B"/>
    <w:rsid w:val="002072DF"/>
    <w:rsid w:val="00213B15"/>
    <w:rsid w:val="00214688"/>
    <w:rsid w:val="002153A5"/>
    <w:rsid w:val="002203DC"/>
    <w:rsid w:val="00223189"/>
    <w:rsid w:val="0022345D"/>
    <w:rsid w:val="00223E22"/>
    <w:rsid w:val="0022462C"/>
    <w:rsid w:val="00224979"/>
    <w:rsid w:val="00224A03"/>
    <w:rsid w:val="00224B51"/>
    <w:rsid w:val="00226567"/>
    <w:rsid w:val="00226C87"/>
    <w:rsid w:val="00227E1E"/>
    <w:rsid w:val="0023108A"/>
    <w:rsid w:val="00231409"/>
    <w:rsid w:val="002318B8"/>
    <w:rsid w:val="00231977"/>
    <w:rsid w:val="00231CEA"/>
    <w:rsid w:val="00232E3D"/>
    <w:rsid w:val="00233085"/>
    <w:rsid w:val="00233978"/>
    <w:rsid w:val="00234CD5"/>
    <w:rsid w:val="00234F24"/>
    <w:rsid w:val="00235635"/>
    <w:rsid w:val="00235887"/>
    <w:rsid w:val="002359D5"/>
    <w:rsid w:val="002402F0"/>
    <w:rsid w:val="00240746"/>
    <w:rsid w:val="00240FF9"/>
    <w:rsid w:val="00241AA7"/>
    <w:rsid w:val="00241C2A"/>
    <w:rsid w:val="0024630B"/>
    <w:rsid w:val="0024631E"/>
    <w:rsid w:val="00246EBB"/>
    <w:rsid w:val="002473EA"/>
    <w:rsid w:val="00247681"/>
    <w:rsid w:val="002477BB"/>
    <w:rsid w:val="0025181F"/>
    <w:rsid w:val="002562CB"/>
    <w:rsid w:val="00257ED2"/>
    <w:rsid w:val="0026171F"/>
    <w:rsid w:val="00261ECF"/>
    <w:rsid w:val="00262591"/>
    <w:rsid w:val="002631D3"/>
    <w:rsid w:val="00263C4E"/>
    <w:rsid w:val="00264AEC"/>
    <w:rsid w:val="0026566F"/>
    <w:rsid w:val="00266720"/>
    <w:rsid w:val="00266A85"/>
    <w:rsid w:val="00267046"/>
    <w:rsid w:val="00267205"/>
    <w:rsid w:val="002701E1"/>
    <w:rsid w:val="002715B4"/>
    <w:rsid w:val="00271E75"/>
    <w:rsid w:val="00273242"/>
    <w:rsid w:val="00274C03"/>
    <w:rsid w:val="0027591E"/>
    <w:rsid w:val="00276272"/>
    <w:rsid w:val="00277219"/>
    <w:rsid w:val="00283841"/>
    <w:rsid w:val="00283DFC"/>
    <w:rsid w:val="00284088"/>
    <w:rsid w:val="00285F82"/>
    <w:rsid w:val="00286931"/>
    <w:rsid w:val="00286987"/>
    <w:rsid w:val="00286D93"/>
    <w:rsid w:val="00286EA9"/>
    <w:rsid w:val="00287174"/>
    <w:rsid w:val="00291C9C"/>
    <w:rsid w:val="002933EE"/>
    <w:rsid w:val="00294779"/>
    <w:rsid w:val="00294A94"/>
    <w:rsid w:val="00295D16"/>
    <w:rsid w:val="00296F5F"/>
    <w:rsid w:val="002A0260"/>
    <w:rsid w:val="002A04E7"/>
    <w:rsid w:val="002A11D1"/>
    <w:rsid w:val="002B04B0"/>
    <w:rsid w:val="002B255E"/>
    <w:rsid w:val="002B3E37"/>
    <w:rsid w:val="002B500E"/>
    <w:rsid w:val="002B6E0D"/>
    <w:rsid w:val="002C0272"/>
    <w:rsid w:val="002C0D75"/>
    <w:rsid w:val="002C1119"/>
    <w:rsid w:val="002C20FC"/>
    <w:rsid w:val="002C3282"/>
    <w:rsid w:val="002C3483"/>
    <w:rsid w:val="002C361B"/>
    <w:rsid w:val="002C59A8"/>
    <w:rsid w:val="002C6D3A"/>
    <w:rsid w:val="002C7B60"/>
    <w:rsid w:val="002D21DC"/>
    <w:rsid w:val="002D359F"/>
    <w:rsid w:val="002D40DA"/>
    <w:rsid w:val="002D5331"/>
    <w:rsid w:val="002D7325"/>
    <w:rsid w:val="002E160F"/>
    <w:rsid w:val="002E5310"/>
    <w:rsid w:val="002E5329"/>
    <w:rsid w:val="002E55D1"/>
    <w:rsid w:val="002E594A"/>
    <w:rsid w:val="002E73F4"/>
    <w:rsid w:val="002F096A"/>
    <w:rsid w:val="002F098A"/>
    <w:rsid w:val="002F09B1"/>
    <w:rsid w:val="002F0B72"/>
    <w:rsid w:val="002F0BAC"/>
    <w:rsid w:val="002F3AA8"/>
    <w:rsid w:val="002F4125"/>
    <w:rsid w:val="002F42A3"/>
    <w:rsid w:val="002F536C"/>
    <w:rsid w:val="002F5D0F"/>
    <w:rsid w:val="002F700D"/>
    <w:rsid w:val="002F71F2"/>
    <w:rsid w:val="003029BD"/>
    <w:rsid w:val="00303972"/>
    <w:rsid w:val="003050F2"/>
    <w:rsid w:val="0030687E"/>
    <w:rsid w:val="00307160"/>
    <w:rsid w:val="003077B9"/>
    <w:rsid w:val="003077C6"/>
    <w:rsid w:val="00310F83"/>
    <w:rsid w:val="00311C54"/>
    <w:rsid w:val="00312043"/>
    <w:rsid w:val="00312441"/>
    <w:rsid w:val="003152DC"/>
    <w:rsid w:val="0032111A"/>
    <w:rsid w:val="00324852"/>
    <w:rsid w:val="00324C14"/>
    <w:rsid w:val="00325988"/>
    <w:rsid w:val="0033018B"/>
    <w:rsid w:val="003313A5"/>
    <w:rsid w:val="003316AF"/>
    <w:rsid w:val="00332250"/>
    <w:rsid w:val="00333BC4"/>
    <w:rsid w:val="00334493"/>
    <w:rsid w:val="00335B65"/>
    <w:rsid w:val="00336942"/>
    <w:rsid w:val="0033795E"/>
    <w:rsid w:val="003379FA"/>
    <w:rsid w:val="00341117"/>
    <w:rsid w:val="0034337A"/>
    <w:rsid w:val="00343E8E"/>
    <w:rsid w:val="003447F7"/>
    <w:rsid w:val="0034731F"/>
    <w:rsid w:val="003477A5"/>
    <w:rsid w:val="003478DE"/>
    <w:rsid w:val="00351AF4"/>
    <w:rsid w:val="00351D87"/>
    <w:rsid w:val="00351E70"/>
    <w:rsid w:val="00370A82"/>
    <w:rsid w:val="003713EE"/>
    <w:rsid w:val="0037162A"/>
    <w:rsid w:val="003718C7"/>
    <w:rsid w:val="0037307B"/>
    <w:rsid w:val="00373DEE"/>
    <w:rsid w:val="00374B48"/>
    <w:rsid w:val="0037565C"/>
    <w:rsid w:val="00377E0F"/>
    <w:rsid w:val="00380BB1"/>
    <w:rsid w:val="00383391"/>
    <w:rsid w:val="00385DEB"/>
    <w:rsid w:val="00386BA6"/>
    <w:rsid w:val="00387958"/>
    <w:rsid w:val="00390829"/>
    <w:rsid w:val="00394046"/>
    <w:rsid w:val="00396293"/>
    <w:rsid w:val="003975D6"/>
    <w:rsid w:val="003A082C"/>
    <w:rsid w:val="003A294A"/>
    <w:rsid w:val="003A3366"/>
    <w:rsid w:val="003A7534"/>
    <w:rsid w:val="003A798D"/>
    <w:rsid w:val="003B15E4"/>
    <w:rsid w:val="003B22A0"/>
    <w:rsid w:val="003B392B"/>
    <w:rsid w:val="003B680D"/>
    <w:rsid w:val="003B7A1B"/>
    <w:rsid w:val="003C0056"/>
    <w:rsid w:val="003C070E"/>
    <w:rsid w:val="003C0EF5"/>
    <w:rsid w:val="003C1AB0"/>
    <w:rsid w:val="003C263D"/>
    <w:rsid w:val="003C2898"/>
    <w:rsid w:val="003C2F41"/>
    <w:rsid w:val="003C4734"/>
    <w:rsid w:val="003C4764"/>
    <w:rsid w:val="003C5211"/>
    <w:rsid w:val="003C551B"/>
    <w:rsid w:val="003C6BAA"/>
    <w:rsid w:val="003C74B3"/>
    <w:rsid w:val="003E01D9"/>
    <w:rsid w:val="003E05A4"/>
    <w:rsid w:val="003E11B9"/>
    <w:rsid w:val="003E391F"/>
    <w:rsid w:val="003E51B5"/>
    <w:rsid w:val="003E5286"/>
    <w:rsid w:val="003E5ABE"/>
    <w:rsid w:val="003E5CC3"/>
    <w:rsid w:val="003E688C"/>
    <w:rsid w:val="003E6898"/>
    <w:rsid w:val="003E7616"/>
    <w:rsid w:val="003F12B9"/>
    <w:rsid w:val="003F17F3"/>
    <w:rsid w:val="003F2D22"/>
    <w:rsid w:val="003F3635"/>
    <w:rsid w:val="003F7289"/>
    <w:rsid w:val="004002D9"/>
    <w:rsid w:val="00401376"/>
    <w:rsid w:val="004032CF"/>
    <w:rsid w:val="004043C3"/>
    <w:rsid w:val="004052E3"/>
    <w:rsid w:val="00410058"/>
    <w:rsid w:val="00410C3E"/>
    <w:rsid w:val="00411485"/>
    <w:rsid w:val="00411958"/>
    <w:rsid w:val="00411DA1"/>
    <w:rsid w:val="00413389"/>
    <w:rsid w:val="00413B3B"/>
    <w:rsid w:val="00413E81"/>
    <w:rsid w:val="004147F0"/>
    <w:rsid w:val="00414A80"/>
    <w:rsid w:val="004150D2"/>
    <w:rsid w:val="00416DA0"/>
    <w:rsid w:val="00417104"/>
    <w:rsid w:val="00417428"/>
    <w:rsid w:val="004179E5"/>
    <w:rsid w:val="004211B4"/>
    <w:rsid w:val="0042164C"/>
    <w:rsid w:val="004247B1"/>
    <w:rsid w:val="00424828"/>
    <w:rsid w:val="0042535B"/>
    <w:rsid w:val="0042550B"/>
    <w:rsid w:val="00427DEE"/>
    <w:rsid w:val="004308C8"/>
    <w:rsid w:val="0043202E"/>
    <w:rsid w:val="00433E0F"/>
    <w:rsid w:val="0043439C"/>
    <w:rsid w:val="00434F7D"/>
    <w:rsid w:val="004355D3"/>
    <w:rsid w:val="00436F8C"/>
    <w:rsid w:val="00437588"/>
    <w:rsid w:val="00440372"/>
    <w:rsid w:val="00440568"/>
    <w:rsid w:val="00440C30"/>
    <w:rsid w:val="00440C6E"/>
    <w:rsid w:val="00443ECB"/>
    <w:rsid w:val="00444F34"/>
    <w:rsid w:val="00447E51"/>
    <w:rsid w:val="00450BA5"/>
    <w:rsid w:val="004534CF"/>
    <w:rsid w:val="00453549"/>
    <w:rsid w:val="004569C2"/>
    <w:rsid w:val="00456A7A"/>
    <w:rsid w:val="0045715E"/>
    <w:rsid w:val="00461BB3"/>
    <w:rsid w:val="00462BCF"/>
    <w:rsid w:val="00463ABD"/>
    <w:rsid w:val="0046447F"/>
    <w:rsid w:val="00464796"/>
    <w:rsid w:val="00464F64"/>
    <w:rsid w:val="00466568"/>
    <w:rsid w:val="004669CF"/>
    <w:rsid w:val="00466F61"/>
    <w:rsid w:val="0047168A"/>
    <w:rsid w:val="0047488F"/>
    <w:rsid w:val="00480849"/>
    <w:rsid w:val="00481862"/>
    <w:rsid w:val="00483AD9"/>
    <w:rsid w:val="0048610D"/>
    <w:rsid w:val="00486427"/>
    <w:rsid w:val="00490177"/>
    <w:rsid w:val="00494AB9"/>
    <w:rsid w:val="00495D6A"/>
    <w:rsid w:val="0049636A"/>
    <w:rsid w:val="004A0193"/>
    <w:rsid w:val="004A0A39"/>
    <w:rsid w:val="004A2D13"/>
    <w:rsid w:val="004A3463"/>
    <w:rsid w:val="004A3999"/>
    <w:rsid w:val="004A4991"/>
    <w:rsid w:val="004A4B80"/>
    <w:rsid w:val="004A5921"/>
    <w:rsid w:val="004A5FA4"/>
    <w:rsid w:val="004A63AA"/>
    <w:rsid w:val="004A6CE9"/>
    <w:rsid w:val="004A7043"/>
    <w:rsid w:val="004B04BC"/>
    <w:rsid w:val="004B0682"/>
    <w:rsid w:val="004B0F04"/>
    <w:rsid w:val="004B47D6"/>
    <w:rsid w:val="004B584F"/>
    <w:rsid w:val="004B6AF8"/>
    <w:rsid w:val="004B6B03"/>
    <w:rsid w:val="004B6E0B"/>
    <w:rsid w:val="004C0106"/>
    <w:rsid w:val="004C1FBA"/>
    <w:rsid w:val="004C286F"/>
    <w:rsid w:val="004C2EE3"/>
    <w:rsid w:val="004C34D2"/>
    <w:rsid w:val="004C50FA"/>
    <w:rsid w:val="004C5849"/>
    <w:rsid w:val="004C5D6F"/>
    <w:rsid w:val="004C642E"/>
    <w:rsid w:val="004C64FB"/>
    <w:rsid w:val="004C6EBB"/>
    <w:rsid w:val="004C76AF"/>
    <w:rsid w:val="004D1C03"/>
    <w:rsid w:val="004D3229"/>
    <w:rsid w:val="004D3619"/>
    <w:rsid w:val="004D5142"/>
    <w:rsid w:val="004D62E0"/>
    <w:rsid w:val="004E0947"/>
    <w:rsid w:val="004E2746"/>
    <w:rsid w:val="004E3411"/>
    <w:rsid w:val="004E5C4F"/>
    <w:rsid w:val="004E62A2"/>
    <w:rsid w:val="004E6801"/>
    <w:rsid w:val="004E7974"/>
    <w:rsid w:val="004E7E38"/>
    <w:rsid w:val="004F00C9"/>
    <w:rsid w:val="004F1E08"/>
    <w:rsid w:val="005017A8"/>
    <w:rsid w:val="00501809"/>
    <w:rsid w:val="00501D6D"/>
    <w:rsid w:val="005020AA"/>
    <w:rsid w:val="0050242D"/>
    <w:rsid w:val="00502735"/>
    <w:rsid w:val="00504606"/>
    <w:rsid w:val="00505176"/>
    <w:rsid w:val="0050565D"/>
    <w:rsid w:val="005105EA"/>
    <w:rsid w:val="0051289E"/>
    <w:rsid w:val="00514F55"/>
    <w:rsid w:val="005208AA"/>
    <w:rsid w:val="0052389B"/>
    <w:rsid w:val="0052443F"/>
    <w:rsid w:val="0052559B"/>
    <w:rsid w:val="00527D60"/>
    <w:rsid w:val="00530AF5"/>
    <w:rsid w:val="005316F4"/>
    <w:rsid w:val="00534499"/>
    <w:rsid w:val="005361D4"/>
    <w:rsid w:val="005373CC"/>
    <w:rsid w:val="00537661"/>
    <w:rsid w:val="00540721"/>
    <w:rsid w:val="00540DC3"/>
    <w:rsid w:val="00541423"/>
    <w:rsid w:val="005415C7"/>
    <w:rsid w:val="00543C0D"/>
    <w:rsid w:val="005440BC"/>
    <w:rsid w:val="00544642"/>
    <w:rsid w:val="00545E08"/>
    <w:rsid w:val="00547CD0"/>
    <w:rsid w:val="00547E35"/>
    <w:rsid w:val="00550EB1"/>
    <w:rsid w:val="00551CD7"/>
    <w:rsid w:val="00551F11"/>
    <w:rsid w:val="005532B3"/>
    <w:rsid w:val="00554267"/>
    <w:rsid w:val="00554675"/>
    <w:rsid w:val="005573E5"/>
    <w:rsid w:val="00557E04"/>
    <w:rsid w:val="0056231F"/>
    <w:rsid w:val="00563FD0"/>
    <w:rsid w:val="005645EA"/>
    <w:rsid w:val="00564E5D"/>
    <w:rsid w:val="005704E7"/>
    <w:rsid w:val="00571EAE"/>
    <w:rsid w:val="005721F2"/>
    <w:rsid w:val="0057377D"/>
    <w:rsid w:val="0057604D"/>
    <w:rsid w:val="005768DB"/>
    <w:rsid w:val="00576A20"/>
    <w:rsid w:val="00577D39"/>
    <w:rsid w:val="00582D1B"/>
    <w:rsid w:val="00586B37"/>
    <w:rsid w:val="005877D9"/>
    <w:rsid w:val="00591D82"/>
    <w:rsid w:val="005923AD"/>
    <w:rsid w:val="00592B09"/>
    <w:rsid w:val="00594B3C"/>
    <w:rsid w:val="00596C83"/>
    <w:rsid w:val="00597551"/>
    <w:rsid w:val="005A1776"/>
    <w:rsid w:val="005A2BD2"/>
    <w:rsid w:val="005A37B9"/>
    <w:rsid w:val="005A3B77"/>
    <w:rsid w:val="005A4034"/>
    <w:rsid w:val="005A6636"/>
    <w:rsid w:val="005A677E"/>
    <w:rsid w:val="005A7D15"/>
    <w:rsid w:val="005B08BC"/>
    <w:rsid w:val="005B1632"/>
    <w:rsid w:val="005B1CFD"/>
    <w:rsid w:val="005B379A"/>
    <w:rsid w:val="005B4180"/>
    <w:rsid w:val="005B5B06"/>
    <w:rsid w:val="005B6186"/>
    <w:rsid w:val="005B6B4D"/>
    <w:rsid w:val="005B75B3"/>
    <w:rsid w:val="005C03D1"/>
    <w:rsid w:val="005C2F31"/>
    <w:rsid w:val="005C4C4A"/>
    <w:rsid w:val="005D04F3"/>
    <w:rsid w:val="005D0712"/>
    <w:rsid w:val="005D08F8"/>
    <w:rsid w:val="005D3969"/>
    <w:rsid w:val="005D4A10"/>
    <w:rsid w:val="005D4D85"/>
    <w:rsid w:val="005D5E99"/>
    <w:rsid w:val="005D5F2B"/>
    <w:rsid w:val="005D6B9C"/>
    <w:rsid w:val="005D6DB7"/>
    <w:rsid w:val="005D6F8A"/>
    <w:rsid w:val="005E0A36"/>
    <w:rsid w:val="005E36DC"/>
    <w:rsid w:val="005E3E7B"/>
    <w:rsid w:val="005E496F"/>
    <w:rsid w:val="005E5D09"/>
    <w:rsid w:val="005E6753"/>
    <w:rsid w:val="005E6E9C"/>
    <w:rsid w:val="005E797F"/>
    <w:rsid w:val="005F0929"/>
    <w:rsid w:val="005F09BF"/>
    <w:rsid w:val="005F1933"/>
    <w:rsid w:val="005F2CF2"/>
    <w:rsid w:val="005F2F98"/>
    <w:rsid w:val="005F320A"/>
    <w:rsid w:val="005F3B03"/>
    <w:rsid w:val="005F77E1"/>
    <w:rsid w:val="006023BA"/>
    <w:rsid w:val="00602521"/>
    <w:rsid w:val="00602FAB"/>
    <w:rsid w:val="00603C2F"/>
    <w:rsid w:val="00604C78"/>
    <w:rsid w:val="00605104"/>
    <w:rsid w:val="006059AA"/>
    <w:rsid w:val="00607EBB"/>
    <w:rsid w:val="00611894"/>
    <w:rsid w:val="00611A87"/>
    <w:rsid w:val="0061228A"/>
    <w:rsid w:val="00612F02"/>
    <w:rsid w:val="00615866"/>
    <w:rsid w:val="006166C8"/>
    <w:rsid w:val="00617930"/>
    <w:rsid w:val="00620618"/>
    <w:rsid w:val="00623F94"/>
    <w:rsid w:val="00624CCB"/>
    <w:rsid w:val="00630F0E"/>
    <w:rsid w:val="006317A1"/>
    <w:rsid w:val="00631ED6"/>
    <w:rsid w:val="00634526"/>
    <w:rsid w:val="006351F1"/>
    <w:rsid w:val="00635FCD"/>
    <w:rsid w:val="00637823"/>
    <w:rsid w:val="00637BED"/>
    <w:rsid w:val="00637E49"/>
    <w:rsid w:val="00646695"/>
    <w:rsid w:val="006475EE"/>
    <w:rsid w:val="00647D1C"/>
    <w:rsid w:val="006520DF"/>
    <w:rsid w:val="00653069"/>
    <w:rsid w:val="0065463E"/>
    <w:rsid w:val="00657601"/>
    <w:rsid w:val="00660596"/>
    <w:rsid w:val="00665A64"/>
    <w:rsid w:val="00666C6D"/>
    <w:rsid w:val="006676F4"/>
    <w:rsid w:val="006700A1"/>
    <w:rsid w:val="00670EB7"/>
    <w:rsid w:val="0067115B"/>
    <w:rsid w:val="00671E33"/>
    <w:rsid w:val="00674176"/>
    <w:rsid w:val="006743B6"/>
    <w:rsid w:val="0067452B"/>
    <w:rsid w:val="00674DE8"/>
    <w:rsid w:val="00676A48"/>
    <w:rsid w:val="00677D16"/>
    <w:rsid w:val="0068236C"/>
    <w:rsid w:val="00684AB2"/>
    <w:rsid w:val="00690445"/>
    <w:rsid w:val="0069072F"/>
    <w:rsid w:val="00690DA7"/>
    <w:rsid w:val="006921EA"/>
    <w:rsid w:val="006936DA"/>
    <w:rsid w:val="00693AFB"/>
    <w:rsid w:val="00694C73"/>
    <w:rsid w:val="00695063"/>
    <w:rsid w:val="00695C2E"/>
    <w:rsid w:val="00695D14"/>
    <w:rsid w:val="00696AA3"/>
    <w:rsid w:val="006A06B6"/>
    <w:rsid w:val="006A1632"/>
    <w:rsid w:val="006A1F2E"/>
    <w:rsid w:val="006A2B50"/>
    <w:rsid w:val="006A3B17"/>
    <w:rsid w:val="006A4D78"/>
    <w:rsid w:val="006A7B36"/>
    <w:rsid w:val="006B062B"/>
    <w:rsid w:val="006B089B"/>
    <w:rsid w:val="006B09CE"/>
    <w:rsid w:val="006B18F2"/>
    <w:rsid w:val="006B3780"/>
    <w:rsid w:val="006B572D"/>
    <w:rsid w:val="006B5835"/>
    <w:rsid w:val="006B5B03"/>
    <w:rsid w:val="006B76F2"/>
    <w:rsid w:val="006C06B4"/>
    <w:rsid w:val="006C10D6"/>
    <w:rsid w:val="006C184E"/>
    <w:rsid w:val="006C2CB7"/>
    <w:rsid w:val="006C31D7"/>
    <w:rsid w:val="006C5168"/>
    <w:rsid w:val="006C5BBB"/>
    <w:rsid w:val="006D0A46"/>
    <w:rsid w:val="006D3162"/>
    <w:rsid w:val="006D3AC5"/>
    <w:rsid w:val="006D3D48"/>
    <w:rsid w:val="006D5585"/>
    <w:rsid w:val="006D60AB"/>
    <w:rsid w:val="006D671E"/>
    <w:rsid w:val="006D73C5"/>
    <w:rsid w:val="006D7D2D"/>
    <w:rsid w:val="006D7EE1"/>
    <w:rsid w:val="006E0489"/>
    <w:rsid w:val="006E2C01"/>
    <w:rsid w:val="006E2CF9"/>
    <w:rsid w:val="006E486B"/>
    <w:rsid w:val="006E4CC2"/>
    <w:rsid w:val="006E65CF"/>
    <w:rsid w:val="006E70EC"/>
    <w:rsid w:val="006E74EB"/>
    <w:rsid w:val="006E7DAB"/>
    <w:rsid w:val="006E7FD1"/>
    <w:rsid w:val="006F01B9"/>
    <w:rsid w:val="006F4A09"/>
    <w:rsid w:val="006F508F"/>
    <w:rsid w:val="006F57C0"/>
    <w:rsid w:val="006F62F1"/>
    <w:rsid w:val="006F663D"/>
    <w:rsid w:val="007013BB"/>
    <w:rsid w:val="00702135"/>
    <w:rsid w:val="00702D41"/>
    <w:rsid w:val="0070478B"/>
    <w:rsid w:val="00705A9A"/>
    <w:rsid w:val="00705FC4"/>
    <w:rsid w:val="00706513"/>
    <w:rsid w:val="00706F94"/>
    <w:rsid w:val="007079D9"/>
    <w:rsid w:val="00712103"/>
    <w:rsid w:val="00715106"/>
    <w:rsid w:val="007166CA"/>
    <w:rsid w:val="00720DC2"/>
    <w:rsid w:val="0072184A"/>
    <w:rsid w:val="00722A9C"/>
    <w:rsid w:val="00723008"/>
    <w:rsid w:val="0072317B"/>
    <w:rsid w:val="00723654"/>
    <w:rsid w:val="00723C69"/>
    <w:rsid w:val="00726A85"/>
    <w:rsid w:val="00727E73"/>
    <w:rsid w:val="007309B1"/>
    <w:rsid w:val="00732504"/>
    <w:rsid w:val="0073478B"/>
    <w:rsid w:val="007358D0"/>
    <w:rsid w:val="00736729"/>
    <w:rsid w:val="0074008E"/>
    <w:rsid w:val="0074205B"/>
    <w:rsid w:val="0074538A"/>
    <w:rsid w:val="0074732D"/>
    <w:rsid w:val="0075143D"/>
    <w:rsid w:val="007533C2"/>
    <w:rsid w:val="0075422D"/>
    <w:rsid w:val="00757507"/>
    <w:rsid w:val="00757792"/>
    <w:rsid w:val="00757B0A"/>
    <w:rsid w:val="007624BA"/>
    <w:rsid w:val="007642F6"/>
    <w:rsid w:val="00764C5A"/>
    <w:rsid w:val="007658B8"/>
    <w:rsid w:val="00766E90"/>
    <w:rsid w:val="00767886"/>
    <w:rsid w:val="00770E56"/>
    <w:rsid w:val="007729BF"/>
    <w:rsid w:val="00772AAA"/>
    <w:rsid w:val="007734D5"/>
    <w:rsid w:val="0077769C"/>
    <w:rsid w:val="00777CD8"/>
    <w:rsid w:val="00780531"/>
    <w:rsid w:val="00781F34"/>
    <w:rsid w:val="007827A1"/>
    <w:rsid w:val="007869AB"/>
    <w:rsid w:val="0079120C"/>
    <w:rsid w:val="00792B46"/>
    <w:rsid w:val="00792F5A"/>
    <w:rsid w:val="00795742"/>
    <w:rsid w:val="00796176"/>
    <w:rsid w:val="00796F26"/>
    <w:rsid w:val="007978DB"/>
    <w:rsid w:val="007A221E"/>
    <w:rsid w:val="007A454A"/>
    <w:rsid w:val="007A60D0"/>
    <w:rsid w:val="007A6D46"/>
    <w:rsid w:val="007A74F2"/>
    <w:rsid w:val="007A77B0"/>
    <w:rsid w:val="007A79D4"/>
    <w:rsid w:val="007B066E"/>
    <w:rsid w:val="007B192B"/>
    <w:rsid w:val="007B3197"/>
    <w:rsid w:val="007B44C7"/>
    <w:rsid w:val="007B516C"/>
    <w:rsid w:val="007B757A"/>
    <w:rsid w:val="007B7CC7"/>
    <w:rsid w:val="007C160F"/>
    <w:rsid w:val="007C37A3"/>
    <w:rsid w:val="007C3D9A"/>
    <w:rsid w:val="007C527F"/>
    <w:rsid w:val="007C7430"/>
    <w:rsid w:val="007C7EEF"/>
    <w:rsid w:val="007D16E4"/>
    <w:rsid w:val="007D244F"/>
    <w:rsid w:val="007D6601"/>
    <w:rsid w:val="007E1665"/>
    <w:rsid w:val="007E5814"/>
    <w:rsid w:val="007F311C"/>
    <w:rsid w:val="007F4F7A"/>
    <w:rsid w:val="007F63E9"/>
    <w:rsid w:val="007F6C15"/>
    <w:rsid w:val="008010B3"/>
    <w:rsid w:val="00803748"/>
    <w:rsid w:val="0080387E"/>
    <w:rsid w:val="00804F1B"/>
    <w:rsid w:val="008052CB"/>
    <w:rsid w:val="00805CDB"/>
    <w:rsid w:val="00805F9E"/>
    <w:rsid w:val="0080644B"/>
    <w:rsid w:val="008065E3"/>
    <w:rsid w:val="00806871"/>
    <w:rsid w:val="0080749E"/>
    <w:rsid w:val="00807A73"/>
    <w:rsid w:val="00807BC7"/>
    <w:rsid w:val="00810474"/>
    <w:rsid w:val="0081407C"/>
    <w:rsid w:val="0081417F"/>
    <w:rsid w:val="00814FA5"/>
    <w:rsid w:val="00815952"/>
    <w:rsid w:val="00816B36"/>
    <w:rsid w:val="00816E42"/>
    <w:rsid w:val="00817A07"/>
    <w:rsid w:val="00817E6E"/>
    <w:rsid w:val="00821C26"/>
    <w:rsid w:val="0082320B"/>
    <w:rsid w:val="00823B9E"/>
    <w:rsid w:val="00824032"/>
    <w:rsid w:val="0082415E"/>
    <w:rsid w:val="008273B1"/>
    <w:rsid w:val="00833C1A"/>
    <w:rsid w:val="00836E1D"/>
    <w:rsid w:val="00837D7E"/>
    <w:rsid w:val="00840843"/>
    <w:rsid w:val="00841BE1"/>
    <w:rsid w:val="00844193"/>
    <w:rsid w:val="00844CA4"/>
    <w:rsid w:val="008457D9"/>
    <w:rsid w:val="00846D47"/>
    <w:rsid w:val="00847264"/>
    <w:rsid w:val="008504EA"/>
    <w:rsid w:val="00853960"/>
    <w:rsid w:val="00853AAF"/>
    <w:rsid w:val="008543B0"/>
    <w:rsid w:val="00854C63"/>
    <w:rsid w:val="00854CC8"/>
    <w:rsid w:val="00857473"/>
    <w:rsid w:val="008608C6"/>
    <w:rsid w:val="0086090A"/>
    <w:rsid w:val="0086126B"/>
    <w:rsid w:val="008613BF"/>
    <w:rsid w:val="00864C4D"/>
    <w:rsid w:val="008723F2"/>
    <w:rsid w:val="00872B86"/>
    <w:rsid w:val="0087467F"/>
    <w:rsid w:val="008752A0"/>
    <w:rsid w:val="00875CE8"/>
    <w:rsid w:val="00876E1E"/>
    <w:rsid w:val="0087714C"/>
    <w:rsid w:val="00877311"/>
    <w:rsid w:val="00877E0B"/>
    <w:rsid w:val="00881E21"/>
    <w:rsid w:val="008823EA"/>
    <w:rsid w:val="00883232"/>
    <w:rsid w:val="008848CD"/>
    <w:rsid w:val="008858E8"/>
    <w:rsid w:val="00886809"/>
    <w:rsid w:val="008874C5"/>
    <w:rsid w:val="00891044"/>
    <w:rsid w:val="00891534"/>
    <w:rsid w:val="008942B3"/>
    <w:rsid w:val="00895156"/>
    <w:rsid w:val="0089646F"/>
    <w:rsid w:val="00896C46"/>
    <w:rsid w:val="008970B3"/>
    <w:rsid w:val="00897A3F"/>
    <w:rsid w:val="008A077E"/>
    <w:rsid w:val="008A07F9"/>
    <w:rsid w:val="008A1A5A"/>
    <w:rsid w:val="008A4706"/>
    <w:rsid w:val="008A58B7"/>
    <w:rsid w:val="008A7B23"/>
    <w:rsid w:val="008B06F9"/>
    <w:rsid w:val="008B0855"/>
    <w:rsid w:val="008B3079"/>
    <w:rsid w:val="008B311C"/>
    <w:rsid w:val="008B5047"/>
    <w:rsid w:val="008B54C3"/>
    <w:rsid w:val="008B6082"/>
    <w:rsid w:val="008C3836"/>
    <w:rsid w:val="008C59C6"/>
    <w:rsid w:val="008C5A33"/>
    <w:rsid w:val="008C669E"/>
    <w:rsid w:val="008D0CD0"/>
    <w:rsid w:val="008D16CD"/>
    <w:rsid w:val="008D239C"/>
    <w:rsid w:val="008D2402"/>
    <w:rsid w:val="008D463C"/>
    <w:rsid w:val="008D4F41"/>
    <w:rsid w:val="008D777E"/>
    <w:rsid w:val="008D77A8"/>
    <w:rsid w:val="008E0AB7"/>
    <w:rsid w:val="008E2DAA"/>
    <w:rsid w:val="008E46AB"/>
    <w:rsid w:val="008E5ADD"/>
    <w:rsid w:val="008E6DF0"/>
    <w:rsid w:val="008E775C"/>
    <w:rsid w:val="008F00F3"/>
    <w:rsid w:val="008F0405"/>
    <w:rsid w:val="008F1065"/>
    <w:rsid w:val="008F1877"/>
    <w:rsid w:val="008F3A30"/>
    <w:rsid w:val="008F3C33"/>
    <w:rsid w:val="008F3CCF"/>
    <w:rsid w:val="008F41FF"/>
    <w:rsid w:val="008F58A1"/>
    <w:rsid w:val="008F5947"/>
    <w:rsid w:val="008F5BD4"/>
    <w:rsid w:val="008F6607"/>
    <w:rsid w:val="008F798B"/>
    <w:rsid w:val="00900A71"/>
    <w:rsid w:val="0090246E"/>
    <w:rsid w:val="00903988"/>
    <w:rsid w:val="00904768"/>
    <w:rsid w:val="00910284"/>
    <w:rsid w:val="009110FC"/>
    <w:rsid w:val="00911B45"/>
    <w:rsid w:val="00914B38"/>
    <w:rsid w:val="00920114"/>
    <w:rsid w:val="009212DA"/>
    <w:rsid w:val="0092140C"/>
    <w:rsid w:val="009214AA"/>
    <w:rsid w:val="009228B8"/>
    <w:rsid w:val="009239E1"/>
    <w:rsid w:val="00924587"/>
    <w:rsid w:val="009248A5"/>
    <w:rsid w:val="009254B2"/>
    <w:rsid w:val="009257E1"/>
    <w:rsid w:val="00925A8F"/>
    <w:rsid w:val="00926049"/>
    <w:rsid w:val="009264CC"/>
    <w:rsid w:val="009304D2"/>
    <w:rsid w:val="0093077F"/>
    <w:rsid w:val="00930F09"/>
    <w:rsid w:val="009319CE"/>
    <w:rsid w:val="009339C1"/>
    <w:rsid w:val="00933E15"/>
    <w:rsid w:val="00934DE7"/>
    <w:rsid w:val="00934F38"/>
    <w:rsid w:val="009355E6"/>
    <w:rsid w:val="00935C91"/>
    <w:rsid w:val="00936520"/>
    <w:rsid w:val="00936C71"/>
    <w:rsid w:val="009370BC"/>
    <w:rsid w:val="00940B79"/>
    <w:rsid w:val="00940D33"/>
    <w:rsid w:val="00940EED"/>
    <w:rsid w:val="0094225E"/>
    <w:rsid w:val="00943500"/>
    <w:rsid w:val="009443CB"/>
    <w:rsid w:val="00945A4C"/>
    <w:rsid w:val="00945B12"/>
    <w:rsid w:val="00947CD4"/>
    <w:rsid w:val="0095099E"/>
    <w:rsid w:val="00950E54"/>
    <w:rsid w:val="009512A3"/>
    <w:rsid w:val="00951B8C"/>
    <w:rsid w:val="0095407A"/>
    <w:rsid w:val="0095450C"/>
    <w:rsid w:val="00955D2B"/>
    <w:rsid w:val="00955F67"/>
    <w:rsid w:val="00957B5F"/>
    <w:rsid w:val="0096185C"/>
    <w:rsid w:val="009618A1"/>
    <w:rsid w:val="00961A79"/>
    <w:rsid w:val="00962EC2"/>
    <w:rsid w:val="0096423A"/>
    <w:rsid w:val="00970B51"/>
    <w:rsid w:val="00972D22"/>
    <w:rsid w:val="00974C4E"/>
    <w:rsid w:val="00974E6B"/>
    <w:rsid w:val="009758FD"/>
    <w:rsid w:val="00977A92"/>
    <w:rsid w:val="00980957"/>
    <w:rsid w:val="009816C4"/>
    <w:rsid w:val="009826E6"/>
    <w:rsid w:val="009827EB"/>
    <w:rsid w:val="00983C38"/>
    <w:rsid w:val="0099187A"/>
    <w:rsid w:val="009919BB"/>
    <w:rsid w:val="00992E0F"/>
    <w:rsid w:val="00994047"/>
    <w:rsid w:val="009957CD"/>
    <w:rsid w:val="00996571"/>
    <w:rsid w:val="0099764B"/>
    <w:rsid w:val="009A17CD"/>
    <w:rsid w:val="009A1911"/>
    <w:rsid w:val="009A4598"/>
    <w:rsid w:val="009A7CFF"/>
    <w:rsid w:val="009B0C02"/>
    <w:rsid w:val="009B43D0"/>
    <w:rsid w:val="009C27DD"/>
    <w:rsid w:val="009C37CE"/>
    <w:rsid w:val="009C52DC"/>
    <w:rsid w:val="009C5CB2"/>
    <w:rsid w:val="009C6ECF"/>
    <w:rsid w:val="009C7472"/>
    <w:rsid w:val="009D003B"/>
    <w:rsid w:val="009D028C"/>
    <w:rsid w:val="009D0CF0"/>
    <w:rsid w:val="009D2A8D"/>
    <w:rsid w:val="009D76FD"/>
    <w:rsid w:val="009E24FC"/>
    <w:rsid w:val="009E2597"/>
    <w:rsid w:val="009E2ABA"/>
    <w:rsid w:val="009E3500"/>
    <w:rsid w:val="009E6CC1"/>
    <w:rsid w:val="009F28C1"/>
    <w:rsid w:val="009F6277"/>
    <w:rsid w:val="009F79D9"/>
    <w:rsid w:val="00A00156"/>
    <w:rsid w:val="00A00168"/>
    <w:rsid w:val="00A01417"/>
    <w:rsid w:val="00A01A7E"/>
    <w:rsid w:val="00A022EC"/>
    <w:rsid w:val="00A02CDA"/>
    <w:rsid w:val="00A03C54"/>
    <w:rsid w:val="00A065B9"/>
    <w:rsid w:val="00A072BD"/>
    <w:rsid w:val="00A07596"/>
    <w:rsid w:val="00A10844"/>
    <w:rsid w:val="00A115DB"/>
    <w:rsid w:val="00A126C7"/>
    <w:rsid w:val="00A1326A"/>
    <w:rsid w:val="00A1359E"/>
    <w:rsid w:val="00A14C2E"/>
    <w:rsid w:val="00A1578C"/>
    <w:rsid w:val="00A158B0"/>
    <w:rsid w:val="00A159BC"/>
    <w:rsid w:val="00A1652D"/>
    <w:rsid w:val="00A20185"/>
    <w:rsid w:val="00A26BFA"/>
    <w:rsid w:val="00A32FDE"/>
    <w:rsid w:val="00A33403"/>
    <w:rsid w:val="00A34494"/>
    <w:rsid w:val="00A35B25"/>
    <w:rsid w:val="00A4005A"/>
    <w:rsid w:val="00A40D5B"/>
    <w:rsid w:val="00A40EAA"/>
    <w:rsid w:val="00A416CF"/>
    <w:rsid w:val="00A41D0B"/>
    <w:rsid w:val="00A42795"/>
    <w:rsid w:val="00A44379"/>
    <w:rsid w:val="00A444B0"/>
    <w:rsid w:val="00A45CD8"/>
    <w:rsid w:val="00A45CED"/>
    <w:rsid w:val="00A51698"/>
    <w:rsid w:val="00A524AD"/>
    <w:rsid w:val="00A613B2"/>
    <w:rsid w:val="00A61652"/>
    <w:rsid w:val="00A6190D"/>
    <w:rsid w:val="00A61E69"/>
    <w:rsid w:val="00A625B1"/>
    <w:rsid w:val="00A663CF"/>
    <w:rsid w:val="00A6752B"/>
    <w:rsid w:val="00A67AC2"/>
    <w:rsid w:val="00A700AC"/>
    <w:rsid w:val="00A706A1"/>
    <w:rsid w:val="00A70729"/>
    <w:rsid w:val="00A719E8"/>
    <w:rsid w:val="00A72B56"/>
    <w:rsid w:val="00A72C02"/>
    <w:rsid w:val="00A72E56"/>
    <w:rsid w:val="00A736DA"/>
    <w:rsid w:val="00A75988"/>
    <w:rsid w:val="00A75CF6"/>
    <w:rsid w:val="00A76537"/>
    <w:rsid w:val="00A773FE"/>
    <w:rsid w:val="00A80981"/>
    <w:rsid w:val="00A833E5"/>
    <w:rsid w:val="00A84053"/>
    <w:rsid w:val="00A85A22"/>
    <w:rsid w:val="00A85B7B"/>
    <w:rsid w:val="00A866E8"/>
    <w:rsid w:val="00A9100C"/>
    <w:rsid w:val="00A91F44"/>
    <w:rsid w:val="00A94D1B"/>
    <w:rsid w:val="00A94EA7"/>
    <w:rsid w:val="00A95D2E"/>
    <w:rsid w:val="00AA0395"/>
    <w:rsid w:val="00AA06D8"/>
    <w:rsid w:val="00AA22F9"/>
    <w:rsid w:val="00AA29A0"/>
    <w:rsid w:val="00AA5596"/>
    <w:rsid w:val="00AB14D5"/>
    <w:rsid w:val="00AB172D"/>
    <w:rsid w:val="00AB2F4D"/>
    <w:rsid w:val="00AB38A0"/>
    <w:rsid w:val="00AB4B8A"/>
    <w:rsid w:val="00AB4CBF"/>
    <w:rsid w:val="00AB5262"/>
    <w:rsid w:val="00AB5522"/>
    <w:rsid w:val="00AB5835"/>
    <w:rsid w:val="00AB678E"/>
    <w:rsid w:val="00AB7898"/>
    <w:rsid w:val="00AB7E4D"/>
    <w:rsid w:val="00AC09BC"/>
    <w:rsid w:val="00AC0E58"/>
    <w:rsid w:val="00AC1099"/>
    <w:rsid w:val="00AC48AB"/>
    <w:rsid w:val="00AC4DB6"/>
    <w:rsid w:val="00AC6029"/>
    <w:rsid w:val="00AC69FD"/>
    <w:rsid w:val="00AD0DCD"/>
    <w:rsid w:val="00AD1DCF"/>
    <w:rsid w:val="00AD2E48"/>
    <w:rsid w:val="00AD36D7"/>
    <w:rsid w:val="00AD48FE"/>
    <w:rsid w:val="00AD72DD"/>
    <w:rsid w:val="00AE1128"/>
    <w:rsid w:val="00AE31F7"/>
    <w:rsid w:val="00AE342B"/>
    <w:rsid w:val="00AE37B0"/>
    <w:rsid w:val="00AE37F9"/>
    <w:rsid w:val="00AE5F79"/>
    <w:rsid w:val="00AE758B"/>
    <w:rsid w:val="00AF0587"/>
    <w:rsid w:val="00AF1E0C"/>
    <w:rsid w:val="00AF2209"/>
    <w:rsid w:val="00AF2EB8"/>
    <w:rsid w:val="00AF4D4B"/>
    <w:rsid w:val="00AF63A4"/>
    <w:rsid w:val="00B041A6"/>
    <w:rsid w:val="00B07841"/>
    <w:rsid w:val="00B07888"/>
    <w:rsid w:val="00B07BD8"/>
    <w:rsid w:val="00B1063F"/>
    <w:rsid w:val="00B110B6"/>
    <w:rsid w:val="00B11E1F"/>
    <w:rsid w:val="00B135F1"/>
    <w:rsid w:val="00B155A5"/>
    <w:rsid w:val="00B15B27"/>
    <w:rsid w:val="00B165F4"/>
    <w:rsid w:val="00B16F9E"/>
    <w:rsid w:val="00B1759C"/>
    <w:rsid w:val="00B20956"/>
    <w:rsid w:val="00B20F3C"/>
    <w:rsid w:val="00B21F1F"/>
    <w:rsid w:val="00B2342E"/>
    <w:rsid w:val="00B23815"/>
    <w:rsid w:val="00B25236"/>
    <w:rsid w:val="00B279A9"/>
    <w:rsid w:val="00B301D1"/>
    <w:rsid w:val="00B34C2E"/>
    <w:rsid w:val="00B3663E"/>
    <w:rsid w:val="00B36BD0"/>
    <w:rsid w:val="00B3710F"/>
    <w:rsid w:val="00B41683"/>
    <w:rsid w:val="00B4342C"/>
    <w:rsid w:val="00B4348C"/>
    <w:rsid w:val="00B43621"/>
    <w:rsid w:val="00B43A48"/>
    <w:rsid w:val="00B45AFC"/>
    <w:rsid w:val="00B45F29"/>
    <w:rsid w:val="00B46955"/>
    <w:rsid w:val="00B46F8B"/>
    <w:rsid w:val="00B47677"/>
    <w:rsid w:val="00B517B5"/>
    <w:rsid w:val="00B525B4"/>
    <w:rsid w:val="00B5428A"/>
    <w:rsid w:val="00B65F0F"/>
    <w:rsid w:val="00B665D3"/>
    <w:rsid w:val="00B66A73"/>
    <w:rsid w:val="00B6795B"/>
    <w:rsid w:val="00B70235"/>
    <w:rsid w:val="00B70B02"/>
    <w:rsid w:val="00B711D6"/>
    <w:rsid w:val="00B7183A"/>
    <w:rsid w:val="00B752D9"/>
    <w:rsid w:val="00B8007B"/>
    <w:rsid w:val="00B80687"/>
    <w:rsid w:val="00B816E6"/>
    <w:rsid w:val="00B81A44"/>
    <w:rsid w:val="00B81E91"/>
    <w:rsid w:val="00B827F7"/>
    <w:rsid w:val="00B830E9"/>
    <w:rsid w:val="00B872FE"/>
    <w:rsid w:val="00B91C4F"/>
    <w:rsid w:val="00B92785"/>
    <w:rsid w:val="00B95FBE"/>
    <w:rsid w:val="00B9685F"/>
    <w:rsid w:val="00B96C81"/>
    <w:rsid w:val="00B972E8"/>
    <w:rsid w:val="00B976B9"/>
    <w:rsid w:val="00B97A67"/>
    <w:rsid w:val="00BA0A70"/>
    <w:rsid w:val="00BA2617"/>
    <w:rsid w:val="00BA4150"/>
    <w:rsid w:val="00BA4D58"/>
    <w:rsid w:val="00BA5D9E"/>
    <w:rsid w:val="00BA7077"/>
    <w:rsid w:val="00BA7348"/>
    <w:rsid w:val="00BA7E1A"/>
    <w:rsid w:val="00BB05A0"/>
    <w:rsid w:val="00BB1848"/>
    <w:rsid w:val="00BB26C5"/>
    <w:rsid w:val="00BB4DBC"/>
    <w:rsid w:val="00BB4F59"/>
    <w:rsid w:val="00BB6261"/>
    <w:rsid w:val="00BB67EA"/>
    <w:rsid w:val="00BB7B0A"/>
    <w:rsid w:val="00BC0A01"/>
    <w:rsid w:val="00BC4B0A"/>
    <w:rsid w:val="00BC7EEF"/>
    <w:rsid w:val="00BD0013"/>
    <w:rsid w:val="00BD36CF"/>
    <w:rsid w:val="00BD4A10"/>
    <w:rsid w:val="00BD4B23"/>
    <w:rsid w:val="00BD4F69"/>
    <w:rsid w:val="00BD58A0"/>
    <w:rsid w:val="00BE0001"/>
    <w:rsid w:val="00BE0506"/>
    <w:rsid w:val="00BE0B47"/>
    <w:rsid w:val="00BE1ACF"/>
    <w:rsid w:val="00BE1B7C"/>
    <w:rsid w:val="00BE248A"/>
    <w:rsid w:val="00BE390E"/>
    <w:rsid w:val="00BE4425"/>
    <w:rsid w:val="00BE5294"/>
    <w:rsid w:val="00BE5711"/>
    <w:rsid w:val="00BE5761"/>
    <w:rsid w:val="00BE63C6"/>
    <w:rsid w:val="00BF1227"/>
    <w:rsid w:val="00BF2602"/>
    <w:rsid w:val="00BF3924"/>
    <w:rsid w:val="00BF4763"/>
    <w:rsid w:val="00BF6C76"/>
    <w:rsid w:val="00BF6D7E"/>
    <w:rsid w:val="00C04359"/>
    <w:rsid w:val="00C07173"/>
    <w:rsid w:val="00C07B5B"/>
    <w:rsid w:val="00C07E4E"/>
    <w:rsid w:val="00C10A35"/>
    <w:rsid w:val="00C12FA2"/>
    <w:rsid w:val="00C133E3"/>
    <w:rsid w:val="00C14399"/>
    <w:rsid w:val="00C17CC3"/>
    <w:rsid w:val="00C17E7E"/>
    <w:rsid w:val="00C212E0"/>
    <w:rsid w:val="00C2231A"/>
    <w:rsid w:val="00C24532"/>
    <w:rsid w:val="00C247DB"/>
    <w:rsid w:val="00C2636E"/>
    <w:rsid w:val="00C264DA"/>
    <w:rsid w:val="00C26AA5"/>
    <w:rsid w:val="00C26FD1"/>
    <w:rsid w:val="00C27911"/>
    <w:rsid w:val="00C3196A"/>
    <w:rsid w:val="00C326B8"/>
    <w:rsid w:val="00C3409C"/>
    <w:rsid w:val="00C36558"/>
    <w:rsid w:val="00C37611"/>
    <w:rsid w:val="00C40517"/>
    <w:rsid w:val="00C40820"/>
    <w:rsid w:val="00C40E14"/>
    <w:rsid w:val="00C41357"/>
    <w:rsid w:val="00C43819"/>
    <w:rsid w:val="00C44449"/>
    <w:rsid w:val="00C452C7"/>
    <w:rsid w:val="00C46497"/>
    <w:rsid w:val="00C500E9"/>
    <w:rsid w:val="00C5115E"/>
    <w:rsid w:val="00C53F00"/>
    <w:rsid w:val="00C557CE"/>
    <w:rsid w:val="00C5662F"/>
    <w:rsid w:val="00C60EFD"/>
    <w:rsid w:val="00C613A1"/>
    <w:rsid w:val="00C64973"/>
    <w:rsid w:val="00C65C02"/>
    <w:rsid w:val="00C6726D"/>
    <w:rsid w:val="00C67641"/>
    <w:rsid w:val="00C70DD9"/>
    <w:rsid w:val="00C71D39"/>
    <w:rsid w:val="00C74400"/>
    <w:rsid w:val="00C76B7E"/>
    <w:rsid w:val="00C76BBE"/>
    <w:rsid w:val="00C773A4"/>
    <w:rsid w:val="00C773B6"/>
    <w:rsid w:val="00C77EA2"/>
    <w:rsid w:val="00C81AA8"/>
    <w:rsid w:val="00C8282C"/>
    <w:rsid w:val="00C86D9B"/>
    <w:rsid w:val="00C87617"/>
    <w:rsid w:val="00C87FDA"/>
    <w:rsid w:val="00C90562"/>
    <w:rsid w:val="00C9076F"/>
    <w:rsid w:val="00C90D0E"/>
    <w:rsid w:val="00C90FE5"/>
    <w:rsid w:val="00C94B02"/>
    <w:rsid w:val="00CA0F90"/>
    <w:rsid w:val="00CA32B4"/>
    <w:rsid w:val="00CA5B6E"/>
    <w:rsid w:val="00CA6015"/>
    <w:rsid w:val="00CA69EE"/>
    <w:rsid w:val="00CB04B0"/>
    <w:rsid w:val="00CB1FF0"/>
    <w:rsid w:val="00CB21E7"/>
    <w:rsid w:val="00CB51AC"/>
    <w:rsid w:val="00CB68CF"/>
    <w:rsid w:val="00CB749F"/>
    <w:rsid w:val="00CB7885"/>
    <w:rsid w:val="00CC0B2C"/>
    <w:rsid w:val="00CC0C15"/>
    <w:rsid w:val="00CC3876"/>
    <w:rsid w:val="00CC489D"/>
    <w:rsid w:val="00CC4E82"/>
    <w:rsid w:val="00CC60CC"/>
    <w:rsid w:val="00CC6BC9"/>
    <w:rsid w:val="00CC6F35"/>
    <w:rsid w:val="00CC79FF"/>
    <w:rsid w:val="00CC7CC2"/>
    <w:rsid w:val="00CD2189"/>
    <w:rsid w:val="00CD4AF1"/>
    <w:rsid w:val="00CD6AF3"/>
    <w:rsid w:val="00CD7ACF"/>
    <w:rsid w:val="00CE0358"/>
    <w:rsid w:val="00CE0813"/>
    <w:rsid w:val="00CE2EEE"/>
    <w:rsid w:val="00CE498A"/>
    <w:rsid w:val="00CE5248"/>
    <w:rsid w:val="00CF0706"/>
    <w:rsid w:val="00CF197F"/>
    <w:rsid w:val="00CF223D"/>
    <w:rsid w:val="00CF4DA4"/>
    <w:rsid w:val="00CF5666"/>
    <w:rsid w:val="00D00FC3"/>
    <w:rsid w:val="00D01B06"/>
    <w:rsid w:val="00D01CBB"/>
    <w:rsid w:val="00D02249"/>
    <w:rsid w:val="00D036C7"/>
    <w:rsid w:val="00D042AA"/>
    <w:rsid w:val="00D0587C"/>
    <w:rsid w:val="00D05E36"/>
    <w:rsid w:val="00D07820"/>
    <w:rsid w:val="00D1237C"/>
    <w:rsid w:val="00D12932"/>
    <w:rsid w:val="00D13C74"/>
    <w:rsid w:val="00D13E03"/>
    <w:rsid w:val="00D16A77"/>
    <w:rsid w:val="00D22796"/>
    <w:rsid w:val="00D22D12"/>
    <w:rsid w:val="00D25621"/>
    <w:rsid w:val="00D2699F"/>
    <w:rsid w:val="00D30778"/>
    <w:rsid w:val="00D30904"/>
    <w:rsid w:val="00D311D7"/>
    <w:rsid w:val="00D337C6"/>
    <w:rsid w:val="00D33ADD"/>
    <w:rsid w:val="00D34447"/>
    <w:rsid w:val="00D34A53"/>
    <w:rsid w:val="00D35FBE"/>
    <w:rsid w:val="00D371FB"/>
    <w:rsid w:val="00D37A27"/>
    <w:rsid w:val="00D41FF0"/>
    <w:rsid w:val="00D42F8D"/>
    <w:rsid w:val="00D442E9"/>
    <w:rsid w:val="00D460E7"/>
    <w:rsid w:val="00D5021D"/>
    <w:rsid w:val="00D52A70"/>
    <w:rsid w:val="00D52F11"/>
    <w:rsid w:val="00D53474"/>
    <w:rsid w:val="00D53760"/>
    <w:rsid w:val="00D559E2"/>
    <w:rsid w:val="00D5712B"/>
    <w:rsid w:val="00D60E46"/>
    <w:rsid w:val="00D61DD5"/>
    <w:rsid w:val="00D61F35"/>
    <w:rsid w:val="00D64B1F"/>
    <w:rsid w:val="00D64CE5"/>
    <w:rsid w:val="00D6671A"/>
    <w:rsid w:val="00D670AD"/>
    <w:rsid w:val="00D67FEE"/>
    <w:rsid w:val="00D71535"/>
    <w:rsid w:val="00D72268"/>
    <w:rsid w:val="00D73204"/>
    <w:rsid w:val="00D747A5"/>
    <w:rsid w:val="00D75947"/>
    <w:rsid w:val="00D75DCD"/>
    <w:rsid w:val="00D7691E"/>
    <w:rsid w:val="00D83126"/>
    <w:rsid w:val="00D83273"/>
    <w:rsid w:val="00D83DFC"/>
    <w:rsid w:val="00D84863"/>
    <w:rsid w:val="00D85E4F"/>
    <w:rsid w:val="00D86098"/>
    <w:rsid w:val="00D86B33"/>
    <w:rsid w:val="00D86CC0"/>
    <w:rsid w:val="00D86CE7"/>
    <w:rsid w:val="00D87EBB"/>
    <w:rsid w:val="00D917F6"/>
    <w:rsid w:val="00D91D5C"/>
    <w:rsid w:val="00D92198"/>
    <w:rsid w:val="00D934C8"/>
    <w:rsid w:val="00D94097"/>
    <w:rsid w:val="00DA0DFA"/>
    <w:rsid w:val="00DA2D3D"/>
    <w:rsid w:val="00DA59CA"/>
    <w:rsid w:val="00DA660E"/>
    <w:rsid w:val="00DA7C67"/>
    <w:rsid w:val="00DB46F4"/>
    <w:rsid w:val="00DB70A1"/>
    <w:rsid w:val="00DC276D"/>
    <w:rsid w:val="00DC32E8"/>
    <w:rsid w:val="00DC4283"/>
    <w:rsid w:val="00DC4529"/>
    <w:rsid w:val="00DC4942"/>
    <w:rsid w:val="00DC4A9A"/>
    <w:rsid w:val="00DC5676"/>
    <w:rsid w:val="00DC5BBF"/>
    <w:rsid w:val="00DC5F42"/>
    <w:rsid w:val="00DC5FCE"/>
    <w:rsid w:val="00DC61BD"/>
    <w:rsid w:val="00DC671B"/>
    <w:rsid w:val="00DD0142"/>
    <w:rsid w:val="00DD1429"/>
    <w:rsid w:val="00DD1673"/>
    <w:rsid w:val="00DD1C84"/>
    <w:rsid w:val="00DD5E44"/>
    <w:rsid w:val="00DD66A6"/>
    <w:rsid w:val="00DD66F1"/>
    <w:rsid w:val="00DD6960"/>
    <w:rsid w:val="00DE20C3"/>
    <w:rsid w:val="00DE2934"/>
    <w:rsid w:val="00DE2EEE"/>
    <w:rsid w:val="00DE31B0"/>
    <w:rsid w:val="00DE3DBE"/>
    <w:rsid w:val="00DF1511"/>
    <w:rsid w:val="00DF1631"/>
    <w:rsid w:val="00DF21AF"/>
    <w:rsid w:val="00DF22A7"/>
    <w:rsid w:val="00DF73DB"/>
    <w:rsid w:val="00DF78F9"/>
    <w:rsid w:val="00E00EB6"/>
    <w:rsid w:val="00E0286E"/>
    <w:rsid w:val="00E03384"/>
    <w:rsid w:val="00E04509"/>
    <w:rsid w:val="00E04968"/>
    <w:rsid w:val="00E0558C"/>
    <w:rsid w:val="00E07277"/>
    <w:rsid w:val="00E1192F"/>
    <w:rsid w:val="00E11D31"/>
    <w:rsid w:val="00E129D4"/>
    <w:rsid w:val="00E134A0"/>
    <w:rsid w:val="00E14E4A"/>
    <w:rsid w:val="00E178E8"/>
    <w:rsid w:val="00E20684"/>
    <w:rsid w:val="00E21676"/>
    <w:rsid w:val="00E21726"/>
    <w:rsid w:val="00E23A22"/>
    <w:rsid w:val="00E2569F"/>
    <w:rsid w:val="00E25713"/>
    <w:rsid w:val="00E26417"/>
    <w:rsid w:val="00E26B82"/>
    <w:rsid w:val="00E314C5"/>
    <w:rsid w:val="00E31904"/>
    <w:rsid w:val="00E32697"/>
    <w:rsid w:val="00E33421"/>
    <w:rsid w:val="00E33747"/>
    <w:rsid w:val="00E401F0"/>
    <w:rsid w:val="00E40EB5"/>
    <w:rsid w:val="00E429AA"/>
    <w:rsid w:val="00E45E6C"/>
    <w:rsid w:val="00E46641"/>
    <w:rsid w:val="00E47690"/>
    <w:rsid w:val="00E51B1A"/>
    <w:rsid w:val="00E51C7C"/>
    <w:rsid w:val="00E54B9D"/>
    <w:rsid w:val="00E564DF"/>
    <w:rsid w:val="00E57DBD"/>
    <w:rsid w:val="00E6090F"/>
    <w:rsid w:val="00E61DDD"/>
    <w:rsid w:val="00E61F7C"/>
    <w:rsid w:val="00E621A5"/>
    <w:rsid w:val="00E621D9"/>
    <w:rsid w:val="00E62C40"/>
    <w:rsid w:val="00E63864"/>
    <w:rsid w:val="00E665E2"/>
    <w:rsid w:val="00E674C7"/>
    <w:rsid w:val="00E70789"/>
    <w:rsid w:val="00E707A7"/>
    <w:rsid w:val="00E715DA"/>
    <w:rsid w:val="00E73406"/>
    <w:rsid w:val="00E750BB"/>
    <w:rsid w:val="00E75994"/>
    <w:rsid w:val="00E7674E"/>
    <w:rsid w:val="00E77924"/>
    <w:rsid w:val="00E81DBC"/>
    <w:rsid w:val="00E82241"/>
    <w:rsid w:val="00E858E6"/>
    <w:rsid w:val="00E87004"/>
    <w:rsid w:val="00E87053"/>
    <w:rsid w:val="00E912EB"/>
    <w:rsid w:val="00E92FB7"/>
    <w:rsid w:val="00E963BC"/>
    <w:rsid w:val="00EA35D7"/>
    <w:rsid w:val="00EA38CB"/>
    <w:rsid w:val="00EA3A47"/>
    <w:rsid w:val="00EB02DF"/>
    <w:rsid w:val="00EB1818"/>
    <w:rsid w:val="00EB2D41"/>
    <w:rsid w:val="00EB595F"/>
    <w:rsid w:val="00EC1990"/>
    <w:rsid w:val="00EC6F36"/>
    <w:rsid w:val="00EC720B"/>
    <w:rsid w:val="00EC7533"/>
    <w:rsid w:val="00EC7588"/>
    <w:rsid w:val="00ED04C0"/>
    <w:rsid w:val="00ED190C"/>
    <w:rsid w:val="00ED32F5"/>
    <w:rsid w:val="00ED61A3"/>
    <w:rsid w:val="00EE02D2"/>
    <w:rsid w:val="00EE0BDC"/>
    <w:rsid w:val="00EE2AD8"/>
    <w:rsid w:val="00EE2C93"/>
    <w:rsid w:val="00EE312F"/>
    <w:rsid w:val="00EE5A12"/>
    <w:rsid w:val="00EE7D60"/>
    <w:rsid w:val="00EF10DA"/>
    <w:rsid w:val="00EF2760"/>
    <w:rsid w:val="00EF3CC6"/>
    <w:rsid w:val="00EF422E"/>
    <w:rsid w:val="00EF7FD0"/>
    <w:rsid w:val="00F0173F"/>
    <w:rsid w:val="00F02ADD"/>
    <w:rsid w:val="00F03789"/>
    <w:rsid w:val="00F06625"/>
    <w:rsid w:val="00F07DA9"/>
    <w:rsid w:val="00F106A3"/>
    <w:rsid w:val="00F127FC"/>
    <w:rsid w:val="00F1591C"/>
    <w:rsid w:val="00F15D52"/>
    <w:rsid w:val="00F23032"/>
    <w:rsid w:val="00F23B66"/>
    <w:rsid w:val="00F246C8"/>
    <w:rsid w:val="00F24AC0"/>
    <w:rsid w:val="00F262C4"/>
    <w:rsid w:val="00F2751B"/>
    <w:rsid w:val="00F30EFD"/>
    <w:rsid w:val="00F3126B"/>
    <w:rsid w:val="00F37FC4"/>
    <w:rsid w:val="00F406D2"/>
    <w:rsid w:val="00F40833"/>
    <w:rsid w:val="00F414E8"/>
    <w:rsid w:val="00F427D7"/>
    <w:rsid w:val="00F437BC"/>
    <w:rsid w:val="00F4659E"/>
    <w:rsid w:val="00F47DC7"/>
    <w:rsid w:val="00F50818"/>
    <w:rsid w:val="00F51215"/>
    <w:rsid w:val="00F516C1"/>
    <w:rsid w:val="00F52AF1"/>
    <w:rsid w:val="00F54005"/>
    <w:rsid w:val="00F5441C"/>
    <w:rsid w:val="00F54AF1"/>
    <w:rsid w:val="00F57984"/>
    <w:rsid w:val="00F6277C"/>
    <w:rsid w:val="00F63F8D"/>
    <w:rsid w:val="00F65A68"/>
    <w:rsid w:val="00F663A8"/>
    <w:rsid w:val="00F677C1"/>
    <w:rsid w:val="00F713CE"/>
    <w:rsid w:val="00F72135"/>
    <w:rsid w:val="00F72B24"/>
    <w:rsid w:val="00F77ABF"/>
    <w:rsid w:val="00F80A50"/>
    <w:rsid w:val="00F80F31"/>
    <w:rsid w:val="00F81DF4"/>
    <w:rsid w:val="00F8502F"/>
    <w:rsid w:val="00F87D75"/>
    <w:rsid w:val="00F9047B"/>
    <w:rsid w:val="00F90A02"/>
    <w:rsid w:val="00F925F0"/>
    <w:rsid w:val="00F92989"/>
    <w:rsid w:val="00F92E1F"/>
    <w:rsid w:val="00F94845"/>
    <w:rsid w:val="00F95CD4"/>
    <w:rsid w:val="00FA09AA"/>
    <w:rsid w:val="00FA13B7"/>
    <w:rsid w:val="00FA2313"/>
    <w:rsid w:val="00FA2D2F"/>
    <w:rsid w:val="00FA3E8C"/>
    <w:rsid w:val="00FA465B"/>
    <w:rsid w:val="00FA70C0"/>
    <w:rsid w:val="00FB2099"/>
    <w:rsid w:val="00FB3874"/>
    <w:rsid w:val="00FB4723"/>
    <w:rsid w:val="00FB4A14"/>
    <w:rsid w:val="00FB57EC"/>
    <w:rsid w:val="00FC2420"/>
    <w:rsid w:val="00FC2AD8"/>
    <w:rsid w:val="00FC52CC"/>
    <w:rsid w:val="00FC564D"/>
    <w:rsid w:val="00FC58E6"/>
    <w:rsid w:val="00FC69A0"/>
    <w:rsid w:val="00FD0A65"/>
    <w:rsid w:val="00FD0C4A"/>
    <w:rsid w:val="00FD2AC6"/>
    <w:rsid w:val="00FD66BC"/>
    <w:rsid w:val="00FD7AF4"/>
    <w:rsid w:val="00FE032F"/>
    <w:rsid w:val="00FE3153"/>
    <w:rsid w:val="00FE3B38"/>
    <w:rsid w:val="00FE3D93"/>
    <w:rsid w:val="00FE61C3"/>
    <w:rsid w:val="00FE7337"/>
    <w:rsid w:val="00FF01D4"/>
    <w:rsid w:val="00FF0277"/>
    <w:rsid w:val="00FF0AA8"/>
    <w:rsid w:val="00FF137C"/>
    <w:rsid w:val="00FF4226"/>
    <w:rsid w:val="00FF668C"/>
    <w:rsid w:val="01BB5A85"/>
    <w:rsid w:val="02686806"/>
    <w:rsid w:val="027B50A0"/>
    <w:rsid w:val="02C7302D"/>
    <w:rsid w:val="0342200B"/>
    <w:rsid w:val="03640E9D"/>
    <w:rsid w:val="03722274"/>
    <w:rsid w:val="03744542"/>
    <w:rsid w:val="03E76911"/>
    <w:rsid w:val="051E68A1"/>
    <w:rsid w:val="05714C10"/>
    <w:rsid w:val="07073D52"/>
    <w:rsid w:val="0AFA14D1"/>
    <w:rsid w:val="0B332074"/>
    <w:rsid w:val="0B3A5ACD"/>
    <w:rsid w:val="0B961514"/>
    <w:rsid w:val="0C1128A3"/>
    <w:rsid w:val="0D4914A4"/>
    <w:rsid w:val="0D996F3E"/>
    <w:rsid w:val="10942FF6"/>
    <w:rsid w:val="10FE1368"/>
    <w:rsid w:val="11E111CE"/>
    <w:rsid w:val="1259455B"/>
    <w:rsid w:val="130D3087"/>
    <w:rsid w:val="13A96C14"/>
    <w:rsid w:val="13E51370"/>
    <w:rsid w:val="141F0C14"/>
    <w:rsid w:val="148B34E6"/>
    <w:rsid w:val="14AC4917"/>
    <w:rsid w:val="14CC545C"/>
    <w:rsid w:val="15B72E4B"/>
    <w:rsid w:val="15F30343"/>
    <w:rsid w:val="16252E64"/>
    <w:rsid w:val="169E0176"/>
    <w:rsid w:val="17795F6E"/>
    <w:rsid w:val="180C14E2"/>
    <w:rsid w:val="180C1E0D"/>
    <w:rsid w:val="18BF5979"/>
    <w:rsid w:val="18C01B9C"/>
    <w:rsid w:val="18C777B9"/>
    <w:rsid w:val="19131DD5"/>
    <w:rsid w:val="196072B3"/>
    <w:rsid w:val="19AF2B9F"/>
    <w:rsid w:val="1A825815"/>
    <w:rsid w:val="1AB15CE6"/>
    <w:rsid w:val="1B1B26AB"/>
    <w:rsid w:val="1B7D74D2"/>
    <w:rsid w:val="1BA01071"/>
    <w:rsid w:val="1BB14FDE"/>
    <w:rsid w:val="1C1E6708"/>
    <w:rsid w:val="1D0E3FAC"/>
    <w:rsid w:val="1E9E71A0"/>
    <w:rsid w:val="1EE05694"/>
    <w:rsid w:val="1F24348F"/>
    <w:rsid w:val="1F6F7F80"/>
    <w:rsid w:val="1FE857BD"/>
    <w:rsid w:val="21704590"/>
    <w:rsid w:val="21DD5830"/>
    <w:rsid w:val="222600A3"/>
    <w:rsid w:val="22355779"/>
    <w:rsid w:val="224D3B40"/>
    <w:rsid w:val="22CE2001"/>
    <w:rsid w:val="22FC27D6"/>
    <w:rsid w:val="24A33C86"/>
    <w:rsid w:val="25591B79"/>
    <w:rsid w:val="25A9392B"/>
    <w:rsid w:val="25BF4F51"/>
    <w:rsid w:val="265F7AA7"/>
    <w:rsid w:val="27CE4BB2"/>
    <w:rsid w:val="27F63180"/>
    <w:rsid w:val="2AA65291"/>
    <w:rsid w:val="2BB71031"/>
    <w:rsid w:val="2C153557"/>
    <w:rsid w:val="2C5C0A04"/>
    <w:rsid w:val="2CB806F4"/>
    <w:rsid w:val="2D2E2412"/>
    <w:rsid w:val="2D8358B2"/>
    <w:rsid w:val="2F341C97"/>
    <w:rsid w:val="2F6D36AA"/>
    <w:rsid w:val="30111F50"/>
    <w:rsid w:val="30350F35"/>
    <w:rsid w:val="30657061"/>
    <w:rsid w:val="31874996"/>
    <w:rsid w:val="321B2E51"/>
    <w:rsid w:val="33156417"/>
    <w:rsid w:val="33563CA4"/>
    <w:rsid w:val="34091ED9"/>
    <w:rsid w:val="360207DB"/>
    <w:rsid w:val="3614359A"/>
    <w:rsid w:val="36CD6A8F"/>
    <w:rsid w:val="372C44F9"/>
    <w:rsid w:val="376405D6"/>
    <w:rsid w:val="37CC379C"/>
    <w:rsid w:val="38797524"/>
    <w:rsid w:val="398F32D6"/>
    <w:rsid w:val="3A4F0123"/>
    <w:rsid w:val="3A803AF9"/>
    <w:rsid w:val="3C4F43C5"/>
    <w:rsid w:val="3C540512"/>
    <w:rsid w:val="3CC25D3E"/>
    <w:rsid w:val="3CEB5E17"/>
    <w:rsid w:val="3EA11747"/>
    <w:rsid w:val="3F267BD3"/>
    <w:rsid w:val="406B24D2"/>
    <w:rsid w:val="41B53114"/>
    <w:rsid w:val="41CE2E80"/>
    <w:rsid w:val="42B35181"/>
    <w:rsid w:val="42D005D7"/>
    <w:rsid w:val="4493346B"/>
    <w:rsid w:val="44AE384F"/>
    <w:rsid w:val="4626745D"/>
    <w:rsid w:val="470B00A4"/>
    <w:rsid w:val="49D467BE"/>
    <w:rsid w:val="4AD8619D"/>
    <w:rsid w:val="4C32408A"/>
    <w:rsid w:val="4C6D6165"/>
    <w:rsid w:val="4CE057AC"/>
    <w:rsid w:val="4D9F41B5"/>
    <w:rsid w:val="4E66457E"/>
    <w:rsid w:val="4E851A0B"/>
    <w:rsid w:val="4E8C13CB"/>
    <w:rsid w:val="4F927CE8"/>
    <w:rsid w:val="500F1226"/>
    <w:rsid w:val="513B372E"/>
    <w:rsid w:val="51B424A4"/>
    <w:rsid w:val="5211562E"/>
    <w:rsid w:val="521A5F43"/>
    <w:rsid w:val="52400CF3"/>
    <w:rsid w:val="53197ECA"/>
    <w:rsid w:val="53797780"/>
    <w:rsid w:val="53916C26"/>
    <w:rsid w:val="53942320"/>
    <w:rsid w:val="55644609"/>
    <w:rsid w:val="56A3136E"/>
    <w:rsid w:val="57652115"/>
    <w:rsid w:val="57B874B9"/>
    <w:rsid w:val="58C35C9C"/>
    <w:rsid w:val="59FC30FC"/>
    <w:rsid w:val="5B1B6DDF"/>
    <w:rsid w:val="5B76039A"/>
    <w:rsid w:val="5C345867"/>
    <w:rsid w:val="5D276160"/>
    <w:rsid w:val="5D80285D"/>
    <w:rsid w:val="5E1E011C"/>
    <w:rsid w:val="5E2B10B8"/>
    <w:rsid w:val="5E326F94"/>
    <w:rsid w:val="5E427580"/>
    <w:rsid w:val="5E454DE9"/>
    <w:rsid w:val="5EBC1FB5"/>
    <w:rsid w:val="5ED62E3A"/>
    <w:rsid w:val="5F6440F7"/>
    <w:rsid w:val="62086A0D"/>
    <w:rsid w:val="62614710"/>
    <w:rsid w:val="642B7F09"/>
    <w:rsid w:val="64382BDC"/>
    <w:rsid w:val="65773EE7"/>
    <w:rsid w:val="66507D80"/>
    <w:rsid w:val="66715C80"/>
    <w:rsid w:val="66EF6D90"/>
    <w:rsid w:val="672D7459"/>
    <w:rsid w:val="67DD12A7"/>
    <w:rsid w:val="692E1830"/>
    <w:rsid w:val="69DF204A"/>
    <w:rsid w:val="6AFE42AB"/>
    <w:rsid w:val="6B00046A"/>
    <w:rsid w:val="6B806C30"/>
    <w:rsid w:val="6B913399"/>
    <w:rsid w:val="6BE21942"/>
    <w:rsid w:val="6C331FFA"/>
    <w:rsid w:val="6C37634D"/>
    <w:rsid w:val="6CAC7203"/>
    <w:rsid w:val="6D331D5B"/>
    <w:rsid w:val="6DA74A95"/>
    <w:rsid w:val="6EFF42D0"/>
    <w:rsid w:val="6F75543A"/>
    <w:rsid w:val="701822E7"/>
    <w:rsid w:val="726942FD"/>
    <w:rsid w:val="731D061E"/>
    <w:rsid w:val="7366359F"/>
    <w:rsid w:val="74A7562B"/>
    <w:rsid w:val="7720369A"/>
    <w:rsid w:val="77C13F28"/>
    <w:rsid w:val="784A79F9"/>
    <w:rsid w:val="78704543"/>
    <w:rsid w:val="791057A0"/>
    <w:rsid w:val="79A57144"/>
    <w:rsid w:val="7B305D90"/>
    <w:rsid w:val="7B4E602A"/>
    <w:rsid w:val="7BCA3328"/>
    <w:rsid w:val="7C0B6785"/>
    <w:rsid w:val="7CB91328"/>
    <w:rsid w:val="7D382507"/>
    <w:rsid w:val="7DE20876"/>
    <w:rsid w:val="7DEA50DF"/>
    <w:rsid w:val="7DEC5C03"/>
    <w:rsid w:val="7E4C231B"/>
    <w:rsid w:val="7E6E7B64"/>
    <w:rsid w:val="7EA73808"/>
    <w:rsid w:val="7EAA1018"/>
    <w:rsid w:val="7EF12635"/>
    <w:rsid w:val="7F096D22"/>
    <w:rsid w:val="7F724027"/>
    <w:rsid w:val="7FA91A73"/>
    <w:rsid w:val="7FB23D9D"/>
    <w:rsid w:val="7FD12402"/>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nhideWhenUsed="0" w:qFormat="1"/>
    <w:lsdException w:name="heading 2" w:locked="1" w:semiHidden="0" w:unhideWhenUsed="0" w:qFormat="1"/>
    <w:lsdException w:name="heading 3" w:locked="1" w:semiHidden="0" w:uiPriority="9" w:unhideWhenUsed="0" w:qFormat="1"/>
    <w:lsdException w:name="heading 4" w:locked="1" w:semiHidden="0" w:unhideWhenUsed="0" w:qFormat="1"/>
    <w:lsdException w:name="heading 5" w:locked="1" w:semiHidden="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nhideWhenUsed="0" w:qFormat="1"/>
    <w:lsdException w:name="toc 2" w:locked="1" w:semiHidden="0" w:unhideWhenUsed="0" w:qFormat="1"/>
    <w:lsdException w:name="toc 3" w:locked="1" w:semiHidden="0" w:unhideWhenUsed="0"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annotation text" w:qFormat="1"/>
    <w:lsdException w:name="header" w:semiHidden="0" w:unhideWhenUsed="0" w:qFormat="1"/>
    <w:lsdException w:name="footer" w:semiHidden="0" w:unhideWhenUsed="0" w:qFormat="1"/>
    <w:lsdException w:name="caption" w:locked="1" w:uiPriority="0" w:qFormat="1"/>
    <w:lsdException w:name="annotation reference" w:qFormat="1"/>
    <w:lsdException w:name="page number" w:semiHidden="0" w:unhideWhenUsed="0" w:qFormat="1"/>
    <w:lsdException w:name="Title" w:locked="1" w:semiHidden="0" w:uiPriority="10" w:unhideWhenUsed="0" w:qFormat="1"/>
    <w:lsdException w:name="Default Paragraph Font" w:uiPriority="1" w:qFormat="1"/>
    <w:lsdException w:name="Body Text" w:semiHidden="0" w:unhideWhenUsed="0" w:qFormat="1"/>
    <w:lsdException w:name="Subtitle" w:locked="1" w:semiHidden="0" w:uiPriority="11" w:unhideWhenUsed="0" w:qFormat="1"/>
    <w:lsdException w:name="Body Text First Indent" w:semiHidden="0" w:unhideWhenUsed="0" w:qFormat="1"/>
    <w:lsdException w:name="Body Text 2" w:qFormat="1"/>
    <w:lsdException w:name="Hyperlink" w:semiHidden="0" w:unhideWhenUsed="0" w:qFormat="1"/>
    <w:lsdException w:name="FollowedHyperlink" w:semiHidden="0" w:unhideWhenUsed="0" w:qFormat="1"/>
    <w:lsdException w:name="Strong" w:locked="1" w:semiHidden="0" w:uiPriority="0" w:unhideWhenUsed="0" w:qFormat="1"/>
    <w:lsdException w:name="Emphasis" w:locked="1" w:semiHidden="0" w:uiPriority="0" w:unhideWhenUsed="0" w:qFormat="1"/>
    <w:lsdException w:name="Plain Text" w:semiHidden="0" w:unhideWhenUsed="0" w:qFormat="1"/>
    <w:lsdException w:name="Normal (Web)" w:semiHidden="0" w:uiPriority="0" w:unhideWhenUsed="0" w:qFormat="1"/>
    <w:lsdException w:name="HTML Preformatted" w:semiHidden="0" w:unhideWhenUsed="0" w:qFormat="1"/>
    <w:lsdException w:name="Normal Table" w:qFormat="1"/>
    <w:lsdException w:name="annotation subject" w:qFormat="1"/>
    <w:lsdException w:name="Balloon Text" w:unhideWhenUsed="0" w:qFormat="1"/>
    <w:lsdException w:name="Table Grid" w:locked="1"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rFonts w:ascii="Calibri" w:hAnsi="Calibri"/>
      <w:kern w:val="2"/>
      <w:sz w:val="21"/>
      <w:szCs w:val="22"/>
    </w:rPr>
  </w:style>
  <w:style w:type="paragraph" w:styleId="1">
    <w:name w:val="heading 1"/>
    <w:basedOn w:val="a"/>
    <w:next w:val="a"/>
    <w:link w:val="1Char"/>
    <w:uiPriority w:val="99"/>
    <w:qFormat/>
    <w:locked/>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uiPriority w:val="99"/>
    <w:qFormat/>
    <w:locked/>
    <w:pPr>
      <w:spacing w:line="600" w:lineRule="exact"/>
      <w:ind w:firstLineChars="200" w:firstLine="420"/>
      <w:jc w:val="left"/>
      <w:outlineLvl w:val="1"/>
    </w:pPr>
    <w:rPr>
      <w:rFonts w:ascii="Times New Roman" w:eastAsia="黑体" w:hAnsi="Times New Roman"/>
      <w:kern w:val="0"/>
      <w:sz w:val="32"/>
      <w:szCs w:val="20"/>
    </w:rPr>
  </w:style>
  <w:style w:type="paragraph" w:styleId="3">
    <w:name w:val="heading 3"/>
    <w:basedOn w:val="a"/>
    <w:next w:val="a"/>
    <w:link w:val="3Char"/>
    <w:uiPriority w:val="9"/>
    <w:qFormat/>
    <w:locked/>
    <w:pPr>
      <w:keepNext/>
      <w:keepLines/>
      <w:spacing w:before="260" w:after="260" w:line="416" w:lineRule="auto"/>
      <w:outlineLvl w:val="2"/>
    </w:pPr>
    <w:rPr>
      <w:b/>
      <w:bCs/>
      <w:sz w:val="32"/>
      <w:szCs w:val="32"/>
    </w:rPr>
  </w:style>
  <w:style w:type="paragraph" w:styleId="4">
    <w:name w:val="heading 4"/>
    <w:basedOn w:val="a"/>
    <w:next w:val="a"/>
    <w:link w:val="4Char"/>
    <w:uiPriority w:val="99"/>
    <w:qFormat/>
    <w:locked/>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link w:val="5Char"/>
    <w:uiPriority w:val="99"/>
    <w:qFormat/>
    <w:locked/>
    <w:pPr>
      <w:keepNext/>
      <w:keepLines/>
      <w:spacing w:before="280" w:after="290" w:line="376" w:lineRule="auto"/>
      <w:outlineLvl w:val="4"/>
    </w:pPr>
    <w:rPr>
      <w:rFonts w:ascii="Times New Roman" w:hAnsi="Times New Roman"/>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uiPriority w:val="10"/>
    <w:qFormat/>
    <w:locked/>
    <w:pPr>
      <w:spacing w:before="209" w:after="209" w:line="0" w:lineRule="atLeast"/>
      <w:jc w:val="center"/>
    </w:pPr>
    <w:rPr>
      <w:rFonts w:ascii="Arial" w:eastAsia="黑体" w:hAnsi="Arial"/>
      <w:sz w:val="52"/>
    </w:rPr>
  </w:style>
  <w:style w:type="paragraph" w:styleId="a4">
    <w:name w:val="annotation text"/>
    <w:basedOn w:val="a"/>
    <w:link w:val="Char"/>
    <w:uiPriority w:val="99"/>
    <w:semiHidden/>
    <w:unhideWhenUsed/>
    <w:qFormat/>
    <w:pPr>
      <w:jc w:val="left"/>
    </w:pPr>
  </w:style>
  <w:style w:type="paragraph" w:styleId="a5">
    <w:name w:val="Body Text"/>
    <w:basedOn w:val="a"/>
    <w:link w:val="Char0"/>
    <w:uiPriority w:val="99"/>
    <w:qFormat/>
    <w:pPr>
      <w:spacing w:after="120"/>
    </w:pPr>
    <w:rPr>
      <w:kern w:val="0"/>
      <w:sz w:val="20"/>
      <w:szCs w:val="20"/>
    </w:rPr>
  </w:style>
  <w:style w:type="paragraph" w:styleId="30">
    <w:name w:val="toc 3"/>
    <w:basedOn w:val="a"/>
    <w:next w:val="a"/>
    <w:uiPriority w:val="99"/>
    <w:qFormat/>
    <w:locked/>
    <w:pPr>
      <w:ind w:leftChars="400" w:left="840"/>
    </w:pPr>
    <w:rPr>
      <w:rFonts w:ascii="Times New Roman" w:eastAsia="仿宋_GB2312" w:hAnsi="Times New Roman"/>
      <w:sz w:val="32"/>
      <w:szCs w:val="24"/>
    </w:rPr>
  </w:style>
  <w:style w:type="paragraph" w:styleId="a6">
    <w:name w:val="Plain Text"/>
    <w:basedOn w:val="a"/>
    <w:link w:val="Char1"/>
    <w:uiPriority w:val="99"/>
    <w:qFormat/>
    <w:rPr>
      <w:rFonts w:ascii="宋体" w:hAnsi="Courier New"/>
      <w:szCs w:val="21"/>
    </w:rPr>
  </w:style>
  <w:style w:type="paragraph" w:styleId="a7">
    <w:name w:val="Balloon Text"/>
    <w:basedOn w:val="a"/>
    <w:link w:val="Char2"/>
    <w:uiPriority w:val="99"/>
    <w:semiHidden/>
    <w:qFormat/>
    <w:rPr>
      <w:sz w:val="18"/>
      <w:szCs w:val="18"/>
    </w:rPr>
  </w:style>
  <w:style w:type="paragraph" w:styleId="a8">
    <w:name w:val="footer"/>
    <w:basedOn w:val="a"/>
    <w:next w:val="a"/>
    <w:link w:val="Char3"/>
    <w:uiPriority w:val="99"/>
    <w:qFormat/>
    <w:pPr>
      <w:tabs>
        <w:tab w:val="center" w:pos="4153"/>
        <w:tab w:val="right" w:pos="8306"/>
      </w:tabs>
      <w:snapToGrid w:val="0"/>
      <w:jc w:val="left"/>
    </w:pPr>
    <w:rPr>
      <w:kern w:val="0"/>
      <w:sz w:val="18"/>
      <w:szCs w:val="18"/>
    </w:rPr>
  </w:style>
  <w:style w:type="paragraph" w:styleId="a9">
    <w:name w:val="header"/>
    <w:basedOn w:val="a"/>
    <w:link w:val="Char4"/>
    <w:uiPriority w:val="99"/>
    <w:qFormat/>
    <w:pPr>
      <w:pBdr>
        <w:bottom w:val="single" w:sz="6" w:space="1" w:color="auto"/>
      </w:pBdr>
      <w:tabs>
        <w:tab w:val="center" w:pos="4153"/>
        <w:tab w:val="right" w:pos="8306"/>
      </w:tabs>
      <w:snapToGrid w:val="0"/>
      <w:jc w:val="center"/>
    </w:pPr>
    <w:rPr>
      <w:kern w:val="0"/>
      <w:sz w:val="18"/>
      <w:szCs w:val="18"/>
    </w:rPr>
  </w:style>
  <w:style w:type="paragraph" w:styleId="10">
    <w:name w:val="toc 1"/>
    <w:basedOn w:val="a"/>
    <w:next w:val="a"/>
    <w:uiPriority w:val="99"/>
    <w:qFormat/>
    <w:locked/>
    <w:rPr>
      <w:rFonts w:ascii="Times New Roman" w:hAnsi="Times New Roman"/>
      <w:b/>
      <w:sz w:val="32"/>
      <w:szCs w:val="24"/>
    </w:rPr>
  </w:style>
  <w:style w:type="paragraph" w:styleId="aa">
    <w:name w:val="Subtitle"/>
    <w:basedOn w:val="a"/>
    <w:next w:val="a"/>
    <w:link w:val="Char5"/>
    <w:uiPriority w:val="11"/>
    <w:qFormat/>
    <w:locked/>
    <w:pPr>
      <w:outlineLvl w:val="2"/>
    </w:pPr>
    <w:rPr>
      <w:b/>
      <w:bCs/>
      <w:kern w:val="28"/>
      <w:szCs w:val="32"/>
    </w:rPr>
  </w:style>
  <w:style w:type="paragraph" w:styleId="20">
    <w:name w:val="toc 2"/>
    <w:basedOn w:val="a"/>
    <w:next w:val="a"/>
    <w:uiPriority w:val="99"/>
    <w:qFormat/>
    <w:locked/>
    <w:pPr>
      <w:ind w:leftChars="200" w:left="420"/>
    </w:pPr>
    <w:rPr>
      <w:rFonts w:ascii="Times New Roman" w:eastAsia="楷体_GB2312" w:hAnsi="Times New Roman"/>
      <w:b/>
      <w:sz w:val="32"/>
      <w:szCs w:val="24"/>
    </w:rPr>
  </w:style>
  <w:style w:type="paragraph" w:styleId="21">
    <w:name w:val="Body Text 2"/>
    <w:basedOn w:val="a"/>
    <w:link w:val="2Char0"/>
    <w:uiPriority w:val="99"/>
    <w:semiHidden/>
    <w:unhideWhenUsed/>
    <w:qFormat/>
    <w:pPr>
      <w:spacing w:after="120" w:line="480" w:lineRule="auto"/>
    </w:pPr>
  </w:style>
  <w:style w:type="paragraph" w:styleId="HTML">
    <w:name w:val="HTML Preformatted"/>
    <w:basedOn w:val="a"/>
    <w:link w:val="HTMLChar"/>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kern w:val="0"/>
      <w:sz w:val="20"/>
      <w:szCs w:val="20"/>
    </w:rPr>
  </w:style>
  <w:style w:type="paragraph" w:styleId="ab">
    <w:name w:val="Normal (Web)"/>
    <w:basedOn w:val="a"/>
    <w:qFormat/>
    <w:pPr>
      <w:spacing w:before="100" w:beforeAutospacing="1" w:after="100" w:afterAutospacing="1" w:line="600" w:lineRule="exact"/>
      <w:ind w:firstLineChars="200" w:firstLine="420"/>
      <w:jc w:val="left"/>
    </w:pPr>
    <w:rPr>
      <w:rFonts w:ascii="Times New Roman" w:eastAsia="仿宋_GB2312" w:hAnsi="Times New Roman"/>
      <w:kern w:val="0"/>
      <w:sz w:val="24"/>
    </w:rPr>
  </w:style>
  <w:style w:type="paragraph" w:styleId="ac">
    <w:name w:val="annotation subject"/>
    <w:basedOn w:val="a4"/>
    <w:next w:val="a4"/>
    <w:link w:val="Char6"/>
    <w:uiPriority w:val="99"/>
    <w:semiHidden/>
    <w:unhideWhenUsed/>
    <w:qFormat/>
    <w:rPr>
      <w:b/>
      <w:bCs/>
    </w:rPr>
  </w:style>
  <w:style w:type="paragraph" w:styleId="ad">
    <w:name w:val="Body Text First Indent"/>
    <w:basedOn w:val="a5"/>
    <w:link w:val="Char7"/>
    <w:uiPriority w:val="99"/>
    <w:qFormat/>
    <w:pPr>
      <w:spacing w:after="0"/>
      <w:ind w:firstLineChars="100" w:firstLine="420"/>
    </w:pPr>
  </w:style>
  <w:style w:type="table" w:styleId="ae">
    <w:name w:val="Table Grid"/>
    <w:basedOn w:val="a2"/>
    <w:uiPriority w:val="99"/>
    <w:qFormat/>
    <w:locke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page number"/>
    <w:basedOn w:val="a1"/>
    <w:uiPriority w:val="99"/>
    <w:qFormat/>
    <w:rPr>
      <w:rFonts w:cs="Times New Roman"/>
    </w:rPr>
  </w:style>
  <w:style w:type="character" w:styleId="af0">
    <w:name w:val="FollowedHyperlink"/>
    <w:basedOn w:val="a1"/>
    <w:uiPriority w:val="99"/>
    <w:qFormat/>
    <w:rPr>
      <w:rFonts w:cs="Times New Roman"/>
      <w:color w:val="000080"/>
      <w:u w:val="single"/>
    </w:rPr>
  </w:style>
  <w:style w:type="character" w:styleId="af1">
    <w:name w:val="Emphasis"/>
    <w:basedOn w:val="a1"/>
    <w:qFormat/>
    <w:locked/>
    <w:rPr>
      <w:i/>
    </w:rPr>
  </w:style>
  <w:style w:type="character" w:styleId="af2">
    <w:name w:val="Hyperlink"/>
    <w:basedOn w:val="a1"/>
    <w:uiPriority w:val="99"/>
    <w:qFormat/>
    <w:rPr>
      <w:rFonts w:cs="Times New Roman"/>
      <w:color w:val="0000FF"/>
      <w:u w:val="single"/>
    </w:rPr>
  </w:style>
  <w:style w:type="character" w:styleId="af3">
    <w:name w:val="annotation reference"/>
    <w:basedOn w:val="a1"/>
    <w:uiPriority w:val="99"/>
    <w:semiHidden/>
    <w:unhideWhenUsed/>
    <w:qFormat/>
    <w:rPr>
      <w:sz w:val="21"/>
      <w:szCs w:val="21"/>
    </w:rPr>
  </w:style>
  <w:style w:type="character" w:customStyle="1" w:styleId="1Char">
    <w:name w:val="标题 1 Char"/>
    <w:basedOn w:val="a1"/>
    <w:link w:val="1"/>
    <w:uiPriority w:val="99"/>
    <w:qFormat/>
    <w:locked/>
    <w:rPr>
      <w:rFonts w:ascii="Times New Roman" w:hAnsi="Times New Roman" w:cs="Times New Roman"/>
      <w:b/>
      <w:bCs/>
      <w:kern w:val="44"/>
      <w:sz w:val="44"/>
      <w:szCs w:val="44"/>
    </w:rPr>
  </w:style>
  <w:style w:type="character" w:customStyle="1" w:styleId="2Char">
    <w:name w:val="标题 2 Char"/>
    <w:basedOn w:val="a1"/>
    <w:link w:val="2"/>
    <w:uiPriority w:val="99"/>
    <w:qFormat/>
    <w:locked/>
    <w:rPr>
      <w:rFonts w:ascii="Times New Roman" w:eastAsia="黑体" w:hAnsi="Times New Roman"/>
      <w:kern w:val="0"/>
      <w:sz w:val="20"/>
    </w:rPr>
  </w:style>
  <w:style w:type="character" w:customStyle="1" w:styleId="Heading3Char">
    <w:name w:val="Heading 3 Char"/>
    <w:basedOn w:val="a1"/>
    <w:uiPriority w:val="99"/>
    <w:qFormat/>
    <w:locked/>
    <w:rPr>
      <w:rFonts w:ascii="Calibri" w:eastAsia="宋体" w:hAnsi="Calibri" w:cs="Times New Roman"/>
      <w:b/>
      <w:bCs/>
      <w:kern w:val="2"/>
      <w:sz w:val="32"/>
      <w:szCs w:val="32"/>
    </w:rPr>
  </w:style>
  <w:style w:type="character" w:customStyle="1" w:styleId="4Char">
    <w:name w:val="标题 4 Char"/>
    <w:basedOn w:val="a1"/>
    <w:link w:val="4"/>
    <w:uiPriority w:val="99"/>
    <w:qFormat/>
    <w:locked/>
    <w:rPr>
      <w:rFonts w:ascii="Arial" w:eastAsia="黑体" w:hAnsi="Arial" w:cs="Times New Roman"/>
      <w:b/>
      <w:bCs/>
      <w:kern w:val="2"/>
      <w:sz w:val="28"/>
      <w:szCs w:val="28"/>
    </w:rPr>
  </w:style>
  <w:style w:type="character" w:customStyle="1" w:styleId="5Char">
    <w:name w:val="标题 5 Char"/>
    <w:basedOn w:val="a1"/>
    <w:link w:val="5"/>
    <w:uiPriority w:val="99"/>
    <w:qFormat/>
    <w:locked/>
    <w:rPr>
      <w:rFonts w:ascii="Times New Roman" w:hAnsi="Times New Roman" w:cs="Times New Roman"/>
      <w:b/>
      <w:bCs/>
      <w:kern w:val="2"/>
      <w:sz w:val="28"/>
      <w:szCs w:val="28"/>
    </w:rPr>
  </w:style>
  <w:style w:type="character" w:customStyle="1" w:styleId="3Char">
    <w:name w:val="标题 3 Char"/>
    <w:basedOn w:val="a1"/>
    <w:link w:val="3"/>
    <w:uiPriority w:val="99"/>
    <w:qFormat/>
    <w:locked/>
    <w:rPr>
      <w:rFonts w:cs="Times New Roman"/>
      <w:b/>
      <w:bCs/>
      <w:kern w:val="2"/>
      <w:sz w:val="32"/>
      <w:szCs w:val="32"/>
    </w:rPr>
  </w:style>
  <w:style w:type="character" w:customStyle="1" w:styleId="Char4">
    <w:name w:val="页眉 Char"/>
    <w:basedOn w:val="a1"/>
    <w:link w:val="a9"/>
    <w:uiPriority w:val="99"/>
    <w:qFormat/>
    <w:locked/>
    <w:rPr>
      <w:sz w:val="18"/>
    </w:rPr>
  </w:style>
  <w:style w:type="character" w:customStyle="1" w:styleId="Char3">
    <w:name w:val="页脚 Char"/>
    <w:basedOn w:val="a1"/>
    <w:link w:val="a8"/>
    <w:uiPriority w:val="99"/>
    <w:qFormat/>
    <w:locked/>
    <w:rPr>
      <w:sz w:val="18"/>
    </w:rPr>
  </w:style>
  <w:style w:type="character" w:customStyle="1" w:styleId="Char0">
    <w:name w:val="正文文本 Char"/>
    <w:basedOn w:val="a1"/>
    <w:link w:val="a5"/>
    <w:uiPriority w:val="99"/>
    <w:qFormat/>
    <w:locked/>
  </w:style>
  <w:style w:type="character" w:customStyle="1" w:styleId="Char7">
    <w:name w:val="正文首行缩进 Char"/>
    <w:basedOn w:val="Char0"/>
    <w:link w:val="ad"/>
    <w:uiPriority w:val="99"/>
    <w:qFormat/>
    <w:locked/>
    <w:rPr>
      <w:rFonts w:eastAsia="宋体"/>
    </w:rPr>
  </w:style>
  <w:style w:type="paragraph" w:styleId="af4">
    <w:name w:val="List Paragraph"/>
    <w:basedOn w:val="a"/>
    <w:uiPriority w:val="99"/>
    <w:qFormat/>
    <w:pPr>
      <w:ind w:firstLineChars="200" w:firstLine="420"/>
    </w:pPr>
  </w:style>
  <w:style w:type="character" w:customStyle="1" w:styleId="HTMLChar">
    <w:name w:val="HTML 预设格式 Char"/>
    <w:basedOn w:val="a1"/>
    <w:link w:val="HTML"/>
    <w:uiPriority w:val="99"/>
    <w:qFormat/>
    <w:locked/>
    <w:rPr>
      <w:rFonts w:ascii="Courier New" w:hAnsi="Courier New"/>
      <w:sz w:val="20"/>
    </w:rPr>
  </w:style>
  <w:style w:type="character" w:customStyle="1" w:styleId="Char2">
    <w:name w:val="批注框文本 Char"/>
    <w:basedOn w:val="a1"/>
    <w:link w:val="a7"/>
    <w:uiPriority w:val="99"/>
    <w:semiHidden/>
    <w:qFormat/>
    <w:locked/>
    <w:rPr>
      <w:rFonts w:cs="Times New Roman"/>
      <w:kern w:val="2"/>
      <w:sz w:val="18"/>
      <w:szCs w:val="18"/>
    </w:rPr>
  </w:style>
  <w:style w:type="character" w:customStyle="1" w:styleId="Char1">
    <w:name w:val="纯文本 Char"/>
    <w:basedOn w:val="a1"/>
    <w:link w:val="a6"/>
    <w:uiPriority w:val="99"/>
    <w:qFormat/>
    <w:locked/>
    <w:rPr>
      <w:rFonts w:ascii="宋体" w:hAnsi="Courier New" w:cs="Times New Roman"/>
      <w:kern w:val="2"/>
      <w:sz w:val="21"/>
      <w:szCs w:val="21"/>
    </w:rPr>
  </w:style>
  <w:style w:type="character" w:customStyle="1" w:styleId="CharChar9">
    <w:name w:val="Char Char9"/>
    <w:basedOn w:val="a1"/>
    <w:uiPriority w:val="99"/>
    <w:qFormat/>
    <w:rPr>
      <w:rFonts w:ascii="Arial" w:eastAsia="黑体" w:hAnsi="Arial" w:cs="Times New Roman"/>
      <w:b/>
      <w:bCs/>
      <w:kern w:val="2"/>
      <w:sz w:val="28"/>
      <w:szCs w:val="28"/>
      <w:lang w:val="en-US" w:eastAsia="zh-CN" w:bidi="ar-SA"/>
    </w:rPr>
  </w:style>
  <w:style w:type="paragraph" w:customStyle="1" w:styleId="Char8">
    <w:name w:val="Char"/>
    <w:basedOn w:val="a"/>
    <w:uiPriority w:val="99"/>
    <w:qFormat/>
    <w:pPr>
      <w:snapToGrid w:val="0"/>
      <w:spacing w:line="360" w:lineRule="auto"/>
      <w:ind w:firstLineChars="200" w:firstLine="200"/>
    </w:pPr>
    <w:rPr>
      <w:rFonts w:ascii="Times New Roman" w:eastAsia="仿宋_GB2312" w:hAnsi="Times New Roman"/>
      <w:sz w:val="24"/>
      <w:szCs w:val="24"/>
    </w:rPr>
  </w:style>
  <w:style w:type="paragraph" w:customStyle="1" w:styleId="p0">
    <w:name w:val="p0"/>
    <w:basedOn w:val="a"/>
    <w:uiPriority w:val="99"/>
    <w:qFormat/>
    <w:pPr>
      <w:widowControl/>
    </w:pPr>
    <w:rPr>
      <w:rFonts w:ascii="Times New Roman" w:hAnsi="Times New Roman"/>
      <w:kern w:val="0"/>
      <w:szCs w:val="21"/>
    </w:rPr>
  </w:style>
  <w:style w:type="character" w:customStyle="1" w:styleId="NormalCharacter">
    <w:name w:val="NormalCharacter"/>
    <w:qFormat/>
  </w:style>
  <w:style w:type="paragraph" w:customStyle="1" w:styleId="CharChar1CharChar">
    <w:name w:val="Char Char1 Char Char"/>
    <w:basedOn w:val="a"/>
    <w:uiPriority w:val="99"/>
    <w:qFormat/>
    <w:rPr>
      <w:rFonts w:ascii="Times New Roman" w:hAnsi="Times New Roman"/>
      <w:szCs w:val="24"/>
    </w:rPr>
  </w:style>
  <w:style w:type="paragraph" w:customStyle="1" w:styleId="11">
    <w:name w:val="修订1"/>
    <w:hidden/>
    <w:uiPriority w:val="99"/>
    <w:unhideWhenUsed/>
    <w:qFormat/>
    <w:rPr>
      <w:rFonts w:ascii="Calibri" w:hAnsi="Calibri"/>
      <w:kern w:val="2"/>
      <w:sz w:val="21"/>
      <w:szCs w:val="22"/>
    </w:rPr>
  </w:style>
  <w:style w:type="character" w:customStyle="1" w:styleId="Char">
    <w:name w:val="批注文字 Char"/>
    <w:basedOn w:val="a1"/>
    <w:link w:val="a4"/>
    <w:uiPriority w:val="99"/>
    <w:semiHidden/>
    <w:qFormat/>
    <w:rPr>
      <w:rFonts w:ascii="Calibri" w:hAnsi="Calibri"/>
      <w:kern w:val="2"/>
      <w:sz w:val="21"/>
      <w:szCs w:val="22"/>
    </w:rPr>
  </w:style>
  <w:style w:type="character" w:customStyle="1" w:styleId="Char6">
    <w:name w:val="批注主题 Char"/>
    <w:basedOn w:val="Char"/>
    <w:link w:val="ac"/>
    <w:uiPriority w:val="99"/>
    <w:semiHidden/>
    <w:qFormat/>
    <w:rPr>
      <w:rFonts w:ascii="Calibri" w:hAnsi="Calibri"/>
      <w:b/>
      <w:bCs/>
      <w:kern w:val="2"/>
      <w:sz w:val="21"/>
      <w:szCs w:val="22"/>
    </w:rPr>
  </w:style>
  <w:style w:type="paragraph" w:customStyle="1" w:styleId="BodyText1I">
    <w:name w:val="BodyText1I"/>
    <w:basedOn w:val="a"/>
    <w:next w:val="a"/>
    <w:qFormat/>
    <w:pPr>
      <w:ind w:firstLineChars="100" w:firstLine="420"/>
      <w:textAlignment w:val="baseline"/>
    </w:pPr>
    <w:rPr>
      <w:rFonts w:asciiTheme="minorHAnsi" w:eastAsiaTheme="minorEastAsia" w:hAnsiTheme="minorHAnsi" w:cstheme="minorBidi"/>
      <w:szCs w:val="24"/>
    </w:rPr>
  </w:style>
  <w:style w:type="character" w:customStyle="1" w:styleId="CharChar">
    <w:name w:val="表格 Char Char"/>
    <w:link w:val="af5"/>
    <w:qFormat/>
    <w:rPr>
      <w:rFonts w:eastAsia="仿宋" w:cs="宋体"/>
      <w:sz w:val="24"/>
      <w:szCs w:val="21"/>
    </w:rPr>
  </w:style>
  <w:style w:type="paragraph" w:customStyle="1" w:styleId="af5">
    <w:name w:val="表格"/>
    <w:basedOn w:val="21"/>
    <w:next w:val="a"/>
    <w:link w:val="CharChar"/>
    <w:qFormat/>
    <w:pPr>
      <w:widowControl/>
      <w:tabs>
        <w:tab w:val="left" w:pos="0"/>
      </w:tabs>
      <w:adjustRightInd w:val="0"/>
      <w:spacing w:after="0" w:line="360" w:lineRule="auto"/>
      <w:ind w:firstLineChars="200" w:firstLine="560"/>
      <w:jc w:val="left"/>
      <w:textAlignment w:val="center"/>
    </w:pPr>
    <w:rPr>
      <w:rFonts w:ascii="Times New Roman" w:eastAsia="仿宋" w:hAnsi="Times New Roman" w:cs="宋体"/>
      <w:kern w:val="0"/>
      <w:sz w:val="24"/>
      <w:szCs w:val="21"/>
    </w:rPr>
  </w:style>
  <w:style w:type="character" w:customStyle="1" w:styleId="2Char0">
    <w:name w:val="正文文本 2 Char"/>
    <w:basedOn w:val="a1"/>
    <w:link w:val="21"/>
    <w:uiPriority w:val="99"/>
    <w:semiHidden/>
    <w:qFormat/>
    <w:rPr>
      <w:rFonts w:ascii="Calibri" w:hAnsi="Calibri"/>
      <w:kern w:val="2"/>
      <w:sz w:val="21"/>
      <w:szCs w:val="22"/>
    </w:rPr>
  </w:style>
  <w:style w:type="character" w:customStyle="1" w:styleId="Char9">
    <w:name w:val="引用 Char"/>
    <w:qFormat/>
    <w:rPr>
      <w:i/>
      <w:iCs/>
      <w:color w:val="000000"/>
      <w:kern w:val="2"/>
      <w:sz w:val="28"/>
      <w:szCs w:val="24"/>
    </w:rPr>
  </w:style>
  <w:style w:type="paragraph" w:styleId="af6">
    <w:name w:val="Quote"/>
    <w:basedOn w:val="a"/>
    <w:next w:val="a"/>
    <w:link w:val="Char10"/>
    <w:qFormat/>
    <w:pPr>
      <w:widowControl/>
      <w:spacing w:line="360" w:lineRule="auto"/>
      <w:jc w:val="left"/>
    </w:pPr>
    <w:rPr>
      <w:rFonts w:ascii="Times New Roman" w:hAnsi="Times New Roman"/>
      <w:i/>
      <w:iCs/>
      <w:color w:val="000000"/>
      <w:sz w:val="28"/>
      <w:szCs w:val="24"/>
    </w:rPr>
  </w:style>
  <w:style w:type="character" w:customStyle="1" w:styleId="Char10">
    <w:name w:val="引用 Char1"/>
    <w:basedOn w:val="a1"/>
    <w:link w:val="af6"/>
    <w:uiPriority w:val="99"/>
    <w:semiHidden/>
    <w:qFormat/>
    <w:rPr>
      <w:rFonts w:ascii="Calibri" w:hAnsi="Calibri"/>
      <w:i/>
      <w:iCs/>
      <w:color w:val="000000" w:themeColor="text1"/>
      <w:kern w:val="2"/>
      <w:sz w:val="21"/>
      <w:szCs w:val="22"/>
    </w:rPr>
  </w:style>
  <w:style w:type="character" w:customStyle="1" w:styleId="Char5">
    <w:name w:val="副标题 Char"/>
    <w:basedOn w:val="a1"/>
    <w:link w:val="aa"/>
    <w:uiPriority w:val="11"/>
    <w:qFormat/>
    <w:rPr>
      <w:b/>
      <w:bCs/>
      <w:kern w:val="28"/>
      <w:sz w:val="21"/>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baike.baidu.com/view/11090.ht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o.com/link?m=bLDn18cL692gC2pY+oZEbGOvqcVotVVtTausVXcjvbmoTcAYBzymTYuJdMSr1CHRMncz3Uw57zGWM3zjf87gg+I7Yt5n2BDrSeG3bEAGUBHvX6zoA94qSrFQYlS2ER9Op7qr454gCaqb2KGCmA6evSKYPKhEFvVyEWisbfQ+H5ERP9dsB+njaaV7gEZFDYySJrz+IzFvpCao0+m+VHyZVtOs1pKSGAg5Ks2Cr5A7GxxByCBW5tuFufN1OEbUgRDR+UuUR/KIj9GyDrHt93jaBFxhPqEBUE/np82Ug5C+NjDEQeYXXTrB4JhS5ss4w+qa+l7GT/avkvIrCHiMn1SiHZRynUHKbT1lJ05o9XjhbqvLdkEXYHVYJOY7aj4NSe6j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customShpInfo spid="_x0000_s4098"/>
    <customShpInfo spid="_x0000_s4099"/>
    <customShpInfo spid="_x0000_s4100"/>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7DF780-5BE4-477E-BA23-602A90D4E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149</Pages>
  <Words>12677</Words>
  <Characters>72265</Characters>
  <Application>Microsoft Office Word</Application>
  <DocSecurity>0</DocSecurity>
  <Lines>602</Lines>
  <Paragraphs>169</Paragraphs>
  <ScaleCrop>false</ScaleCrop>
  <Company>china</Company>
  <LinksUpToDate>false</LinksUpToDate>
  <CharactersWithSpaces>84773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rbp</dc:creator>
  <cp:lastModifiedBy>Administrator</cp:lastModifiedBy>
  <cp:revision>12</cp:revision>
  <cp:lastPrinted>2021-06-29T11:06:00Z</cp:lastPrinted>
  <dcterms:created xsi:type="dcterms:W3CDTF">2021-06-30T23:48:00Z</dcterms:created>
  <dcterms:modified xsi:type="dcterms:W3CDTF">2021-07-09T00:07:00Z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y fmtid="{D5CDD505-2E9C-101B-9397-08002B2CF9AE}" pid="3" name="ICV">
    <vt:lpwstr>BC2FC7F5809446A293BEF293DDA1A16F</vt:lpwstr>
  </property>
</Properties>
</file>