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ind w:firstLine="795" w:firstLineChars="200"/>
        <w:jc w:val="center"/>
        <w:rPr>
          <w:rFonts w:hint="eastAsia" w:ascii="宋体" w:hAnsi="宋体" w:eastAsia="宋体" w:cs="Times New Roman"/>
          <w:b/>
          <w:w w:val="90"/>
          <w:sz w:val="44"/>
          <w:szCs w:val="44"/>
        </w:rPr>
      </w:pPr>
    </w:p>
    <w:p>
      <w:pPr>
        <w:spacing w:line="620" w:lineRule="exact"/>
        <w:jc w:val="center"/>
        <w:rPr>
          <w:rFonts w:hint="eastAsia" w:ascii="宋体" w:hAnsi="宋体" w:eastAsia="宋体" w:cs="Times New Roman"/>
          <w:b/>
          <w:w w:val="90"/>
          <w:sz w:val="44"/>
          <w:szCs w:val="44"/>
        </w:rPr>
      </w:pPr>
      <w:r>
        <w:rPr>
          <w:rFonts w:hint="eastAsia" w:ascii="宋体" w:hAnsi="宋体" w:eastAsia="宋体" w:cs="Times New Roman"/>
          <w:b/>
          <w:w w:val="90"/>
          <w:sz w:val="44"/>
          <w:szCs w:val="44"/>
        </w:rPr>
        <w:t>关于20</w:t>
      </w:r>
      <w:r>
        <w:rPr>
          <w:rFonts w:hint="eastAsia" w:ascii="宋体" w:hAnsi="宋体" w:cs="Times New Roman"/>
          <w:b/>
          <w:w w:val="90"/>
          <w:sz w:val="44"/>
          <w:szCs w:val="44"/>
          <w:lang w:val="en-US" w:eastAsia="zh-CN"/>
        </w:rPr>
        <w:t>20</w:t>
      </w:r>
      <w:r>
        <w:rPr>
          <w:rFonts w:hint="eastAsia" w:ascii="宋体" w:hAnsi="宋体" w:eastAsia="宋体" w:cs="Times New Roman"/>
          <w:b/>
          <w:w w:val="90"/>
          <w:sz w:val="44"/>
          <w:szCs w:val="44"/>
        </w:rPr>
        <w:t>年</w:t>
      </w:r>
      <w:r>
        <w:rPr>
          <w:rFonts w:hint="eastAsia" w:ascii="宋体" w:hAnsi="宋体" w:cs="Times New Roman"/>
          <w:b/>
          <w:w w:val="90"/>
          <w:sz w:val="44"/>
          <w:szCs w:val="44"/>
          <w:lang w:eastAsia="zh-CN"/>
        </w:rPr>
        <w:t>高新区</w:t>
      </w:r>
      <w:r>
        <w:rPr>
          <w:rFonts w:hint="eastAsia" w:ascii="宋体" w:hAnsi="宋体" w:eastAsia="宋体" w:cs="Times New Roman"/>
          <w:b/>
          <w:w w:val="90"/>
          <w:sz w:val="44"/>
          <w:szCs w:val="44"/>
        </w:rPr>
        <w:t>财政决算（草案）</w:t>
      </w:r>
    </w:p>
    <w:p>
      <w:pPr>
        <w:spacing w:line="620" w:lineRule="exact"/>
        <w:jc w:val="center"/>
        <w:rPr>
          <w:rFonts w:hint="eastAsia" w:ascii="宋体" w:hAnsi="宋体" w:eastAsia="宋体" w:cs="Times New Roman"/>
          <w:b/>
          <w:w w:val="90"/>
          <w:sz w:val="44"/>
          <w:szCs w:val="44"/>
        </w:rPr>
      </w:pPr>
      <w:r>
        <w:rPr>
          <w:rFonts w:hint="eastAsia" w:ascii="宋体" w:hAnsi="宋体" w:eastAsia="宋体" w:cs="Times New Roman"/>
          <w:b/>
          <w:w w:val="90"/>
          <w:sz w:val="44"/>
          <w:szCs w:val="44"/>
        </w:rPr>
        <w:t>和20</w:t>
      </w:r>
      <w:r>
        <w:rPr>
          <w:rFonts w:hint="eastAsia" w:ascii="宋体" w:hAnsi="宋体" w:cs="Times New Roman"/>
          <w:b/>
          <w:w w:val="90"/>
          <w:sz w:val="44"/>
          <w:szCs w:val="44"/>
          <w:lang w:val="en-US" w:eastAsia="zh-CN"/>
        </w:rPr>
        <w:t>21</w:t>
      </w:r>
      <w:r>
        <w:rPr>
          <w:rFonts w:hint="eastAsia" w:ascii="宋体" w:hAnsi="宋体" w:eastAsia="宋体" w:cs="Times New Roman"/>
          <w:b/>
          <w:w w:val="90"/>
          <w:sz w:val="44"/>
          <w:szCs w:val="44"/>
        </w:rPr>
        <w:t>年上半年预算执行情况的报告</w:t>
      </w:r>
    </w:p>
    <w:p>
      <w:pPr>
        <w:spacing w:line="620" w:lineRule="exact"/>
        <w:ind w:firstLine="795" w:firstLineChars="200"/>
        <w:jc w:val="center"/>
        <w:rPr>
          <w:rFonts w:hint="eastAsia" w:ascii="宋体" w:hAnsi="宋体" w:eastAsia="宋体" w:cs="Times New Roman"/>
          <w:b/>
          <w:w w:val="90"/>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ascii="华文仿宋" w:hAnsi="华文仿宋" w:eastAsia="华文仿宋" w:cs="Times New Roman"/>
          <w:sz w:val="32"/>
          <w:szCs w:val="32"/>
        </w:rPr>
      </w:pPr>
      <w:r>
        <w:rPr>
          <w:rFonts w:hint="eastAsia" w:ascii="华文仿宋" w:hAnsi="华文仿宋" w:eastAsia="华文仿宋" w:cs="Times New Roman"/>
          <w:sz w:val="32"/>
          <w:szCs w:val="32"/>
          <w:lang w:eastAsia="zh-CN"/>
        </w:rPr>
        <w:t>主任、各位副主任、秘书长、</w:t>
      </w:r>
      <w:r>
        <w:rPr>
          <w:rFonts w:hint="eastAsia" w:ascii="华文仿宋" w:hAnsi="华文仿宋" w:eastAsia="华文仿宋" w:cs="Times New Roman"/>
          <w:sz w:val="32"/>
          <w:szCs w:val="32"/>
        </w:rPr>
        <w:t>各位</w:t>
      </w:r>
      <w:r>
        <w:rPr>
          <w:rFonts w:hint="eastAsia" w:ascii="华文仿宋" w:hAnsi="华文仿宋" w:eastAsia="华文仿宋" w:cs="Times New Roman"/>
          <w:sz w:val="32"/>
          <w:szCs w:val="32"/>
          <w:lang w:eastAsia="zh-CN"/>
        </w:rPr>
        <w:t>委员</w:t>
      </w:r>
      <w:r>
        <w:rPr>
          <w:rFonts w:hint="eastAsia" w:ascii="华文仿宋" w:hAnsi="华文仿宋" w:eastAsia="华文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宋体" w:hAnsi="宋体"/>
          <w:b/>
          <w:sz w:val="32"/>
          <w:szCs w:val="32"/>
        </w:rPr>
      </w:pPr>
      <w:r>
        <w:rPr>
          <w:rFonts w:hint="eastAsia" w:ascii="华文仿宋" w:hAnsi="华文仿宋" w:eastAsia="华文仿宋" w:cs="Times New Roman"/>
          <w:sz w:val="32"/>
          <w:szCs w:val="32"/>
        </w:rPr>
        <w:t>根据市人大常委会《关于把南阳新区高新区鸭河工区官庄工区财政预决算纳入市本级财政预决算的通知》（宛人常﹝2012﹞35号）要求，现将高新区20</w:t>
      </w:r>
      <w:r>
        <w:rPr>
          <w:rFonts w:hint="eastAsia" w:ascii="华文仿宋" w:hAnsi="华文仿宋" w:eastAsia="华文仿宋" w:cs="Times New Roman"/>
          <w:sz w:val="32"/>
          <w:szCs w:val="32"/>
          <w:lang w:val="en-US" w:eastAsia="zh-CN"/>
        </w:rPr>
        <w:t>20</w:t>
      </w:r>
      <w:r>
        <w:rPr>
          <w:rFonts w:hint="eastAsia" w:ascii="华文仿宋" w:hAnsi="华文仿宋" w:eastAsia="华文仿宋" w:cs="Times New Roman"/>
          <w:sz w:val="32"/>
          <w:szCs w:val="32"/>
        </w:rPr>
        <w:t>年</w:t>
      </w:r>
      <w:r>
        <w:rPr>
          <w:rFonts w:hint="eastAsia" w:ascii="华文仿宋" w:hAnsi="华文仿宋" w:eastAsia="华文仿宋" w:cs="Times New Roman"/>
          <w:sz w:val="32"/>
          <w:szCs w:val="32"/>
          <w:lang w:eastAsia="zh-CN"/>
        </w:rPr>
        <w:t>财政决算（草案）</w:t>
      </w:r>
      <w:r>
        <w:rPr>
          <w:rFonts w:hint="eastAsia" w:ascii="华文仿宋" w:hAnsi="华文仿宋" w:eastAsia="华文仿宋" w:cs="Times New Roman"/>
          <w:sz w:val="32"/>
          <w:szCs w:val="32"/>
        </w:rPr>
        <w:t>和20</w:t>
      </w:r>
      <w:r>
        <w:rPr>
          <w:rFonts w:hint="eastAsia" w:ascii="华文仿宋" w:hAnsi="华文仿宋" w:eastAsia="华文仿宋" w:cs="Times New Roman"/>
          <w:sz w:val="32"/>
          <w:szCs w:val="32"/>
          <w:lang w:val="en-US" w:eastAsia="zh-CN"/>
        </w:rPr>
        <w:t>21</w:t>
      </w:r>
      <w:r>
        <w:rPr>
          <w:rFonts w:hint="eastAsia" w:ascii="华文仿宋" w:hAnsi="华文仿宋" w:eastAsia="华文仿宋" w:cs="Times New Roman"/>
          <w:sz w:val="32"/>
          <w:szCs w:val="32"/>
        </w:rPr>
        <w:t>年</w:t>
      </w:r>
      <w:r>
        <w:rPr>
          <w:rFonts w:hint="eastAsia" w:ascii="华文仿宋" w:hAnsi="华文仿宋" w:eastAsia="华文仿宋" w:cs="Times New Roman"/>
          <w:sz w:val="32"/>
          <w:szCs w:val="32"/>
          <w:lang w:eastAsia="zh-CN"/>
        </w:rPr>
        <w:t>上半年预算执行情况汇报如下。</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宋体" w:hAnsi="宋体"/>
          <w:b/>
          <w:sz w:val="32"/>
          <w:szCs w:val="32"/>
        </w:rPr>
      </w:pPr>
      <w:r>
        <w:rPr>
          <w:rFonts w:hint="eastAsia" w:ascii="宋体" w:hAnsi="宋体"/>
          <w:b/>
          <w:sz w:val="32"/>
          <w:szCs w:val="32"/>
        </w:rPr>
        <w:t>一、</w:t>
      </w:r>
      <w:r>
        <w:rPr>
          <w:rFonts w:hint="eastAsia" w:ascii="宋体" w:hAnsi="宋体"/>
          <w:b/>
          <w:sz w:val="32"/>
          <w:szCs w:val="32"/>
          <w:lang w:eastAsia="zh-CN"/>
        </w:rPr>
        <w:t>关于</w:t>
      </w:r>
      <w:r>
        <w:rPr>
          <w:rFonts w:hint="eastAsia" w:ascii="宋体" w:hAnsi="宋体"/>
          <w:b/>
          <w:sz w:val="32"/>
          <w:szCs w:val="32"/>
        </w:rPr>
        <w:t>20</w:t>
      </w:r>
      <w:r>
        <w:rPr>
          <w:rFonts w:hint="eastAsia" w:ascii="宋体" w:hAnsi="宋体"/>
          <w:b/>
          <w:sz w:val="32"/>
          <w:szCs w:val="32"/>
          <w:lang w:val="en-US" w:eastAsia="zh-CN"/>
        </w:rPr>
        <w:t>20</w:t>
      </w:r>
      <w:r>
        <w:rPr>
          <w:rFonts w:hint="eastAsia" w:ascii="宋体" w:hAnsi="宋体"/>
          <w:b/>
          <w:sz w:val="32"/>
          <w:szCs w:val="32"/>
        </w:rPr>
        <w:t>年财政决算（草案）情况</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华文仿宋" w:hAnsi="华文仿宋" w:eastAsia="华文仿宋" w:cs="Times New Roman"/>
          <w:sz w:val="32"/>
          <w:szCs w:val="32"/>
          <w:lang w:eastAsia="zh-CN"/>
        </w:rPr>
      </w:pPr>
      <w:r>
        <w:rPr>
          <w:rFonts w:hint="eastAsia" w:ascii="华文仿宋" w:hAnsi="华文仿宋" w:eastAsia="华文仿宋" w:cs="Times New Roman"/>
          <w:sz w:val="32"/>
          <w:szCs w:val="32"/>
        </w:rPr>
        <w:t>20</w:t>
      </w:r>
      <w:r>
        <w:rPr>
          <w:rFonts w:hint="eastAsia" w:ascii="华文仿宋" w:hAnsi="华文仿宋" w:eastAsia="华文仿宋" w:cs="Times New Roman"/>
          <w:sz w:val="32"/>
          <w:szCs w:val="32"/>
          <w:lang w:val="en-US" w:eastAsia="zh-CN"/>
        </w:rPr>
        <w:t>20年</w:t>
      </w:r>
      <w:r>
        <w:rPr>
          <w:rFonts w:hint="eastAsia" w:ascii="华文仿宋" w:hAnsi="华文仿宋" w:eastAsia="华文仿宋" w:cs="Times New Roman"/>
          <w:sz w:val="32"/>
          <w:szCs w:val="32"/>
        </w:rPr>
        <w:t>，</w:t>
      </w:r>
      <w:r>
        <w:rPr>
          <w:rFonts w:hint="eastAsia" w:ascii="华文仿宋" w:hAnsi="华文仿宋" w:eastAsia="华文仿宋" w:cs="Times New Roman"/>
          <w:sz w:val="32"/>
          <w:szCs w:val="32"/>
          <w:lang w:eastAsia="zh-CN"/>
        </w:rPr>
        <w:t>面对复杂多变的宏观经济环境和繁重艰巨的财税改革任务，在市委、市政府的正确领导下，我区主动适应和把握经济新常态，认真贯彻落实省委、市委的各项经济工作会议精神，认真执行预算，统筹各项工作，积极履行财政职能，奋力实现年初确定的各项目标任务，促进经济持续平稳健康发展。现将有关情况报告如下：</w:t>
      </w:r>
    </w:p>
    <w:p>
      <w:pPr>
        <w:spacing w:after="0" w:line="620" w:lineRule="exact"/>
        <w:ind w:firstLine="640" w:firstLineChars="200"/>
        <w:jc w:val="both"/>
        <w:rPr>
          <w:rFonts w:ascii="楷体" w:hAnsi="楷体" w:eastAsia="楷体" w:cs="楷体"/>
          <w:sz w:val="32"/>
          <w:szCs w:val="32"/>
        </w:rPr>
      </w:pPr>
      <w:r>
        <w:rPr>
          <w:rFonts w:hint="eastAsia" w:ascii="楷体" w:hAnsi="楷体" w:eastAsia="楷体" w:cs="楷体"/>
          <w:sz w:val="32"/>
          <w:szCs w:val="32"/>
        </w:rPr>
        <w:t>（一）20</w:t>
      </w:r>
      <w:r>
        <w:rPr>
          <w:rFonts w:hint="eastAsia" w:ascii="楷体" w:hAnsi="楷体" w:eastAsia="楷体" w:cs="楷体"/>
          <w:sz w:val="32"/>
          <w:szCs w:val="32"/>
          <w:lang w:val="en-US" w:eastAsia="zh-CN"/>
        </w:rPr>
        <w:t>20</w:t>
      </w:r>
      <w:r>
        <w:rPr>
          <w:rFonts w:hint="eastAsia" w:ascii="楷体" w:hAnsi="楷体" w:eastAsia="楷体" w:cs="楷体"/>
          <w:sz w:val="32"/>
          <w:szCs w:val="32"/>
        </w:rPr>
        <w:t>年财政决算情况</w:t>
      </w:r>
    </w:p>
    <w:p>
      <w:pPr>
        <w:spacing w:after="0" w:line="620" w:lineRule="exact"/>
        <w:ind w:firstLine="800" w:firstLineChars="250"/>
        <w:jc w:val="both"/>
        <w:rPr>
          <w:rFonts w:ascii="仿宋_GB2312" w:hAnsi="仿宋_GB2312" w:eastAsia="仿宋_GB2312" w:cs="仿宋_GB2312"/>
          <w:b/>
          <w:bCs/>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
          <w:bCs/>
          <w:sz w:val="32"/>
          <w:szCs w:val="32"/>
        </w:rPr>
        <w:t>一般公共预算</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eastAsia" w:ascii="华文仿宋" w:hAnsi="华文仿宋" w:eastAsia="华文仿宋" w:cs="Times New Roman"/>
          <w:sz w:val="32"/>
          <w:szCs w:val="32"/>
          <w:lang w:val="en-US" w:eastAsia="zh-CN"/>
        </w:rPr>
      </w:pPr>
      <w:r>
        <w:rPr>
          <w:rFonts w:hint="eastAsia" w:ascii="仿宋_GB2312" w:hAnsi="仿宋_GB2312" w:eastAsia="仿宋_GB2312" w:cs="仿宋_GB2312"/>
          <w:b/>
          <w:sz w:val="32"/>
          <w:szCs w:val="32"/>
        </w:rPr>
        <w:t>全</w:t>
      </w:r>
      <w:r>
        <w:rPr>
          <w:rFonts w:hint="eastAsia" w:ascii="仿宋_GB2312" w:hAnsi="仿宋_GB2312" w:eastAsia="仿宋_GB2312" w:cs="仿宋_GB2312"/>
          <w:b/>
          <w:sz w:val="32"/>
          <w:szCs w:val="32"/>
          <w:lang w:eastAsia="zh-CN"/>
        </w:rPr>
        <w:t>区</w:t>
      </w:r>
      <w:r>
        <w:rPr>
          <w:rFonts w:hint="eastAsia" w:ascii="仿宋_GB2312" w:hAnsi="仿宋_GB2312" w:eastAsia="仿宋_GB2312" w:cs="仿宋_GB2312"/>
          <w:b/>
          <w:sz w:val="32"/>
          <w:szCs w:val="32"/>
        </w:rPr>
        <w:t>收支决算情况。</w:t>
      </w:r>
      <w:r>
        <w:rPr>
          <w:rFonts w:hint="eastAsia" w:ascii="华文仿宋" w:hAnsi="华文仿宋" w:eastAsia="华文仿宋" w:cs="Times New Roman"/>
          <w:sz w:val="32"/>
          <w:szCs w:val="32"/>
          <w:lang w:eastAsia="zh-CN"/>
        </w:rPr>
        <w:t>人代会批准的</w:t>
      </w:r>
      <w:r>
        <w:rPr>
          <w:rFonts w:hint="eastAsia" w:ascii="华文仿宋" w:hAnsi="华文仿宋" w:eastAsia="华文仿宋" w:cs="Times New Roman"/>
          <w:sz w:val="32"/>
          <w:szCs w:val="32"/>
        </w:rPr>
        <w:t>20</w:t>
      </w:r>
      <w:r>
        <w:rPr>
          <w:rFonts w:hint="eastAsia" w:ascii="华文仿宋" w:hAnsi="华文仿宋" w:eastAsia="华文仿宋" w:cs="Times New Roman"/>
          <w:sz w:val="32"/>
          <w:szCs w:val="32"/>
          <w:lang w:val="en-US" w:eastAsia="zh-CN"/>
        </w:rPr>
        <w:t>20</w:t>
      </w:r>
      <w:r>
        <w:rPr>
          <w:rFonts w:hint="eastAsia" w:ascii="华文仿宋" w:hAnsi="华文仿宋" w:eastAsia="华文仿宋" w:cs="Times New Roman"/>
          <w:sz w:val="32"/>
          <w:szCs w:val="32"/>
        </w:rPr>
        <w:t>年我区一般公共预算收入年初预算</w:t>
      </w:r>
      <w:r>
        <w:rPr>
          <w:rFonts w:hint="eastAsia" w:ascii="华文仿宋" w:hAnsi="华文仿宋" w:eastAsia="华文仿宋" w:cs="Times New Roman"/>
          <w:sz w:val="32"/>
          <w:szCs w:val="32"/>
          <w:lang w:eastAsia="zh-CN"/>
        </w:rPr>
        <w:t>为</w:t>
      </w:r>
      <w:r>
        <w:rPr>
          <w:rFonts w:hint="eastAsia" w:ascii="华文仿宋" w:hAnsi="华文仿宋" w:eastAsia="华文仿宋" w:cs="Times New Roman"/>
          <w:sz w:val="32"/>
          <w:szCs w:val="32"/>
          <w:lang w:val="en-US" w:eastAsia="zh-CN"/>
        </w:rPr>
        <w:t>58700</w:t>
      </w:r>
      <w:r>
        <w:rPr>
          <w:rFonts w:hint="eastAsia" w:ascii="华文仿宋" w:hAnsi="华文仿宋" w:eastAsia="华文仿宋" w:cs="Times New Roman"/>
          <w:sz w:val="32"/>
          <w:szCs w:val="32"/>
        </w:rPr>
        <w:t>万元</w:t>
      </w:r>
      <w:r>
        <w:rPr>
          <w:rFonts w:hint="eastAsia" w:ascii="华文仿宋" w:hAnsi="华文仿宋" w:eastAsia="华文仿宋" w:cs="Times New Roman"/>
          <w:sz w:val="32"/>
          <w:szCs w:val="32"/>
          <w:lang w:eastAsia="zh-CN"/>
        </w:rPr>
        <w:t>，实际</w:t>
      </w:r>
      <w:r>
        <w:rPr>
          <w:rFonts w:hint="eastAsia" w:ascii="华文仿宋" w:hAnsi="华文仿宋" w:eastAsia="华文仿宋" w:cs="Times New Roman"/>
          <w:sz w:val="32"/>
          <w:szCs w:val="32"/>
        </w:rPr>
        <w:t>完成</w:t>
      </w:r>
      <w:r>
        <w:rPr>
          <w:rFonts w:hint="eastAsia" w:ascii="华文仿宋" w:hAnsi="华文仿宋" w:eastAsia="华文仿宋" w:cs="Times New Roman"/>
          <w:sz w:val="32"/>
          <w:szCs w:val="32"/>
          <w:lang w:val="en-US" w:eastAsia="zh-CN"/>
        </w:rPr>
        <w:t>56612</w:t>
      </w:r>
      <w:r>
        <w:rPr>
          <w:rFonts w:hint="eastAsia" w:ascii="华文仿宋" w:hAnsi="华文仿宋" w:eastAsia="华文仿宋" w:cs="Times New Roman"/>
          <w:sz w:val="32"/>
          <w:szCs w:val="32"/>
        </w:rPr>
        <w:t>万元，</w:t>
      </w:r>
      <w:r>
        <w:rPr>
          <w:rFonts w:hint="eastAsia" w:ascii="华文仿宋" w:hAnsi="华文仿宋" w:eastAsia="华文仿宋" w:cs="Times New Roman"/>
          <w:sz w:val="32"/>
          <w:szCs w:val="32"/>
          <w:lang w:eastAsia="zh-CN"/>
        </w:rPr>
        <w:t>为预算</w:t>
      </w:r>
      <w:r>
        <w:rPr>
          <w:rFonts w:hint="eastAsia" w:ascii="华文仿宋" w:hAnsi="华文仿宋" w:eastAsia="华文仿宋" w:cs="Times New Roman"/>
          <w:sz w:val="32"/>
          <w:szCs w:val="32"/>
        </w:rPr>
        <w:t>的</w:t>
      </w:r>
      <w:r>
        <w:rPr>
          <w:rFonts w:hint="eastAsia" w:ascii="华文仿宋" w:hAnsi="华文仿宋" w:eastAsia="华文仿宋" w:cs="Times New Roman"/>
          <w:sz w:val="32"/>
          <w:szCs w:val="32"/>
          <w:lang w:val="en-US" w:eastAsia="zh-CN"/>
        </w:rPr>
        <w:t>96.4</w:t>
      </w:r>
      <w:r>
        <w:rPr>
          <w:rFonts w:hint="eastAsia" w:ascii="华文仿宋" w:hAnsi="华文仿宋" w:eastAsia="华文仿宋" w:cs="Times New Roman"/>
          <w:sz w:val="32"/>
          <w:szCs w:val="32"/>
        </w:rPr>
        <w:t>%，</w:t>
      </w:r>
      <w:r>
        <w:rPr>
          <w:rFonts w:hint="eastAsia" w:ascii="华文仿宋" w:hAnsi="华文仿宋" w:eastAsia="华文仿宋" w:cs="Times New Roman"/>
          <w:sz w:val="32"/>
          <w:szCs w:val="32"/>
          <w:lang w:eastAsia="zh-CN"/>
        </w:rPr>
        <w:t>同比增长</w:t>
      </w:r>
      <w:r>
        <w:rPr>
          <w:rFonts w:hint="eastAsia" w:ascii="华文仿宋" w:hAnsi="华文仿宋" w:eastAsia="华文仿宋" w:cs="Times New Roman"/>
          <w:sz w:val="32"/>
          <w:szCs w:val="32"/>
          <w:lang w:val="en-US" w:eastAsia="zh-CN"/>
        </w:rPr>
        <w:t>4.7%</w:t>
      </w:r>
      <w:r>
        <w:rPr>
          <w:rFonts w:hint="eastAsia" w:ascii="华文仿宋" w:hAnsi="华文仿宋" w:eastAsia="华文仿宋" w:cs="Times New Roman"/>
          <w:sz w:val="32"/>
          <w:szCs w:val="32"/>
        </w:rPr>
        <w:t>。</w:t>
      </w:r>
      <w:r>
        <w:rPr>
          <w:rFonts w:hint="eastAsia" w:ascii="华文仿宋" w:hAnsi="华文仿宋" w:eastAsia="华文仿宋" w:cs="Times New Roman"/>
          <w:sz w:val="32"/>
          <w:szCs w:val="32"/>
          <w:lang w:eastAsia="zh-CN"/>
        </w:rPr>
        <w:t>人代会批准的</w:t>
      </w:r>
      <w:r>
        <w:rPr>
          <w:rFonts w:hint="eastAsia" w:ascii="华文仿宋" w:hAnsi="华文仿宋" w:eastAsia="华文仿宋" w:cs="Times New Roman"/>
          <w:sz w:val="32"/>
          <w:szCs w:val="32"/>
        </w:rPr>
        <w:t>20</w:t>
      </w:r>
      <w:r>
        <w:rPr>
          <w:rFonts w:hint="eastAsia" w:ascii="华文仿宋" w:hAnsi="华文仿宋" w:eastAsia="华文仿宋" w:cs="Times New Roman"/>
          <w:sz w:val="32"/>
          <w:szCs w:val="32"/>
          <w:lang w:val="en-US" w:eastAsia="zh-CN"/>
        </w:rPr>
        <w:t>20</w:t>
      </w:r>
      <w:r>
        <w:rPr>
          <w:rFonts w:hint="eastAsia" w:ascii="华文仿宋" w:hAnsi="华文仿宋" w:eastAsia="华文仿宋" w:cs="Times New Roman"/>
          <w:sz w:val="32"/>
          <w:szCs w:val="32"/>
        </w:rPr>
        <w:t>年我区一般公共预算</w:t>
      </w:r>
      <w:r>
        <w:rPr>
          <w:rFonts w:hint="eastAsia" w:ascii="华文仿宋" w:hAnsi="华文仿宋" w:eastAsia="华文仿宋" w:cs="Times New Roman"/>
          <w:sz w:val="32"/>
          <w:szCs w:val="32"/>
          <w:lang w:eastAsia="zh-CN"/>
        </w:rPr>
        <w:t>支出年初预算为</w:t>
      </w:r>
      <w:r>
        <w:rPr>
          <w:rFonts w:hint="eastAsia" w:ascii="华文仿宋" w:hAnsi="华文仿宋" w:eastAsia="华文仿宋" w:cs="Times New Roman"/>
          <w:sz w:val="32"/>
          <w:szCs w:val="32"/>
          <w:lang w:val="en-US" w:eastAsia="zh-CN"/>
        </w:rPr>
        <w:t>52918万元，执行中因上级补助增加等，支出预算调整为71350万元，</w:t>
      </w:r>
      <w:r>
        <w:rPr>
          <w:rFonts w:hint="eastAsia" w:ascii="华文仿宋" w:hAnsi="华文仿宋" w:eastAsia="华文仿宋" w:cs="Times New Roman"/>
          <w:sz w:val="32"/>
          <w:szCs w:val="32"/>
          <w:lang w:eastAsia="zh-CN"/>
        </w:rPr>
        <w:t>实际</w:t>
      </w:r>
      <w:r>
        <w:rPr>
          <w:rFonts w:hint="eastAsia" w:ascii="华文仿宋" w:hAnsi="华文仿宋" w:eastAsia="华文仿宋" w:cs="Times New Roman"/>
          <w:sz w:val="32"/>
          <w:szCs w:val="32"/>
        </w:rPr>
        <w:t>完成</w:t>
      </w:r>
      <w:r>
        <w:rPr>
          <w:rFonts w:hint="eastAsia" w:ascii="华文仿宋" w:hAnsi="华文仿宋" w:eastAsia="华文仿宋" w:cs="Times New Roman"/>
          <w:sz w:val="32"/>
          <w:szCs w:val="32"/>
          <w:lang w:val="en-US" w:eastAsia="zh-CN"/>
        </w:rPr>
        <w:t>71350</w:t>
      </w:r>
      <w:r>
        <w:rPr>
          <w:rFonts w:hint="eastAsia" w:ascii="华文仿宋" w:hAnsi="华文仿宋" w:eastAsia="华文仿宋" w:cs="Times New Roman"/>
          <w:sz w:val="32"/>
          <w:szCs w:val="32"/>
        </w:rPr>
        <w:t>万元，</w:t>
      </w:r>
      <w:r>
        <w:rPr>
          <w:rFonts w:hint="eastAsia" w:ascii="华文仿宋" w:hAnsi="华文仿宋" w:eastAsia="华文仿宋" w:cs="Times New Roman"/>
          <w:sz w:val="32"/>
          <w:szCs w:val="32"/>
          <w:lang w:eastAsia="zh-CN"/>
        </w:rPr>
        <w:t>为调整预算</w:t>
      </w:r>
      <w:r>
        <w:rPr>
          <w:rFonts w:hint="eastAsia" w:ascii="华文仿宋" w:hAnsi="华文仿宋" w:eastAsia="华文仿宋" w:cs="Times New Roman"/>
          <w:sz w:val="32"/>
          <w:szCs w:val="32"/>
          <w:lang w:val="en-US" w:eastAsia="zh-CN"/>
        </w:rPr>
        <w:t>的100%，同比增长2%。</w:t>
      </w:r>
    </w:p>
    <w:p>
      <w:pPr>
        <w:spacing w:after="0" w:line="620" w:lineRule="exact"/>
        <w:ind w:firstLine="643" w:firstLineChars="200"/>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2.政府性基金预算</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华文仿宋" w:hAnsi="华文仿宋" w:eastAsia="华文仿宋" w:cs="Times New Roman"/>
          <w:sz w:val="32"/>
          <w:szCs w:val="32"/>
          <w:lang w:val="en-US" w:eastAsia="zh-CN"/>
        </w:rPr>
      </w:pPr>
      <w:r>
        <w:rPr>
          <w:rFonts w:hint="eastAsia" w:ascii="华文仿宋" w:hAnsi="华文仿宋" w:eastAsia="华文仿宋" w:cs="Times New Roman"/>
          <w:sz w:val="32"/>
          <w:szCs w:val="32"/>
          <w:lang w:eastAsia="zh-CN"/>
        </w:rPr>
        <w:t>人代会批准的</w:t>
      </w:r>
      <w:r>
        <w:rPr>
          <w:rFonts w:hint="eastAsia" w:ascii="华文仿宋" w:hAnsi="华文仿宋" w:eastAsia="华文仿宋" w:cs="Times New Roman"/>
          <w:sz w:val="32"/>
          <w:szCs w:val="32"/>
        </w:rPr>
        <w:t>20</w:t>
      </w:r>
      <w:r>
        <w:rPr>
          <w:rFonts w:hint="eastAsia" w:ascii="华文仿宋" w:hAnsi="华文仿宋" w:eastAsia="华文仿宋" w:cs="Times New Roman"/>
          <w:sz w:val="32"/>
          <w:szCs w:val="32"/>
          <w:lang w:val="en-US" w:eastAsia="zh-CN"/>
        </w:rPr>
        <w:t>20</w:t>
      </w:r>
      <w:r>
        <w:rPr>
          <w:rFonts w:hint="eastAsia" w:ascii="华文仿宋" w:hAnsi="华文仿宋" w:eastAsia="华文仿宋" w:cs="Times New Roman"/>
          <w:sz w:val="32"/>
          <w:szCs w:val="32"/>
        </w:rPr>
        <w:t>年我区</w:t>
      </w:r>
      <w:r>
        <w:rPr>
          <w:rFonts w:hint="eastAsia" w:ascii="华文仿宋" w:hAnsi="华文仿宋" w:eastAsia="华文仿宋" w:cs="Times New Roman"/>
          <w:sz w:val="32"/>
          <w:szCs w:val="32"/>
          <w:lang w:eastAsia="zh-CN"/>
        </w:rPr>
        <w:t>政府性基金收入</w:t>
      </w:r>
      <w:r>
        <w:rPr>
          <w:rFonts w:hint="eastAsia" w:ascii="华文仿宋" w:hAnsi="华文仿宋" w:eastAsia="华文仿宋" w:cs="Times New Roman"/>
          <w:sz w:val="32"/>
          <w:szCs w:val="32"/>
          <w:lang w:val="en-US" w:eastAsia="zh-CN"/>
        </w:rPr>
        <w:t>年初预算为70000万元，</w:t>
      </w:r>
      <w:r>
        <w:rPr>
          <w:rFonts w:hint="eastAsia" w:ascii="华文仿宋" w:hAnsi="华文仿宋" w:eastAsia="华文仿宋" w:cs="Times New Roman"/>
          <w:sz w:val="32"/>
          <w:szCs w:val="32"/>
          <w:lang w:eastAsia="zh-CN"/>
        </w:rPr>
        <w:t>实际</w:t>
      </w:r>
      <w:r>
        <w:rPr>
          <w:rFonts w:hint="eastAsia" w:ascii="华文仿宋" w:hAnsi="华文仿宋" w:eastAsia="华文仿宋" w:cs="Times New Roman"/>
          <w:sz w:val="32"/>
          <w:szCs w:val="32"/>
        </w:rPr>
        <w:t>完成</w:t>
      </w:r>
      <w:r>
        <w:rPr>
          <w:rFonts w:hint="eastAsia" w:ascii="华文仿宋" w:hAnsi="华文仿宋" w:eastAsia="华文仿宋" w:cs="Times New Roman"/>
          <w:sz w:val="32"/>
          <w:szCs w:val="32"/>
          <w:lang w:val="en-US" w:eastAsia="zh-CN"/>
        </w:rPr>
        <w:t>374万元，为预算的0.5%，同比增长-98.2%。</w:t>
      </w:r>
      <w:r>
        <w:rPr>
          <w:rFonts w:hint="eastAsia" w:ascii="华文仿宋" w:hAnsi="华文仿宋" w:eastAsia="华文仿宋" w:cs="Times New Roman"/>
          <w:sz w:val="32"/>
          <w:szCs w:val="32"/>
          <w:lang w:eastAsia="zh-CN"/>
        </w:rPr>
        <w:t>人代会批准的</w:t>
      </w:r>
      <w:r>
        <w:rPr>
          <w:rFonts w:hint="eastAsia" w:ascii="华文仿宋" w:hAnsi="华文仿宋" w:eastAsia="华文仿宋" w:cs="Times New Roman"/>
          <w:sz w:val="32"/>
          <w:szCs w:val="32"/>
        </w:rPr>
        <w:t>20</w:t>
      </w:r>
      <w:r>
        <w:rPr>
          <w:rFonts w:hint="eastAsia" w:ascii="华文仿宋" w:hAnsi="华文仿宋" w:eastAsia="华文仿宋" w:cs="Times New Roman"/>
          <w:sz w:val="32"/>
          <w:szCs w:val="32"/>
          <w:lang w:val="en-US" w:eastAsia="zh-CN"/>
        </w:rPr>
        <w:t>20</w:t>
      </w:r>
      <w:r>
        <w:rPr>
          <w:rFonts w:hint="eastAsia" w:ascii="华文仿宋" w:hAnsi="华文仿宋" w:eastAsia="华文仿宋" w:cs="Times New Roman"/>
          <w:sz w:val="32"/>
          <w:szCs w:val="32"/>
        </w:rPr>
        <w:t>年我区</w:t>
      </w:r>
      <w:r>
        <w:rPr>
          <w:rFonts w:hint="eastAsia" w:ascii="华文仿宋" w:hAnsi="华文仿宋" w:eastAsia="华文仿宋" w:cs="Times New Roman"/>
          <w:sz w:val="32"/>
          <w:szCs w:val="32"/>
          <w:lang w:eastAsia="zh-CN"/>
        </w:rPr>
        <w:t>政府性基金支出</w:t>
      </w:r>
      <w:r>
        <w:rPr>
          <w:rFonts w:hint="eastAsia" w:ascii="华文仿宋" w:hAnsi="华文仿宋" w:eastAsia="华文仿宋" w:cs="Times New Roman"/>
          <w:sz w:val="32"/>
          <w:szCs w:val="32"/>
          <w:lang w:val="en-US" w:eastAsia="zh-CN"/>
        </w:rPr>
        <w:t>年初预算为70000万元，执行中因上级补助增加等，支出预算调整为176666万元，</w:t>
      </w:r>
      <w:r>
        <w:rPr>
          <w:rFonts w:hint="eastAsia" w:ascii="华文仿宋" w:hAnsi="华文仿宋" w:eastAsia="华文仿宋" w:cs="Times New Roman"/>
          <w:sz w:val="32"/>
          <w:szCs w:val="32"/>
          <w:lang w:eastAsia="zh-CN"/>
        </w:rPr>
        <w:t>实际</w:t>
      </w:r>
      <w:r>
        <w:rPr>
          <w:rFonts w:hint="eastAsia" w:ascii="华文仿宋" w:hAnsi="华文仿宋" w:eastAsia="华文仿宋" w:cs="Times New Roman"/>
          <w:sz w:val="32"/>
          <w:szCs w:val="32"/>
        </w:rPr>
        <w:t>完成</w:t>
      </w:r>
      <w:r>
        <w:rPr>
          <w:rFonts w:hint="eastAsia" w:ascii="华文仿宋" w:hAnsi="华文仿宋" w:eastAsia="华文仿宋" w:cs="Times New Roman"/>
          <w:sz w:val="32"/>
          <w:szCs w:val="32"/>
          <w:lang w:val="en-US" w:eastAsia="zh-CN"/>
        </w:rPr>
        <w:t>171194万元，为调整预算的96.9%，同比增长75.1%。</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eastAsia" w:ascii="仿宋_GB2312" w:eastAsia="仿宋_GB2312" w:cs="Times New Roman"/>
          <w:b/>
          <w:sz w:val="32"/>
          <w:szCs w:val="32"/>
          <w:lang w:eastAsia="zh-CN"/>
        </w:rPr>
      </w:pPr>
      <w:r>
        <w:rPr>
          <w:rFonts w:hint="eastAsia" w:ascii="仿宋_GB2312" w:eastAsia="仿宋_GB2312" w:cs="Times New Roman"/>
          <w:b/>
          <w:sz w:val="32"/>
          <w:szCs w:val="32"/>
          <w:lang w:val="en-US" w:eastAsia="zh-CN"/>
        </w:rPr>
        <w:t>3.</w:t>
      </w:r>
      <w:r>
        <w:rPr>
          <w:rFonts w:hint="eastAsia" w:ascii="仿宋_GB2312" w:eastAsia="仿宋_GB2312" w:cs="Times New Roman"/>
          <w:b/>
          <w:sz w:val="32"/>
          <w:szCs w:val="32"/>
          <w:lang w:eastAsia="zh-CN"/>
        </w:rPr>
        <w:t>国有资本经营预算</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Times New Roman"/>
          <w:sz w:val="32"/>
          <w:szCs w:val="32"/>
          <w:lang w:val="en-US" w:eastAsia="zh-CN"/>
        </w:rPr>
      </w:pPr>
      <w:r>
        <w:rPr>
          <w:rFonts w:hint="eastAsia" w:ascii="华文仿宋" w:hAnsi="华文仿宋" w:eastAsia="华文仿宋" w:cs="Times New Roman"/>
          <w:sz w:val="32"/>
          <w:szCs w:val="32"/>
          <w:lang w:val="en-US" w:eastAsia="zh-CN"/>
        </w:rPr>
        <w:t>高新区未编列国有资本经营预算。</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eastAsia" w:ascii="仿宋_GB2312" w:eastAsia="仿宋_GB2312" w:cs="Times New Roman"/>
          <w:b/>
          <w:sz w:val="32"/>
          <w:szCs w:val="32"/>
          <w:lang w:val="en-US" w:eastAsia="zh-CN"/>
        </w:rPr>
      </w:pPr>
      <w:r>
        <w:rPr>
          <w:rFonts w:hint="eastAsia" w:ascii="仿宋_GB2312" w:eastAsia="仿宋_GB2312" w:cs="Times New Roman"/>
          <w:b/>
          <w:sz w:val="32"/>
          <w:szCs w:val="32"/>
          <w:lang w:val="en-US" w:eastAsia="zh-CN"/>
        </w:rPr>
        <w:t>4.</w:t>
      </w:r>
      <w:r>
        <w:rPr>
          <w:rFonts w:hint="eastAsia" w:ascii="仿宋_GB2312" w:eastAsia="仿宋_GB2312" w:cs="Times New Roman"/>
          <w:b/>
          <w:sz w:val="32"/>
          <w:szCs w:val="32"/>
          <w:lang w:eastAsia="zh-CN"/>
        </w:rPr>
        <w:t>社会保险基金预算</w:t>
      </w:r>
      <w:r>
        <w:rPr>
          <w:rFonts w:hint="eastAsia" w:ascii="仿宋_GB2312" w:eastAsia="仿宋_GB2312" w:cs="Times New Roman"/>
          <w:b/>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华文仿宋" w:hAnsi="华文仿宋" w:eastAsia="华文仿宋" w:cs="Times New Roman"/>
          <w:sz w:val="32"/>
          <w:szCs w:val="32"/>
          <w:lang w:val="en-US" w:eastAsia="zh-CN"/>
        </w:rPr>
      </w:pPr>
      <w:r>
        <w:rPr>
          <w:rFonts w:hint="eastAsia" w:ascii="华文仿宋" w:hAnsi="华文仿宋" w:eastAsia="华文仿宋" w:cs="Times New Roman"/>
          <w:sz w:val="32"/>
          <w:szCs w:val="32"/>
          <w:lang w:val="en-US" w:eastAsia="zh-CN"/>
        </w:rPr>
        <w:t>高新区未编列社保基金预算。</w:t>
      </w:r>
    </w:p>
    <w:p>
      <w:pPr>
        <w:spacing w:after="0" w:line="620" w:lineRule="exact"/>
        <w:ind w:firstLine="640" w:firstLineChars="200"/>
        <w:jc w:val="both"/>
        <w:rPr>
          <w:rFonts w:ascii="楷体" w:hAnsi="楷体" w:eastAsia="楷体" w:cs="楷体"/>
          <w:sz w:val="32"/>
          <w:szCs w:val="32"/>
        </w:rPr>
      </w:pPr>
      <w:r>
        <w:rPr>
          <w:rFonts w:hint="eastAsia" w:ascii="楷体" w:hAnsi="楷体" w:eastAsia="楷体" w:cs="楷体"/>
          <w:sz w:val="32"/>
          <w:szCs w:val="32"/>
        </w:rPr>
        <w:t>（二）结余结转资金使用情况</w:t>
      </w:r>
    </w:p>
    <w:p>
      <w:pPr>
        <w:spacing w:after="0" w:line="620" w:lineRule="exact"/>
        <w:ind w:firstLine="640" w:firstLineChars="200"/>
        <w:jc w:val="both"/>
        <w:rPr>
          <w:rFonts w:hint="eastAsia" w:ascii="仿宋_GB2312" w:hAnsi="微软雅黑" w:eastAsia="仿宋_GB2312"/>
          <w:sz w:val="32"/>
          <w:szCs w:val="32"/>
          <w:lang w:eastAsia="zh-CN"/>
        </w:rPr>
      </w:pPr>
      <w:r>
        <w:rPr>
          <w:rFonts w:hint="eastAsia" w:ascii="仿宋_GB2312" w:hAnsi="微软雅黑" w:eastAsia="仿宋_GB2312"/>
          <w:sz w:val="32"/>
          <w:szCs w:val="32"/>
        </w:rPr>
        <w:t>20</w:t>
      </w:r>
      <w:r>
        <w:rPr>
          <w:rFonts w:hint="eastAsia" w:ascii="仿宋_GB2312" w:hAnsi="微软雅黑" w:eastAsia="仿宋_GB2312"/>
          <w:sz w:val="32"/>
          <w:szCs w:val="32"/>
          <w:lang w:val="en-US" w:eastAsia="zh-CN"/>
        </w:rPr>
        <w:t>20</w:t>
      </w:r>
      <w:r>
        <w:rPr>
          <w:rFonts w:hint="eastAsia" w:ascii="仿宋_GB2312" w:hAnsi="微软雅黑" w:eastAsia="仿宋_GB2312"/>
          <w:sz w:val="32"/>
          <w:szCs w:val="32"/>
        </w:rPr>
        <w:t>年底一般公共预算</w:t>
      </w:r>
      <w:r>
        <w:rPr>
          <w:rFonts w:hint="eastAsia" w:ascii="仿宋_GB2312" w:hAnsi="微软雅黑" w:eastAsia="仿宋_GB2312"/>
          <w:sz w:val="32"/>
          <w:szCs w:val="32"/>
          <w:lang w:eastAsia="zh-CN"/>
        </w:rPr>
        <w:t>无</w:t>
      </w:r>
      <w:r>
        <w:rPr>
          <w:rFonts w:hint="eastAsia" w:ascii="仿宋_GB2312" w:hAnsi="微软雅黑" w:eastAsia="仿宋_GB2312"/>
          <w:sz w:val="32"/>
          <w:szCs w:val="32"/>
        </w:rPr>
        <w:t>结转结余</w:t>
      </w:r>
      <w:r>
        <w:rPr>
          <w:rFonts w:hint="eastAsia" w:ascii="仿宋_GB2312" w:hAnsi="微软雅黑" w:eastAsia="仿宋_GB2312"/>
          <w:sz w:val="32"/>
          <w:szCs w:val="32"/>
          <w:lang w:eastAsia="zh-CN"/>
        </w:rPr>
        <w:t>。</w:t>
      </w:r>
    </w:p>
    <w:p>
      <w:pPr>
        <w:spacing w:after="0" w:line="620" w:lineRule="exact"/>
        <w:ind w:firstLine="640" w:firstLineChars="200"/>
        <w:jc w:val="both"/>
        <w:rPr>
          <w:rFonts w:ascii="楷体" w:hAnsi="楷体" w:eastAsia="楷体" w:cs="楷体"/>
          <w:sz w:val="32"/>
          <w:szCs w:val="32"/>
        </w:rPr>
      </w:pPr>
      <w:r>
        <w:rPr>
          <w:rFonts w:hint="eastAsia" w:ascii="楷体" w:hAnsi="楷体" w:eastAsia="楷体" w:cs="楷体"/>
          <w:sz w:val="32"/>
          <w:szCs w:val="32"/>
        </w:rPr>
        <w:t>（三）财政转移支付安排执行情况</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华文仿宋" w:hAnsi="华文仿宋" w:eastAsia="华文仿宋" w:cs="Times New Roman"/>
          <w:sz w:val="32"/>
          <w:szCs w:val="32"/>
          <w:lang w:val="en-US" w:eastAsia="zh-CN"/>
        </w:rPr>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年上级下达我</w:t>
      </w:r>
      <w:r>
        <w:rPr>
          <w:rFonts w:hint="eastAsia" w:ascii="仿宋_GB2312" w:eastAsia="仿宋_GB2312"/>
          <w:sz w:val="32"/>
          <w:szCs w:val="32"/>
          <w:lang w:eastAsia="zh-CN"/>
        </w:rPr>
        <w:t>区</w:t>
      </w:r>
      <w:r>
        <w:rPr>
          <w:rFonts w:hint="eastAsia" w:ascii="仿宋_GB2312" w:eastAsia="仿宋_GB2312"/>
          <w:sz w:val="32"/>
          <w:szCs w:val="32"/>
        </w:rPr>
        <w:t>一般公共预算转移支付资金</w:t>
      </w:r>
      <w:r>
        <w:rPr>
          <w:rFonts w:hint="eastAsia" w:ascii="仿宋_GB2312" w:eastAsia="仿宋_GB2312"/>
          <w:sz w:val="32"/>
          <w:szCs w:val="32"/>
          <w:lang w:val="en-US" w:eastAsia="zh-CN"/>
        </w:rPr>
        <w:t>19870万</w:t>
      </w:r>
      <w:r>
        <w:rPr>
          <w:rFonts w:hint="eastAsia" w:ascii="仿宋_GB2312" w:eastAsia="仿宋_GB2312"/>
          <w:sz w:val="32"/>
          <w:szCs w:val="32"/>
        </w:rPr>
        <w:t>元，其中：返还性收入</w:t>
      </w:r>
      <w:r>
        <w:rPr>
          <w:rFonts w:hint="eastAsia" w:ascii="仿宋_GB2312" w:eastAsia="仿宋_GB2312"/>
          <w:sz w:val="32"/>
          <w:szCs w:val="32"/>
          <w:lang w:val="en-US" w:eastAsia="zh-CN"/>
        </w:rPr>
        <w:t>729万</w:t>
      </w:r>
      <w:r>
        <w:rPr>
          <w:rFonts w:hint="eastAsia" w:ascii="仿宋_GB2312" w:eastAsia="仿宋_GB2312"/>
          <w:sz w:val="32"/>
          <w:szCs w:val="32"/>
        </w:rPr>
        <w:t>元，一般性转移支付资金</w:t>
      </w:r>
      <w:r>
        <w:rPr>
          <w:rFonts w:hint="eastAsia" w:ascii="仿宋_GB2312" w:eastAsia="仿宋_GB2312"/>
          <w:sz w:val="32"/>
          <w:szCs w:val="32"/>
          <w:lang w:val="en-US" w:eastAsia="zh-CN"/>
        </w:rPr>
        <w:t>5270万</w:t>
      </w:r>
      <w:r>
        <w:rPr>
          <w:rFonts w:hint="eastAsia" w:ascii="仿宋_GB2312" w:eastAsia="仿宋_GB2312"/>
          <w:sz w:val="32"/>
          <w:szCs w:val="32"/>
        </w:rPr>
        <w:t>元，专项转移支付资金</w:t>
      </w:r>
      <w:r>
        <w:rPr>
          <w:rFonts w:hint="eastAsia" w:ascii="仿宋_GB2312" w:eastAsia="仿宋_GB2312"/>
          <w:sz w:val="32"/>
          <w:szCs w:val="32"/>
          <w:lang w:val="en-US" w:eastAsia="zh-CN"/>
        </w:rPr>
        <w:t>13871万</w:t>
      </w:r>
      <w:r>
        <w:rPr>
          <w:rFonts w:hint="eastAsia" w:ascii="仿宋_GB2312" w:eastAsia="仿宋_GB2312"/>
          <w:sz w:val="32"/>
          <w:szCs w:val="32"/>
        </w:rPr>
        <w:t>元。</w:t>
      </w:r>
    </w:p>
    <w:p>
      <w:pPr>
        <w:numPr>
          <w:ilvl w:val="0"/>
          <w:numId w:val="1"/>
        </w:numPr>
        <w:spacing w:after="0" w:line="620" w:lineRule="exact"/>
        <w:ind w:firstLine="640" w:firstLineChars="200"/>
        <w:jc w:val="both"/>
        <w:rPr>
          <w:rFonts w:hint="eastAsia" w:ascii="楷体" w:hAnsi="楷体" w:eastAsia="楷体" w:cs="楷体"/>
          <w:sz w:val="32"/>
          <w:szCs w:val="32"/>
        </w:rPr>
      </w:pPr>
      <w:r>
        <w:rPr>
          <w:rFonts w:hint="eastAsia" w:ascii="楷体" w:hAnsi="楷体" w:eastAsia="楷体" w:cs="楷体"/>
          <w:sz w:val="32"/>
          <w:szCs w:val="32"/>
        </w:rPr>
        <w:t>政府债务情况</w:t>
      </w:r>
    </w:p>
    <w:p>
      <w:pPr>
        <w:spacing w:after="0" w:line="620" w:lineRule="exact"/>
        <w:ind w:firstLine="643" w:firstLineChars="200"/>
        <w:jc w:val="both"/>
        <w:rPr>
          <w:rFonts w:ascii="仿宋_GB2312" w:eastAsia="仿宋_GB2312"/>
          <w:sz w:val="32"/>
          <w:szCs w:val="32"/>
        </w:rPr>
      </w:pPr>
      <w:r>
        <w:rPr>
          <w:rFonts w:hint="eastAsia" w:ascii="仿宋_GB2312" w:eastAsia="仿宋_GB2312"/>
          <w:b/>
          <w:sz w:val="32"/>
          <w:szCs w:val="32"/>
        </w:rPr>
        <w:t>1.至20</w:t>
      </w:r>
      <w:r>
        <w:rPr>
          <w:rFonts w:hint="eastAsia" w:ascii="仿宋_GB2312" w:eastAsia="仿宋_GB2312"/>
          <w:b/>
          <w:sz w:val="32"/>
          <w:szCs w:val="32"/>
          <w:lang w:val="en-US" w:eastAsia="zh-CN"/>
        </w:rPr>
        <w:t>20</w:t>
      </w:r>
      <w:r>
        <w:rPr>
          <w:rFonts w:hint="eastAsia" w:ascii="仿宋_GB2312" w:eastAsia="仿宋_GB2312"/>
          <w:b/>
          <w:sz w:val="32"/>
          <w:szCs w:val="32"/>
        </w:rPr>
        <w:t>年底政府债务余额情况：</w:t>
      </w:r>
      <w:r>
        <w:rPr>
          <w:rFonts w:hint="eastAsia" w:ascii="仿宋_GB2312" w:eastAsia="仿宋_GB2312"/>
          <w:sz w:val="32"/>
          <w:szCs w:val="32"/>
        </w:rPr>
        <w:t>截至20</w:t>
      </w:r>
      <w:r>
        <w:rPr>
          <w:rFonts w:hint="eastAsia" w:ascii="仿宋_GB2312" w:eastAsia="仿宋_GB2312"/>
          <w:sz w:val="32"/>
          <w:szCs w:val="32"/>
          <w:lang w:val="en-US" w:eastAsia="zh-CN"/>
        </w:rPr>
        <w:t>20</w:t>
      </w:r>
      <w:r>
        <w:rPr>
          <w:rFonts w:hint="eastAsia" w:ascii="仿宋_GB2312" w:eastAsia="仿宋_GB2312"/>
          <w:sz w:val="32"/>
          <w:szCs w:val="32"/>
        </w:rPr>
        <w:t>年底</w:t>
      </w:r>
      <w:r>
        <w:rPr>
          <w:rFonts w:hint="eastAsia" w:ascii="仿宋_GB2312" w:eastAsia="仿宋_GB2312"/>
          <w:sz w:val="32"/>
          <w:szCs w:val="32"/>
          <w:lang w:eastAsia="zh-CN"/>
        </w:rPr>
        <w:t>我区</w:t>
      </w:r>
      <w:r>
        <w:rPr>
          <w:rFonts w:hint="eastAsia" w:ascii="仿宋_GB2312" w:eastAsia="仿宋_GB2312"/>
          <w:sz w:val="32"/>
          <w:szCs w:val="32"/>
        </w:rPr>
        <w:t>政府债务余额</w:t>
      </w:r>
      <w:r>
        <w:rPr>
          <w:rFonts w:hint="eastAsia" w:ascii="仿宋_GB2312" w:eastAsia="仿宋_GB2312"/>
          <w:sz w:val="32"/>
          <w:szCs w:val="32"/>
          <w:lang w:val="en-US" w:eastAsia="zh-CN"/>
        </w:rPr>
        <w:t>115529万</w:t>
      </w:r>
      <w:r>
        <w:rPr>
          <w:rFonts w:hint="eastAsia" w:ascii="仿宋_GB2312" w:eastAsia="仿宋_GB2312"/>
          <w:sz w:val="32"/>
          <w:szCs w:val="32"/>
        </w:rPr>
        <w:t>元，</w:t>
      </w:r>
      <w:r>
        <w:rPr>
          <w:rFonts w:hint="eastAsia" w:ascii="仿宋_GB2312" w:eastAsia="仿宋_GB2312"/>
          <w:sz w:val="32"/>
          <w:szCs w:val="32"/>
          <w:lang w:eastAsia="zh-CN"/>
        </w:rPr>
        <w:t>其中：</w:t>
      </w:r>
      <w:r>
        <w:rPr>
          <w:rFonts w:hint="eastAsia" w:ascii="仿宋" w:hAnsi="仿宋" w:eastAsia="仿宋" w:cs="仿宋"/>
          <w:sz w:val="32"/>
          <w:szCs w:val="32"/>
          <w:lang w:val="en-US" w:eastAsia="zh-CN"/>
        </w:rPr>
        <w:t>1329万元</w:t>
      </w:r>
      <w:r>
        <w:rPr>
          <w:rFonts w:hint="eastAsia" w:ascii="仿宋" w:hAnsi="仿宋" w:eastAsia="仿宋" w:cs="仿宋"/>
          <w:sz w:val="32"/>
          <w:szCs w:val="32"/>
        </w:rPr>
        <w:t>为一般债务，全部用于基础设施建设</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114200万元为专项债务，专项债务中7100万元为土地储备专项债券，54000万元为棚户区改造专项债券，23100万元为其他地方自行试点项目收益专项债券。</w:t>
      </w:r>
      <w:r>
        <w:rPr>
          <w:rFonts w:hint="eastAsia" w:ascii="仿宋_GB2312" w:eastAsia="仿宋_GB2312"/>
          <w:sz w:val="32"/>
          <w:szCs w:val="32"/>
        </w:rPr>
        <w:t>债务结构比较合理，风险整体可控，各项风险指标均处于风险警戒线以下。</w:t>
      </w:r>
    </w:p>
    <w:p>
      <w:pPr>
        <w:spacing w:after="0" w:line="620" w:lineRule="exact"/>
        <w:ind w:firstLine="643" w:firstLineChars="200"/>
        <w:jc w:val="both"/>
        <w:rPr>
          <w:rFonts w:hint="eastAsia" w:ascii="仿宋" w:hAnsi="仿宋" w:eastAsia="仿宋"/>
          <w:sz w:val="32"/>
          <w:szCs w:val="32"/>
          <w:highlight w:val="none"/>
          <w:lang w:eastAsia="zh-CN"/>
        </w:rPr>
      </w:pPr>
      <w:r>
        <w:rPr>
          <w:rFonts w:hint="eastAsia" w:ascii="仿宋_GB2312" w:eastAsia="仿宋_GB2312"/>
          <w:b/>
          <w:sz w:val="32"/>
          <w:szCs w:val="32"/>
          <w:highlight w:val="none"/>
        </w:rPr>
        <w:t>2.20</w:t>
      </w:r>
      <w:r>
        <w:rPr>
          <w:rFonts w:hint="eastAsia" w:ascii="仿宋_GB2312" w:eastAsia="仿宋_GB2312"/>
          <w:b/>
          <w:sz w:val="32"/>
          <w:szCs w:val="32"/>
          <w:highlight w:val="none"/>
          <w:lang w:val="en-US" w:eastAsia="zh-CN"/>
        </w:rPr>
        <w:t>20</w:t>
      </w:r>
      <w:r>
        <w:rPr>
          <w:rFonts w:hint="eastAsia" w:ascii="仿宋_GB2312" w:eastAsia="仿宋_GB2312"/>
          <w:b/>
          <w:sz w:val="32"/>
          <w:szCs w:val="32"/>
          <w:highlight w:val="none"/>
        </w:rPr>
        <w:t>年新增地方政府债券转贷情况：</w:t>
      </w:r>
      <w:r>
        <w:rPr>
          <w:rFonts w:hint="eastAsia" w:ascii="仿宋" w:hAnsi="仿宋" w:eastAsia="仿宋"/>
          <w:sz w:val="32"/>
          <w:szCs w:val="32"/>
          <w:highlight w:val="none"/>
        </w:rPr>
        <w:t>2</w:t>
      </w:r>
      <w:r>
        <w:rPr>
          <w:rFonts w:ascii="仿宋" w:hAnsi="仿宋" w:eastAsia="仿宋"/>
          <w:sz w:val="32"/>
          <w:szCs w:val="32"/>
          <w:highlight w:val="none"/>
        </w:rPr>
        <w:t>0</w:t>
      </w:r>
      <w:r>
        <w:rPr>
          <w:rFonts w:hint="eastAsia" w:ascii="仿宋" w:hAnsi="仿宋" w:eastAsia="仿宋"/>
          <w:sz w:val="32"/>
          <w:szCs w:val="32"/>
          <w:highlight w:val="none"/>
          <w:lang w:val="en-US" w:eastAsia="zh-CN"/>
        </w:rPr>
        <w:t>20</w:t>
      </w:r>
      <w:r>
        <w:rPr>
          <w:rFonts w:hint="eastAsia" w:ascii="仿宋" w:hAnsi="仿宋" w:eastAsia="仿宋"/>
          <w:sz w:val="32"/>
          <w:szCs w:val="32"/>
          <w:highlight w:val="none"/>
        </w:rPr>
        <w:t>年</w:t>
      </w:r>
      <w:r>
        <w:rPr>
          <w:rFonts w:hint="eastAsia" w:ascii="仿宋" w:hAnsi="仿宋" w:eastAsia="仿宋"/>
          <w:sz w:val="32"/>
          <w:szCs w:val="32"/>
          <w:highlight w:val="none"/>
          <w:lang w:eastAsia="zh-CN"/>
        </w:rPr>
        <w:t>上级</w:t>
      </w:r>
      <w:r>
        <w:rPr>
          <w:rFonts w:hint="eastAsia" w:ascii="仿宋" w:hAnsi="仿宋" w:eastAsia="仿宋"/>
          <w:sz w:val="32"/>
          <w:szCs w:val="32"/>
          <w:highlight w:val="none"/>
        </w:rPr>
        <w:t>共下达我</w:t>
      </w:r>
      <w:r>
        <w:rPr>
          <w:rFonts w:hint="eastAsia" w:ascii="仿宋" w:hAnsi="仿宋" w:eastAsia="仿宋"/>
          <w:sz w:val="32"/>
          <w:szCs w:val="32"/>
          <w:highlight w:val="none"/>
          <w:lang w:eastAsia="zh-CN"/>
        </w:rPr>
        <w:t>区</w:t>
      </w:r>
      <w:r>
        <w:rPr>
          <w:rFonts w:hint="eastAsia" w:ascii="仿宋" w:hAnsi="仿宋" w:eastAsia="仿宋"/>
          <w:sz w:val="32"/>
          <w:szCs w:val="32"/>
          <w:highlight w:val="none"/>
        </w:rPr>
        <w:t>2</w:t>
      </w:r>
      <w:r>
        <w:rPr>
          <w:rFonts w:ascii="仿宋" w:hAnsi="仿宋" w:eastAsia="仿宋"/>
          <w:sz w:val="32"/>
          <w:szCs w:val="32"/>
          <w:highlight w:val="none"/>
        </w:rPr>
        <w:t>0</w:t>
      </w:r>
      <w:r>
        <w:rPr>
          <w:rFonts w:hint="eastAsia" w:ascii="仿宋" w:hAnsi="仿宋" w:eastAsia="仿宋"/>
          <w:sz w:val="32"/>
          <w:szCs w:val="32"/>
          <w:highlight w:val="none"/>
          <w:lang w:val="en-US" w:eastAsia="zh-CN"/>
        </w:rPr>
        <w:t>20</w:t>
      </w:r>
      <w:r>
        <w:rPr>
          <w:rFonts w:hint="eastAsia" w:ascii="仿宋" w:hAnsi="仿宋" w:eastAsia="仿宋"/>
          <w:sz w:val="32"/>
          <w:szCs w:val="32"/>
          <w:highlight w:val="none"/>
        </w:rPr>
        <w:t>年地方政府</w:t>
      </w:r>
      <w:r>
        <w:rPr>
          <w:rFonts w:hint="eastAsia" w:ascii="仿宋" w:hAnsi="仿宋" w:eastAsia="仿宋"/>
          <w:sz w:val="32"/>
          <w:szCs w:val="32"/>
          <w:highlight w:val="none"/>
          <w:lang w:eastAsia="zh-CN"/>
        </w:rPr>
        <w:t>偿还类</w:t>
      </w:r>
      <w:r>
        <w:rPr>
          <w:rFonts w:hint="eastAsia" w:ascii="仿宋" w:hAnsi="仿宋" w:eastAsia="仿宋"/>
          <w:sz w:val="32"/>
          <w:szCs w:val="32"/>
          <w:highlight w:val="none"/>
        </w:rPr>
        <w:t>债券</w:t>
      </w:r>
      <w:r>
        <w:rPr>
          <w:rFonts w:hint="eastAsia" w:ascii="仿宋" w:hAnsi="仿宋" w:eastAsia="仿宋"/>
          <w:sz w:val="32"/>
          <w:szCs w:val="32"/>
          <w:highlight w:val="none"/>
          <w:lang w:val="en-US" w:eastAsia="zh-CN"/>
        </w:rPr>
        <w:t>60万</w:t>
      </w:r>
      <w:r>
        <w:rPr>
          <w:rFonts w:hint="eastAsia" w:ascii="仿宋" w:hAnsi="仿宋" w:eastAsia="仿宋"/>
          <w:sz w:val="32"/>
          <w:szCs w:val="32"/>
          <w:highlight w:val="none"/>
        </w:rPr>
        <w:t>元，</w:t>
      </w:r>
      <w:r>
        <w:rPr>
          <w:rFonts w:hint="eastAsia" w:ascii="仿宋" w:hAnsi="仿宋" w:eastAsia="仿宋"/>
          <w:sz w:val="32"/>
          <w:szCs w:val="32"/>
          <w:highlight w:val="none"/>
          <w:lang w:eastAsia="zh-CN"/>
        </w:rPr>
        <w:t>均为</w:t>
      </w:r>
      <w:r>
        <w:rPr>
          <w:rFonts w:hint="eastAsia" w:ascii="仿宋" w:hAnsi="仿宋" w:eastAsia="仿宋"/>
          <w:sz w:val="32"/>
          <w:szCs w:val="32"/>
          <w:highlight w:val="none"/>
        </w:rPr>
        <w:t>一般债券</w:t>
      </w:r>
      <w:r>
        <w:rPr>
          <w:rFonts w:hint="eastAsia" w:ascii="仿宋" w:hAnsi="仿宋" w:eastAsia="仿宋"/>
          <w:sz w:val="32"/>
          <w:szCs w:val="32"/>
          <w:highlight w:val="none"/>
          <w:lang w:eastAsia="zh-CN"/>
        </w:rPr>
        <w:t>。</w:t>
      </w:r>
    </w:p>
    <w:p>
      <w:pPr>
        <w:numPr>
          <w:ilvl w:val="0"/>
          <w:numId w:val="0"/>
        </w:numPr>
        <w:spacing w:after="0" w:line="620" w:lineRule="exact"/>
        <w:ind w:firstLine="643" w:firstLineChars="200"/>
        <w:jc w:val="both"/>
        <w:rPr>
          <w:rFonts w:hint="eastAsia" w:ascii="仿宋" w:hAnsi="仿宋" w:eastAsia="仿宋"/>
          <w:sz w:val="32"/>
          <w:szCs w:val="32"/>
          <w:highlight w:val="none"/>
          <w:lang w:eastAsia="zh-CN"/>
        </w:rPr>
      </w:pPr>
      <w:r>
        <w:rPr>
          <w:rFonts w:hint="eastAsia" w:ascii="仿宋_GB2312" w:eastAsia="仿宋_GB2312"/>
          <w:b/>
          <w:sz w:val="32"/>
          <w:szCs w:val="32"/>
          <w:highlight w:val="none"/>
          <w:lang w:val="en-US" w:eastAsia="zh-CN"/>
        </w:rPr>
        <w:t>3.</w:t>
      </w:r>
      <w:r>
        <w:rPr>
          <w:rFonts w:hint="eastAsia" w:ascii="仿宋_GB2312" w:eastAsia="仿宋_GB2312"/>
          <w:b/>
          <w:sz w:val="32"/>
          <w:szCs w:val="32"/>
          <w:highlight w:val="none"/>
        </w:rPr>
        <w:t>地方政府债券偿还情况：</w:t>
      </w:r>
      <w:r>
        <w:rPr>
          <w:rFonts w:hint="eastAsia" w:ascii="仿宋" w:hAnsi="仿宋" w:eastAsia="仿宋"/>
          <w:sz w:val="32"/>
          <w:szCs w:val="32"/>
          <w:highlight w:val="none"/>
        </w:rPr>
        <w:t>2</w:t>
      </w:r>
      <w:r>
        <w:rPr>
          <w:rFonts w:ascii="仿宋" w:hAnsi="仿宋" w:eastAsia="仿宋"/>
          <w:sz w:val="32"/>
          <w:szCs w:val="32"/>
          <w:highlight w:val="none"/>
        </w:rPr>
        <w:t>0</w:t>
      </w:r>
      <w:r>
        <w:rPr>
          <w:rFonts w:hint="eastAsia" w:ascii="仿宋" w:hAnsi="仿宋" w:eastAsia="仿宋"/>
          <w:sz w:val="32"/>
          <w:szCs w:val="32"/>
          <w:highlight w:val="none"/>
          <w:lang w:val="en-US" w:eastAsia="zh-CN"/>
        </w:rPr>
        <w:t>20</w:t>
      </w:r>
      <w:r>
        <w:rPr>
          <w:rFonts w:hint="eastAsia" w:ascii="仿宋" w:hAnsi="仿宋" w:eastAsia="仿宋"/>
          <w:sz w:val="32"/>
          <w:szCs w:val="32"/>
          <w:highlight w:val="none"/>
        </w:rPr>
        <w:t>年</w:t>
      </w:r>
      <w:r>
        <w:rPr>
          <w:rFonts w:hint="eastAsia" w:ascii="仿宋" w:hAnsi="仿宋" w:eastAsia="仿宋"/>
          <w:sz w:val="32"/>
          <w:szCs w:val="32"/>
          <w:highlight w:val="none"/>
          <w:lang w:eastAsia="zh-CN"/>
        </w:rPr>
        <w:t>我区</w:t>
      </w:r>
      <w:r>
        <w:rPr>
          <w:rFonts w:hint="eastAsia" w:ascii="仿宋" w:hAnsi="仿宋" w:eastAsia="仿宋"/>
          <w:sz w:val="32"/>
          <w:szCs w:val="32"/>
          <w:highlight w:val="none"/>
        </w:rPr>
        <w:t>用于偿还地方政府债券本息支出合计</w:t>
      </w:r>
      <w:r>
        <w:rPr>
          <w:rFonts w:hint="eastAsia" w:ascii="仿宋" w:hAnsi="仿宋" w:eastAsia="仿宋"/>
          <w:sz w:val="32"/>
          <w:szCs w:val="32"/>
          <w:highlight w:val="none"/>
          <w:lang w:val="en-US" w:eastAsia="zh-CN"/>
        </w:rPr>
        <w:t>60</w:t>
      </w:r>
      <w:r>
        <w:rPr>
          <w:rFonts w:hint="eastAsia" w:ascii="仿宋" w:hAnsi="仿宋" w:eastAsia="仿宋"/>
          <w:sz w:val="32"/>
          <w:szCs w:val="32"/>
          <w:highlight w:val="none"/>
          <w:lang w:eastAsia="zh-CN"/>
        </w:rPr>
        <w:t>万</w:t>
      </w:r>
      <w:r>
        <w:rPr>
          <w:rFonts w:hint="eastAsia" w:ascii="仿宋" w:hAnsi="仿宋" w:eastAsia="仿宋"/>
          <w:sz w:val="32"/>
          <w:szCs w:val="32"/>
          <w:highlight w:val="none"/>
        </w:rPr>
        <w:t>元，</w:t>
      </w:r>
      <w:r>
        <w:rPr>
          <w:rFonts w:hint="eastAsia" w:ascii="仿宋" w:hAnsi="仿宋" w:eastAsia="仿宋"/>
          <w:sz w:val="32"/>
          <w:szCs w:val="32"/>
          <w:highlight w:val="none"/>
          <w:lang w:eastAsia="zh-CN"/>
        </w:rPr>
        <w:t>均为还本支出。</w:t>
      </w:r>
    </w:p>
    <w:p>
      <w:pPr>
        <w:numPr>
          <w:ilvl w:val="0"/>
          <w:numId w:val="0"/>
        </w:numPr>
        <w:spacing w:after="0" w:line="620" w:lineRule="exact"/>
        <w:ind w:firstLine="643" w:firstLineChars="200"/>
        <w:jc w:val="both"/>
        <w:rPr>
          <w:rFonts w:hint="default" w:ascii="仿宋" w:hAnsi="仿宋" w:eastAsia="仿宋"/>
          <w:color w:val="FF0000"/>
          <w:sz w:val="32"/>
          <w:szCs w:val="32"/>
          <w:lang w:val="en-US" w:eastAsia="zh-CN"/>
        </w:rPr>
      </w:pPr>
      <w:r>
        <w:rPr>
          <w:rFonts w:hint="eastAsia" w:ascii="仿宋_GB2312" w:eastAsia="仿宋_GB2312"/>
          <w:b/>
          <w:color w:val="auto"/>
          <w:sz w:val="32"/>
          <w:szCs w:val="32"/>
        </w:rPr>
        <w:t>4.政府债务管理的措施制度情况：</w:t>
      </w:r>
      <w:r>
        <w:rPr>
          <w:rFonts w:hint="eastAsia" w:ascii="仿宋" w:hAnsi="仿宋" w:eastAsia="仿宋"/>
          <w:sz w:val="32"/>
          <w:szCs w:val="32"/>
          <w:lang w:eastAsia="zh-CN"/>
        </w:rPr>
        <w:t>在上级政府领导下，建立健全债券安排协调机制，加强与发展改革部门及金融单位之间的沟通衔接，支持做好政府债券债务的配套管理工作，并加大政府性债务信息公开力度，研究建立正向激励机制，强化责任意识，分工协作推进政府性债务的化解工作，加强日常管控，牢守风险底线。</w:t>
      </w:r>
    </w:p>
    <w:p>
      <w:pPr>
        <w:spacing w:after="0" w:line="620" w:lineRule="exact"/>
        <w:ind w:firstLine="640" w:firstLineChars="200"/>
        <w:jc w:val="both"/>
        <w:rPr>
          <w:rFonts w:ascii="楷体" w:hAnsi="楷体" w:eastAsia="楷体" w:cs="楷体"/>
          <w:color w:val="auto"/>
          <w:sz w:val="32"/>
          <w:szCs w:val="32"/>
        </w:rPr>
      </w:pPr>
      <w:r>
        <w:rPr>
          <w:rFonts w:hint="eastAsia" w:ascii="楷体" w:hAnsi="楷体" w:eastAsia="楷体" w:cs="楷体"/>
          <w:color w:val="auto"/>
          <w:sz w:val="32"/>
          <w:szCs w:val="32"/>
        </w:rPr>
        <w:t>（五）财政资金绩效评价情况</w:t>
      </w:r>
    </w:p>
    <w:p>
      <w:pPr>
        <w:spacing w:after="0" w:line="620" w:lineRule="exac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rPr>
        <w:t>财政</w:t>
      </w:r>
      <w:r>
        <w:rPr>
          <w:rFonts w:hint="eastAsia" w:ascii="仿宋_GB2312" w:eastAsia="仿宋_GB2312"/>
          <w:color w:val="auto"/>
          <w:sz w:val="32"/>
          <w:szCs w:val="32"/>
          <w:lang w:eastAsia="zh-CN"/>
        </w:rPr>
        <w:t>资金</w:t>
      </w:r>
      <w:r>
        <w:rPr>
          <w:rFonts w:hint="eastAsia" w:ascii="仿宋_GB2312" w:eastAsia="仿宋_GB2312"/>
          <w:color w:val="auto"/>
          <w:sz w:val="32"/>
          <w:szCs w:val="32"/>
        </w:rPr>
        <w:t>绩效评价是公共财政体系的重要组成部分,对提高财政资金使用效益和管理水</w:t>
      </w:r>
      <w:r>
        <w:rPr>
          <w:rFonts w:hint="eastAsia" w:ascii="仿宋_GB2312" w:eastAsia="仿宋_GB2312"/>
          <w:color w:val="auto"/>
          <w:sz w:val="32"/>
          <w:szCs w:val="32"/>
          <w:lang w:eastAsia="zh-CN"/>
        </w:rPr>
        <w:t>平具有重要意义。我区</w:t>
      </w:r>
      <w:r>
        <w:rPr>
          <w:rFonts w:hint="eastAsia" w:ascii="仿宋_GB2312" w:eastAsia="仿宋_GB2312"/>
          <w:color w:val="auto"/>
          <w:sz w:val="32"/>
          <w:szCs w:val="32"/>
        </w:rPr>
        <w:t>严格按照年初预算会议要求，各预算部门首先对各</w:t>
      </w:r>
      <w:r>
        <w:rPr>
          <w:rFonts w:hint="eastAsia" w:ascii="仿宋_GB2312" w:eastAsia="仿宋_GB2312"/>
          <w:color w:val="auto"/>
          <w:sz w:val="32"/>
          <w:szCs w:val="32"/>
          <w:lang w:eastAsia="zh-CN"/>
        </w:rPr>
        <w:t>区财政</w:t>
      </w:r>
      <w:r>
        <w:rPr>
          <w:rFonts w:hint="eastAsia" w:ascii="仿宋_GB2312" w:eastAsia="仿宋_GB2312"/>
          <w:color w:val="auto"/>
          <w:sz w:val="32"/>
          <w:szCs w:val="32"/>
        </w:rPr>
        <w:t>预算上报财政专项资金绩效目标进行申报和自我评价，在预算审查环节，通过加强对预算支出绩效的审核、预算批复和相关政策进行补充完善，为实施财政专项资金绩效评价建立</w:t>
      </w:r>
      <w:r>
        <w:rPr>
          <w:rFonts w:hint="eastAsia" w:ascii="仿宋_GB2312" w:eastAsia="仿宋_GB2312"/>
          <w:color w:val="auto"/>
          <w:sz w:val="32"/>
          <w:szCs w:val="32"/>
          <w:lang w:eastAsia="zh-CN"/>
        </w:rPr>
        <w:t>了完善的</w:t>
      </w:r>
      <w:r>
        <w:rPr>
          <w:rFonts w:hint="eastAsia" w:ascii="仿宋_GB2312" w:eastAsia="仿宋_GB2312"/>
          <w:color w:val="auto"/>
          <w:sz w:val="32"/>
          <w:szCs w:val="32"/>
        </w:rPr>
        <w:t>数据库。结合预算编制程序，评价及综合平衡，对不合法、不合理、不科学的预算支出计划予以调整，以此来提出科学、合理的支出计划。</w:t>
      </w:r>
      <w:r>
        <w:rPr>
          <w:rFonts w:hint="eastAsia" w:ascii="仿宋_GB2312" w:eastAsia="仿宋_GB2312"/>
          <w:color w:val="auto"/>
          <w:sz w:val="32"/>
          <w:szCs w:val="32"/>
          <w:lang w:eastAsia="zh-CN"/>
        </w:rPr>
        <w:t>同时，</w:t>
      </w:r>
      <w:r>
        <w:rPr>
          <w:rFonts w:hint="eastAsia" w:ascii="仿宋_GB2312" w:eastAsia="仿宋_GB2312"/>
          <w:color w:val="auto"/>
          <w:sz w:val="32"/>
          <w:szCs w:val="32"/>
        </w:rPr>
        <w:t>加强绩效评价结果应用，把资金使用绩效与资金分配相挂钩，强化绩效责任硬约束。</w:t>
      </w:r>
    </w:p>
    <w:p>
      <w:pPr>
        <w:spacing w:after="0" w:line="620" w:lineRule="exact"/>
        <w:ind w:firstLine="640" w:firstLineChars="200"/>
        <w:jc w:val="both"/>
        <w:rPr>
          <w:rFonts w:ascii="楷体" w:hAnsi="楷体" w:eastAsia="楷体" w:cs="楷体"/>
          <w:sz w:val="32"/>
          <w:szCs w:val="32"/>
          <w:highlight w:val="none"/>
        </w:rPr>
      </w:pPr>
      <w:r>
        <w:rPr>
          <w:rFonts w:hint="eastAsia" w:ascii="楷体" w:hAnsi="楷体" w:eastAsia="楷体" w:cs="楷体"/>
          <w:sz w:val="32"/>
          <w:szCs w:val="32"/>
          <w:highlight w:val="none"/>
        </w:rPr>
        <w:t>（六）预算稳定调节基金、预算周转金情况</w:t>
      </w:r>
    </w:p>
    <w:p>
      <w:pPr>
        <w:spacing w:after="0" w:line="620" w:lineRule="exact"/>
        <w:ind w:firstLine="640" w:firstLineChars="200"/>
        <w:jc w:val="both"/>
        <w:rPr>
          <w:rFonts w:hint="eastAsia" w:ascii="楷体" w:hAnsi="楷体" w:eastAsia="楷体" w:cs="楷体"/>
          <w:sz w:val="32"/>
          <w:szCs w:val="32"/>
          <w:highlight w:val="none"/>
        </w:rPr>
      </w:pPr>
      <w:r>
        <w:rPr>
          <w:rFonts w:hint="eastAsia" w:ascii="仿宋_GB2312" w:hAnsi="微软雅黑" w:eastAsia="仿宋_GB2312"/>
          <w:color w:val="auto"/>
          <w:sz w:val="32"/>
          <w:szCs w:val="32"/>
          <w:highlight w:val="none"/>
        </w:rPr>
        <w:t>20</w:t>
      </w:r>
      <w:r>
        <w:rPr>
          <w:rFonts w:hint="eastAsia" w:ascii="仿宋_GB2312" w:hAnsi="微软雅黑" w:eastAsia="仿宋_GB2312"/>
          <w:color w:val="auto"/>
          <w:sz w:val="32"/>
          <w:szCs w:val="32"/>
          <w:highlight w:val="none"/>
          <w:lang w:val="en-US" w:eastAsia="zh-CN"/>
        </w:rPr>
        <w:t>20</w:t>
      </w:r>
      <w:r>
        <w:rPr>
          <w:rFonts w:hint="eastAsia" w:ascii="仿宋_GB2312" w:hAnsi="微软雅黑" w:eastAsia="仿宋_GB2312"/>
          <w:color w:val="auto"/>
          <w:sz w:val="32"/>
          <w:szCs w:val="32"/>
          <w:highlight w:val="none"/>
        </w:rPr>
        <w:t>年</w:t>
      </w:r>
      <w:r>
        <w:rPr>
          <w:rFonts w:hint="eastAsia" w:ascii="仿宋_GB2312" w:hAnsi="微软雅黑" w:eastAsia="仿宋_GB2312"/>
          <w:color w:val="auto"/>
          <w:sz w:val="32"/>
          <w:szCs w:val="32"/>
          <w:highlight w:val="none"/>
          <w:lang w:eastAsia="zh-CN"/>
        </w:rPr>
        <w:t>我区</w:t>
      </w:r>
      <w:r>
        <w:rPr>
          <w:rFonts w:hint="eastAsia" w:ascii="仿宋_GB2312" w:hAnsi="微软雅黑" w:eastAsia="仿宋_GB2312"/>
          <w:color w:val="auto"/>
          <w:sz w:val="32"/>
          <w:szCs w:val="32"/>
          <w:highlight w:val="none"/>
        </w:rPr>
        <w:t>预算稳定调节基金</w:t>
      </w:r>
      <w:r>
        <w:rPr>
          <w:rFonts w:hint="eastAsia" w:ascii="仿宋_GB2312" w:hAnsi="微软雅黑" w:eastAsia="仿宋_GB2312"/>
          <w:color w:val="auto"/>
          <w:sz w:val="32"/>
          <w:szCs w:val="32"/>
          <w:highlight w:val="none"/>
          <w:lang w:eastAsia="zh-CN"/>
        </w:rPr>
        <w:t>余额为</w:t>
      </w:r>
      <w:r>
        <w:rPr>
          <w:rFonts w:hint="eastAsia" w:ascii="仿宋_GB2312" w:hAnsi="微软雅黑" w:eastAsia="仿宋_GB2312"/>
          <w:color w:val="auto"/>
          <w:sz w:val="32"/>
          <w:szCs w:val="32"/>
          <w:highlight w:val="none"/>
          <w:lang w:val="en-US" w:eastAsia="zh-CN"/>
        </w:rPr>
        <w:t>4778</w:t>
      </w:r>
      <w:r>
        <w:rPr>
          <w:rFonts w:hint="eastAsia" w:ascii="仿宋_GB2312" w:hAnsi="微软雅黑" w:eastAsia="仿宋_GB2312"/>
          <w:color w:val="auto"/>
          <w:sz w:val="32"/>
          <w:szCs w:val="32"/>
          <w:highlight w:val="none"/>
        </w:rPr>
        <w:t>万元，</w:t>
      </w:r>
      <w:r>
        <w:rPr>
          <w:rFonts w:hint="eastAsia" w:ascii="仿宋_GB2312" w:hAnsi="微软雅黑" w:eastAsia="仿宋_GB2312"/>
          <w:color w:val="auto"/>
          <w:sz w:val="32"/>
          <w:szCs w:val="32"/>
          <w:highlight w:val="none"/>
          <w:lang w:eastAsia="zh-CN"/>
        </w:rPr>
        <w:t>本年度动用</w:t>
      </w:r>
      <w:r>
        <w:rPr>
          <w:rFonts w:hint="eastAsia" w:ascii="仿宋_GB2312" w:hAnsi="微软雅黑" w:eastAsia="仿宋_GB2312"/>
          <w:color w:val="auto"/>
          <w:sz w:val="32"/>
          <w:szCs w:val="32"/>
          <w:highlight w:val="none"/>
          <w:lang w:val="en-US" w:eastAsia="zh-CN"/>
        </w:rPr>
        <w:t>3万元；</w:t>
      </w:r>
      <w:r>
        <w:rPr>
          <w:rFonts w:hint="eastAsia" w:ascii="仿宋_GB2312" w:hAnsi="微软雅黑" w:eastAsia="仿宋_GB2312"/>
          <w:color w:val="auto"/>
          <w:sz w:val="32"/>
          <w:szCs w:val="32"/>
          <w:highlight w:val="none"/>
        </w:rPr>
        <w:t>预算周转金</w:t>
      </w:r>
      <w:r>
        <w:rPr>
          <w:rFonts w:hint="eastAsia" w:ascii="仿宋_GB2312" w:hAnsi="微软雅黑" w:eastAsia="仿宋_GB2312"/>
          <w:color w:val="auto"/>
          <w:sz w:val="32"/>
          <w:szCs w:val="32"/>
          <w:highlight w:val="none"/>
          <w:lang w:eastAsia="zh-CN"/>
        </w:rPr>
        <w:t>余额为</w:t>
      </w:r>
      <w:r>
        <w:rPr>
          <w:rFonts w:hint="eastAsia" w:ascii="仿宋_GB2312" w:hAnsi="微软雅黑" w:eastAsia="仿宋_GB2312"/>
          <w:color w:val="auto"/>
          <w:sz w:val="32"/>
          <w:szCs w:val="32"/>
          <w:highlight w:val="none"/>
          <w:lang w:val="en-US" w:eastAsia="zh-CN"/>
        </w:rPr>
        <w:t>950</w:t>
      </w:r>
      <w:r>
        <w:rPr>
          <w:rFonts w:hint="eastAsia" w:ascii="仿宋_GB2312" w:hAnsi="微软雅黑" w:eastAsia="仿宋_GB2312"/>
          <w:color w:val="auto"/>
          <w:sz w:val="32"/>
          <w:szCs w:val="32"/>
          <w:highlight w:val="none"/>
        </w:rPr>
        <w:t>万元，未动用。</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Chars="200"/>
        <w:jc w:val="both"/>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（七）落实市人大决议和主要财政工作情况</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华文仿宋" w:hAnsi="华文仿宋" w:eastAsia="华文仿宋" w:cs="Times New Roman"/>
          <w:sz w:val="32"/>
          <w:szCs w:val="32"/>
        </w:rPr>
      </w:pPr>
      <w:r>
        <w:rPr>
          <w:rFonts w:hint="eastAsia" w:ascii="华文仿宋" w:hAnsi="华文仿宋" w:eastAsia="华文仿宋" w:cs="Times New Roman"/>
          <w:sz w:val="32"/>
          <w:szCs w:val="32"/>
          <w:lang w:val="en-US" w:eastAsia="zh-CN"/>
        </w:rPr>
        <w:t>2020年</w:t>
      </w:r>
      <w:r>
        <w:rPr>
          <w:rFonts w:hint="eastAsia" w:ascii="华文仿宋" w:hAnsi="华文仿宋" w:eastAsia="华文仿宋" w:cs="Times New Roman"/>
          <w:sz w:val="32"/>
          <w:szCs w:val="32"/>
        </w:rPr>
        <w:t>在市委、市政府的正确领导和市人大的监督指导下，</w:t>
      </w:r>
      <w:r>
        <w:rPr>
          <w:rFonts w:hint="eastAsia" w:ascii="华文仿宋" w:hAnsi="华文仿宋" w:eastAsia="华文仿宋" w:cs="Times New Roman"/>
          <w:sz w:val="32"/>
          <w:szCs w:val="32"/>
          <w:lang w:eastAsia="zh-CN"/>
        </w:rPr>
        <w:t>我区</w:t>
      </w:r>
      <w:r>
        <w:rPr>
          <w:rFonts w:hint="eastAsia" w:ascii="华文仿宋" w:hAnsi="华文仿宋" w:eastAsia="华文仿宋" w:cs="Times New Roman"/>
          <w:sz w:val="32"/>
          <w:szCs w:val="32"/>
        </w:rPr>
        <w:t>全面贯彻</w:t>
      </w:r>
      <w:r>
        <w:rPr>
          <w:rFonts w:hint="eastAsia" w:ascii="华文仿宋" w:hAnsi="华文仿宋" w:eastAsia="华文仿宋" w:cs="Times New Roman"/>
          <w:sz w:val="32"/>
          <w:szCs w:val="32"/>
          <w:lang w:eastAsia="zh-CN"/>
        </w:rPr>
        <w:t>上级</w:t>
      </w:r>
      <w:r>
        <w:rPr>
          <w:rFonts w:hint="eastAsia" w:ascii="华文仿宋" w:hAnsi="华文仿宋" w:eastAsia="华文仿宋" w:cs="Times New Roman"/>
          <w:sz w:val="32"/>
          <w:szCs w:val="32"/>
        </w:rPr>
        <w:t>各项决策部署，牢牢把握稳中求进的总基调，努力组织各项收入，调整优化支出结构，压缩一般性支出，集中财力办大事，经过全区上下的共同努力，全区财政预算执行情况良好。</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华文仿宋" w:hAnsi="华文仿宋" w:eastAsia="华文仿宋" w:cs="Times New Roman"/>
          <w:sz w:val="32"/>
          <w:szCs w:val="32"/>
          <w:lang w:val="en-US" w:eastAsia="zh-CN"/>
        </w:rPr>
      </w:pPr>
      <w:r>
        <w:rPr>
          <w:rFonts w:hint="eastAsia" w:ascii="仿宋_GB2312" w:eastAsia="仿宋_GB2312" w:cs="Times New Roman"/>
          <w:b/>
          <w:sz w:val="32"/>
          <w:szCs w:val="32"/>
          <w:lang w:val="en-US" w:eastAsia="zh-CN"/>
        </w:rPr>
        <w:t>1、</w:t>
      </w:r>
      <w:r>
        <w:rPr>
          <w:rFonts w:hint="eastAsia" w:ascii="仿宋_GB2312" w:eastAsia="仿宋_GB2312" w:cs="Times New Roman"/>
          <w:b/>
          <w:sz w:val="32"/>
          <w:szCs w:val="32"/>
          <w:lang w:eastAsia="zh-CN"/>
        </w:rPr>
        <w:t>加强税源建设，财政收入稳定增长。</w:t>
      </w:r>
      <w:r>
        <w:rPr>
          <w:rFonts w:hint="eastAsia" w:ascii="华文仿宋" w:hAnsi="华文仿宋" w:eastAsia="华文仿宋" w:cs="Times New Roman"/>
          <w:sz w:val="32"/>
          <w:szCs w:val="32"/>
          <w:lang w:eastAsia="zh-CN"/>
        </w:rPr>
        <w:t>我区坚持把抓收入稳增长作为第一要务，加强税费征管，一方面，加大对增值税、企业所得税等重点税种的调控，强化对耕地占用税等小税种的管理，另一方面，深入推进综合治税工作，健全综合治税长效机制，提升税收共治水平，促进税收与经济协调增长，努力做到应收尽收。</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eastAsia" w:ascii="华文仿宋" w:hAnsi="华文仿宋" w:eastAsia="华文仿宋" w:cs="Times New Roman"/>
          <w:sz w:val="32"/>
          <w:szCs w:val="32"/>
          <w:lang w:val="en-US" w:eastAsia="zh-CN"/>
        </w:rPr>
      </w:pPr>
      <w:r>
        <w:rPr>
          <w:rFonts w:hint="eastAsia" w:ascii="仿宋_GB2312" w:eastAsia="仿宋_GB2312" w:cs="Times New Roman"/>
          <w:b/>
          <w:sz w:val="32"/>
          <w:szCs w:val="32"/>
          <w:lang w:val="en-US" w:eastAsia="zh-CN"/>
        </w:rPr>
        <w:t>2、积极推进科技创新驱动发展。</w:t>
      </w:r>
      <w:r>
        <w:rPr>
          <w:rFonts w:hint="eastAsia" w:ascii="华文仿宋" w:hAnsi="华文仿宋" w:eastAsia="华文仿宋" w:cs="Times New Roman"/>
          <w:sz w:val="32"/>
        </w:rPr>
        <w:t>全年完成科技支出</w:t>
      </w:r>
      <w:r>
        <w:rPr>
          <w:rFonts w:hint="eastAsia" w:ascii="仿宋_GB2312" w:hAnsi="微软雅黑" w:eastAsia="仿宋_GB2312"/>
          <w:color w:val="auto"/>
          <w:sz w:val="32"/>
          <w:szCs w:val="32"/>
          <w:lang w:val="en-US" w:eastAsia="zh-CN"/>
        </w:rPr>
        <w:t>4607</w:t>
      </w:r>
      <w:r>
        <w:rPr>
          <w:rFonts w:hint="eastAsia" w:ascii="华文仿宋" w:hAnsi="华文仿宋" w:eastAsia="华文仿宋" w:cs="Times New Roman"/>
          <w:sz w:val="32"/>
        </w:rPr>
        <w:t>万元，</w:t>
      </w:r>
      <w:r>
        <w:rPr>
          <w:rFonts w:hint="eastAsia" w:ascii="华文仿宋" w:hAnsi="华文仿宋" w:eastAsia="华文仿宋" w:cs="Times New Roman"/>
          <w:sz w:val="32"/>
          <w:lang w:eastAsia="zh-CN"/>
        </w:rPr>
        <w:t>积极推进支出产业结构优化升级，充分发挥财政资金引导和撬动作用，</w:t>
      </w:r>
      <w:r>
        <w:rPr>
          <w:rFonts w:hint="eastAsia" w:ascii="华文仿宋" w:hAnsi="华文仿宋" w:eastAsia="华文仿宋" w:cs="Times New Roman"/>
          <w:sz w:val="32"/>
        </w:rPr>
        <w:t>重点支持中关村科技产业园等科技企业孵化平台建设，</w:t>
      </w:r>
      <w:r>
        <w:rPr>
          <w:rFonts w:hint="eastAsia" w:ascii="华文仿宋" w:hAnsi="华文仿宋" w:eastAsia="华文仿宋" w:cs="Times New Roman"/>
          <w:sz w:val="32"/>
          <w:lang w:eastAsia="zh-CN"/>
        </w:rPr>
        <w:t>积极</w:t>
      </w:r>
      <w:r>
        <w:rPr>
          <w:rFonts w:hint="eastAsia" w:ascii="华文仿宋" w:hAnsi="华文仿宋" w:eastAsia="华文仿宋" w:cs="Times New Roman"/>
          <w:sz w:val="32"/>
        </w:rPr>
        <w:t>为企业争取上级科技扶持资金，</w:t>
      </w:r>
      <w:r>
        <w:rPr>
          <w:rFonts w:hint="eastAsia" w:ascii="华文仿宋" w:hAnsi="华文仿宋" w:eastAsia="华文仿宋" w:cs="Times New Roman"/>
          <w:sz w:val="32"/>
          <w:lang w:eastAsia="zh-CN"/>
        </w:rPr>
        <w:t>强化对企业科技创新的支持引导，</w:t>
      </w:r>
      <w:r>
        <w:rPr>
          <w:rFonts w:hint="eastAsia" w:ascii="华文仿宋" w:hAnsi="华文仿宋" w:eastAsia="华文仿宋" w:cs="Times New Roman"/>
          <w:sz w:val="32"/>
        </w:rPr>
        <w:t>创新生态不断完善。</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eastAsia" w:ascii="华文仿宋" w:hAnsi="华文仿宋" w:eastAsia="华文仿宋" w:cs="Times New Roman"/>
          <w:sz w:val="32"/>
          <w:lang w:eastAsia="zh-CN"/>
        </w:rPr>
      </w:pPr>
      <w:r>
        <w:rPr>
          <w:rFonts w:hint="eastAsia" w:ascii="仿宋_GB2312" w:eastAsia="仿宋_GB2312" w:cs="Times New Roman"/>
          <w:b/>
          <w:sz w:val="32"/>
          <w:szCs w:val="32"/>
          <w:lang w:val="en-US" w:eastAsia="zh-CN"/>
        </w:rPr>
        <w:t>3、优化支出结构，保障民生发展。</w:t>
      </w:r>
      <w:r>
        <w:rPr>
          <w:rFonts w:hint="eastAsia" w:ascii="华文仿宋" w:hAnsi="华文仿宋" w:eastAsia="华文仿宋" w:cs="Times New Roman"/>
          <w:sz w:val="32"/>
          <w:szCs w:val="32"/>
          <w:lang w:val="en-US" w:eastAsia="zh-CN"/>
        </w:rPr>
        <w:t>始终把保障和改善民生作为财政工作重中之重，集中有限财力办好惠民利民实事。一是支持教育优先发展。全年教育支出完成21800万元，</w:t>
      </w:r>
      <w:r>
        <w:rPr>
          <w:rFonts w:hint="eastAsia" w:ascii="华文仿宋" w:hAnsi="华文仿宋" w:eastAsia="华文仿宋" w:cs="Times New Roman"/>
          <w:sz w:val="32"/>
        </w:rPr>
        <w:t>全额保障教师工资发放、义务教育阶段学校和高中公用经费，大力支持市</w:t>
      </w:r>
      <w:r>
        <w:rPr>
          <w:rFonts w:hint="eastAsia" w:ascii="华文仿宋" w:hAnsi="华文仿宋" w:eastAsia="华文仿宋" w:cs="Times New Roman"/>
          <w:sz w:val="32"/>
          <w:lang w:eastAsia="zh-CN"/>
        </w:rPr>
        <w:t>中小学</w:t>
      </w:r>
      <w:r>
        <w:rPr>
          <w:rFonts w:hint="eastAsia" w:ascii="华文仿宋" w:hAnsi="华文仿宋" w:eastAsia="华文仿宋" w:cs="Times New Roman"/>
          <w:sz w:val="32"/>
        </w:rPr>
        <w:t>改扩建工程和完全学校建设，增加优质资源供给，提高教育教学质量，教育事业持续发展。</w:t>
      </w:r>
      <w:r>
        <w:rPr>
          <w:rFonts w:hint="eastAsia" w:ascii="华文仿宋" w:hAnsi="华文仿宋" w:eastAsia="华文仿宋" w:cs="Times New Roman"/>
          <w:sz w:val="32"/>
          <w:lang w:eastAsia="zh-CN"/>
        </w:rPr>
        <w:t>二是支持医疗卫生事业发展。全年完成医疗卫生与计划生育支出</w:t>
      </w:r>
      <w:r>
        <w:rPr>
          <w:rFonts w:hint="eastAsia" w:ascii="华文仿宋" w:hAnsi="华文仿宋" w:eastAsia="华文仿宋" w:cs="Times New Roman"/>
          <w:sz w:val="32"/>
          <w:lang w:val="en-US" w:eastAsia="zh-CN"/>
        </w:rPr>
        <w:t>2798</w:t>
      </w:r>
      <w:r>
        <w:rPr>
          <w:rFonts w:hint="eastAsia" w:ascii="华文仿宋" w:hAnsi="华文仿宋" w:eastAsia="华文仿宋" w:cs="Times New Roman"/>
          <w:sz w:val="32"/>
          <w:lang w:eastAsia="zh-CN"/>
        </w:rPr>
        <w:t>万元，医疗卫生和计划生育事业加快发展。三是提高社会保障水平。全年完成社会保障支出</w:t>
      </w:r>
      <w:r>
        <w:rPr>
          <w:rFonts w:hint="eastAsia" w:ascii="华文仿宋" w:hAnsi="华文仿宋" w:eastAsia="华文仿宋" w:cs="Times New Roman"/>
          <w:sz w:val="32"/>
          <w:lang w:val="en-US" w:eastAsia="zh-CN"/>
        </w:rPr>
        <w:t>4041</w:t>
      </w:r>
      <w:r>
        <w:rPr>
          <w:rFonts w:hint="eastAsia" w:ascii="华文仿宋" w:hAnsi="华文仿宋" w:eastAsia="华文仿宋" w:cs="Times New Roman"/>
          <w:sz w:val="32"/>
          <w:lang w:eastAsia="zh-CN"/>
        </w:rPr>
        <w:t>万元，社会保障能力持续加强。</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eastAsia" w:ascii="华文仿宋" w:hAnsi="华文仿宋" w:eastAsia="华文仿宋" w:cs="Times New Roman"/>
          <w:sz w:val="32"/>
          <w:szCs w:val="32"/>
          <w:lang w:val="en-US" w:eastAsia="zh-CN"/>
        </w:rPr>
      </w:pPr>
      <w:r>
        <w:rPr>
          <w:rFonts w:hint="eastAsia" w:ascii="仿宋_GB2312" w:eastAsia="仿宋_GB2312" w:cs="Times New Roman"/>
          <w:b/>
          <w:sz w:val="32"/>
          <w:szCs w:val="32"/>
          <w:lang w:val="en-US" w:eastAsia="zh-CN"/>
        </w:rPr>
        <w:t>4、加大脱贫攻坚投入力度，扎实推进精准扶贫。</w:t>
      </w:r>
      <w:r>
        <w:rPr>
          <w:rFonts w:hint="eastAsia" w:ascii="华文仿宋" w:hAnsi="华文仿宋" w:eastAsia="华文仿宋" w:cs="Times New Roman"/>
          <w:sz w:val="32"/>
          <w:lang w:val="en-US" w:eastAsia="zh-CN"/>
        </w:rPr>
        <w:t>以脱贫攻坚为目标，全方位加大扶贫资金投入，创新管理，为实现精准扶贫、精准脱贫提供有力保</w:t>
      </w:r>
      <w:r>
        <w:rPr>
          <w:rFonts w:hint="eastAsia" w:ascii="华文仿宋" w:hAnsi="华文仿宋" w:eastAsia="华文仿宋" w:cs="Times New Roman"/>
          <w:sz w:val="32"/>
          <w:szCs w:val="32"/>
          <w:lang w:val="en-US" w:eastAsia="zh-CN"/>
        </w:rPr>
        <w:t>障。倾力支持辖区脱贫攻坚工作开展，扶贫资金主要用于辖区贫困户户容户貌改善及建档立卡贫困家庭学生营养改善等学前教育保教费补助支出。同时，加快扶贫资金支出进度，优化业务流程，完善报账手续，全面提高扶贫资金使用效益。加强扶贫资金监管，并使扶贫专项检查常态化，确保扶贫资金规范高效使用。</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eastAsia" w:ascii="华文仿宋" w:hAnsi="华文仿宋" w:eastAsia="华文仿宋" w:cs="Times New Roman"/>
          <w:sz w:val="32"/>
          <w:szCs w:val="32"/>
          <w:lang w:val="en-US" w:eastAsia="zh-CN"/>
        </w:rPr>
      </w:pPr>
      <w:r>
        <w:rPr>
          <w:rFonts w:hint="eastAsia" w:ascii="仿宋_GB2312" w:eastAsia="仿宋_GB2312" w:cs="Times New Roman"/>
          <w:b/>
          <w:sz w:val="32"/>
          <w:szCs w:val="32"/>
          <w:lang w:val="en-US" w:eastAsia="zh-CN"/>
        </w:rPr>
        <w:t>5、加强财政建设，理财水平进一步提高。</w:t>
      </w:r>
      <w:r>
        <w:rPr>
          <w:rFonts w:hint="eastAsia" w:ascii="华文仿宋" w:hAnsi="华文仿宋" w:eastAsia="华文仿宋" w:cs="Times New Roman"/>
          <w:sz w:val="32"/>
          <w:szCs w:val="32"/>
          <w:lang w:val="en-US" w:eastAsia="zh-CN"/>
        </w:rPr>
        <w:t>扎实做好预决算公开工作。按照上级要求，在高新区政府网站上建立了财政资金预决算公开平台，指导和督促预算单位按照《河南省预决算公开操作规程》在规定时间内，按要求规范公开单位预决算。除涉密部门外，区级所有预算单位全部公开了部门预决算。</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华文仿宋" w:hAnsi="华文仿宋" w:eastAsia="华文仿宋" w:cs="Times New Roman"/>
          <w:sz w:val="32"/>
          <w:szCs w:val="32"/>
          <w:lang w:val="en-US" w:eastAsia="zh-CN"/>
        </w:rPr>
      </w:pPr>
      <w:r>
        <w:rPr>
          <w:rFonts w:hint="eastAsia" w:ascii="华文仿宋" w:hAnsi="华文仿宋" w:eastAsia="华文仿宋" w:cs="Times New Roman"/>
          <w:sz w:val="32"/>
          <w:szCs w:val="32"/>
          <w:lang w:val="en-US" w:eastAsia="zh-CN"/>
        </w:rPr>
        <w:t>总体上看，2020年我区根据上级要求，围绕中心，服务大局，强化财政保障能力，取得积极成效。但是，因受上级指标下达时间较晚等因素影响，预算执行中调整较大，支出执行进度均衡性仍有待提高。我们将进一步深化财政改革，不断提高财政预算执行水平，努力提高财政资金使用绩效。</w:t>
      </w:r>
    </w:p>
    <w:p>
      <w:pPr>
        <w:spacing w:after="0" w:line="620" w:lineRule="exact"/>
        <w:ind w:firstLine="640" w:firstLineChars="200"/>
        <w:jc w:val="both"/>
        <w:rPr>
          <w:rFonts w:ascii="黑体" w:hAnsi="黑体" w:eastAsia="黑体"/>
          <w:sz w:val="32"/>
          <w:szCs w:val="32"/>
        </w:rPr>
      </w:pPr>
      <w:r>
        <w:rPr>
          <w:rFonts w:hint="eastAsia" w:ascii="黑体" w:hAnsi="黑体" w:eastAsia="黑体"/>
          <w:sz w:val="32"/>
          <w:szCs w:val="32"/>
        </w:rPr>
        <w:t>二、20</w:t>
      </w:r>
      <w:r>
        <w:rPr>
          <w:rFonts w:hint="eastAsia" w:ascii="黑体" w:hAnsi="黑体" w:eastAsia="黑体"/>
          <w:sz w:val="32"/>
          <w:szCs w:val="32"/>
          <w:lang w:val="en-US" w:eastAsia="zh-CN"/>
        </w:rPr>
        <w:t>21</w:t>
      </w:r>
      <w:r>
        <w:rPr>
          <w:rFonts w:hint="eastAsia" w:ascii="黑体" w:hAnsi="黑体" w:eastAsia="黑体"/>
          <w:sz w:val="32"/>
          <w:szCs w:val="32"/>
        </w:rPr>
        <w:t>年上半年有关情况</w:t>
      </w:r>
    </w:p>
    <w:p>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ascii="华文仿宋" w:hAnsi="华文仿宋" w:eastAsia="华文仿宋" w:cs="Times New Roman"/>
          <w:sz w:val="32"/>
          <w:szCs w:val="32"/>
          <w:lang w:val="en-US" w:eastAsia="zh-CN"/>
        </w:rPr>
      </w:pPr>
      <w:r>
        <w:rPr>
          <w:rFonts w:hint="eastAsia" w:ascii="华文仿宋" w:hAnsi="华文仿宋" w:eastAsia="华文仿宋" w:cs="Times New Roman"/>
          <w:sz w:val="32"/>
          <w:szCs w:val="32"/>
          <w:lang w:val="en-US" w:eastAsia="zh-CN"/>
        </w:rPr>
        <w:t>2021年上半年，</w:t>
      </w:r>
      <w:r>
        <w:rPr>
          <w:rFonts w:hint="eastAsia" w:ascii="仿宋" w:hAnsi="仿宋" w:eastAsia="仿宋"/>
          <w:sz w:val="32"/>
          <w:szCs w:val="32"/>
          <w:lang w:eastAsia="zh-CN"/>
        </w:rPr>
        <w:t>受经济下行和新冠疫情叠加影响，财政平衡压力加大，面对财政收支矛盾，我区坚持过紧日子思维，坚定必胜信心，积极克服眼前困难，坚决落实落细疫情期间财政相关政策措施及省委、市委、区工、管委的各项经济会议精神，认真执行预算，统筹各项工作，积极履行财政职能，</w:t>
      </w:r>
      <w:r>
        <w:rPr>
          <w:rFonts w:hint="eastAsia" w:ascii="华文仿宋" w:hAnsi="华文仿宋" w:eastAsia="华文仿宋" w:cs="Times New Roman"/>
          <w:sz w:val="32"/>
          <w:szCs w:val="32"/>
          <w:lang w:eastAsia="zh-CN"/>
        </w:rPr>
        <w:t>奋力实现年初确定的各项目标任务，现将有关情况报告如下：</w:t>
      </w:r>
    </w:p>
    <w:p>
      <w:pPr>
        <w:spacing w:after="0" w:line="620" w:lineRule="exact"/>
        <w:ind w:firstLine="640" w:firstLineChars="200"/>
        <w:jc w:val="both"/>
        <w:rPr>
          <w:rFonts w:ascii="楷体_GB2312" w:hAnsi="黑体" w:eastAsia="楷体_GB2312"/>
          <w:sz w:val="32"/>
          <w:szCs w:val="32"/>
        </w:rPr>
      </w:pPr>
      <w:r>
        <w:rPr>
          <w:rFonts w:hint="eastAsia" w:ascii="楷体_GB2312" w:hAnsi="黑体" w:eastAsia="楷体_GB2312"/>
          <w:sz w:val="32"/>
          <w:szCs w:val="32"/>
        </w:rPr>
        <w:t>（一）今年上半年预算收支情况及特点</w:t>
      </w:r>
    </w:p>
    <w:p>
      <w:pPr>
        <w:spacing w:after="0" w:line="620" w:lineRule="exact"/>
        <w:ind w:firstLine="640" w:firstLineChars="200"/>
        <w:jc w:val="both"/>
        <w:rPr>
          <w:rFonts w:hint="eastAsia" w:ascii="华文仿宋" w:hAnsi="华文仿宋" w:eastAsia="华文仿宋" w:cs="Times New Roman"/>
          <w:sz w:val="32"/>
          <w:szCs w:val="32"/>
          <w:lang w:val="en-US" w:eastAsia="zh-CN"/>
        </w:rPr>
      </w:pPr>
      <w:r>
        <w:rPr>
          <w:rFonts w:hint="eastAsia" w:ascii="楷体_GB2312" w:eastAsia="楷体_GB2312"/>
          <w:sz w:val="32"/>
          <w:szCs w:val="32"/>
        </w:rPr>
        <w:t>1.上半年收支情况</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eastAsia" w:ascii="仿宋_GB2312" w:eastAsia="仿宋_GB2312"/>
          <w:b/>
          <w:sz w:val="32"/>
          <w:szCs w:val="32"/>
        </w:rPr>
      </w:pPr>
      <w:r>
        <w:rPr>
          <w:rFonts w:hint="eastAsia" w:ascii="仿宋_GB2312" w:eastAsia="仿宋_GB2312"/>
          <w:b/>
          <w:sz w:val="32"/>
          <w:szCs w:val="32"/>
        </w:rPr>
        <w:t>（1）一般公共预算</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eastAsia" w:ascii="华文仿宋" w:hAnsi="华文仿宋" w:eastAsia="华文仿宋" w:cs="Times New Roman"/>
          <w:sz w:val="32"/>
          <w:szCs w:val="32"/>
          <w:lang w:val="en-US" w:eastAsia="zh-CN"/>
        </w:rPr>
      </w:pPr>
      <w:r>
        <w:rPr>
          <w:rFonts w:hint="eastAsia" w:ascii="仿宋_GB2312" w:eastAsia="仿宋_GB2312"/>
          <w:b/>
          <w:sz w:val="32"/>
          <w:szCs w:val="32"/>
        </w:rPr>
        <w:t>收支情况：</w:t>
      </w:r>
      <w:r>
        <w:rPr>
          <w:rFonts w:hint="eastAsia" w:ascii="仿宋_GB2312" w:eastAsia="仿宋_GB2312"/>
          <w:sz w:val="32"/>
          <w:szCs w:val="32"/>
          <w:lang w:val="en-US" w:eastAsia="zh-CN"/>
        </w:rPr>
        <w:t>2021年上半年</w:t>
      </w:r>
      <w:r>
        <w:rPr>
          <w:rFonts w:hint="eastAsia" w:ascii="华文仿宋" w:hAnsi="华文仿宋" w:eastAsia="华文仿宋" w:cs="Times New Roman"/>
          <w:sz w:val="32"/>
          <w:szCs w:val="32"/>
          <w:lang w:val="en-US" w:eastAsia="zh-CN"/>
        </w:rPr>
        <w:t>我区累计完成一般公共预算收入34104</w:t>
      </w:r>
      <w:r>
        <w:rPr>
          <w:rFonts w:hint="eastAsia" w:ascii="华文仿宋" w:hAnsi="华文仿宋" w:eastAsia="华文仿宋" w:cs="Times New Roman"/>
          <w:sz w:val="32"/>
          <w:szCs w:val="32"/>
          <w:lang w:val="en-US" w:eastAsia="zh-CN"/>
        </w:rPr>
        <w:tab/>
      </w:r>
      <w:r>
        <w:rPr>
          <w:rFonts w:hint="eastAsia" w:ascii="华文仿宋" w:hAnsi="华文仿宋" w:eastAsia="华文仿宋" w:cs="Times New Roman"/>
          <w:sz w:val="32"/>
          <w:szCs w:val="32"/>
          <w:lang w:val="en-US" w:eastAsia="zh-CN"/>
        </w:rPr>
        <w:t>万元，占年初预算60600万元的56.3%，同比增长28%。</w:t>
      </w:r>
      <w:r>
        <w:rPr>
          <w:rFonts w:hint="eastAsia" w:ascii="仿宋_GB2312" w:eastAsia="仿宋_GB2312"/>
          <w:sz w:val="32"/>
          <w:szCs w:val="32"/>
          <w:lang w:eastAsia="zh-CN"/>
        </w:rPr>
        <w:t>上半年</w:t>
      </w:r>
      <w:r>
        <w:rPr>
          <w:rFonts w:hint="eastAsia" w:ascii="华文仿宋" w:hAnsi="华文仿宋" w:eastAsia="华文仿宋" w:cs="Times New Roman"/>
          <w:sz w:val="32"/>
          <w:szCs w:val="32"/>
          <w:lang w:val="en-US" w:eastAsia="zh-CN"/>
        </w:rPr>
        <w:t>我区累计完成一般公共预算支出42986万元，</w:t>
      </w:r>
      <w:r>
        <w:rPr>
          <w:rFonts w:hint="eastAsia" w:ascii="仿宋" w:hAnsi="仿宋" w:eastAsia="仿宋"/>
          <w:sz w:val="32"/>
          <w:szCs w:val="32"/>
          <w:lang w:eastAsia="zh-CN"/>
        </w:rPr>
        <w:t>占年初</w:t>
      </w:r>
      <w:r>
        <w:rPr>
          <w:rFonts w:hint="eastAsia" w:ascii="仿宋" w:hAnsi="仿宋" w:eastAsia="仿宋"/>
          <w:sz w:val="32"/>
          <w:szCs w:val="32"/>
        </w:rPr>
        <w:t>预算数</w:t>
      </w:r>
      <w:r>
        <w:rPr>
          <w:rFonts w:hint="eastAsia" w:ascii="仿宋" w:hAnsi="仿宋" w:eastAsia="仿宋"/>
          <w:sz w:val="32"/>
          <w:szCs w:val="32"/>
          <w:lang w:val="en-US" w:eastAsia="zh-CN"/>
        </w:rPr>
        <w:t>59296</w:t>
      </w:r>
      <w:r>
        <w:rPr>
          <w:rFonts w:hint="eastAsia" w:ascii="仿宋" w:hAnsi="仿宋" w:eastAsia="仿宋"/>
          <w:sz w:val="32"/>
          <w:szCs w:val="32"/>
        </w:rPr>
        <w:t>万元的</w:t>
      </w:r>
      <w:r>
        <w:rPr>
          <w:rFonts w:hint="eastAsia" w:ascii="仿宋" w:hAnsi="仿宋" w:eastAsia="仿宋"/>
          <w:sz w:val="32"/>
          <w:szCs w:val="32"/>
          <w:lang w:val="en-US" w:eastAsia="zh-CN"/>
        </w:rPr>
        <w:t>75.8</w:t>
      </w:r>
      <w:r>
        <w:rPr>
          <w:rFonts w:hint="eastAsia" w:ascii="仿宋" w:hAnsi="仿宋" w:eastAsia="仿宋"/>
          <w:sz w:val="32"/>
          <w:szCs w:val="32"/>
        </w:rPr>
        <w:t>%</w:t>
      </w:r>
      <w:r>
        <w:rPr>
          <w:rFonts w:hint="eastAsia" w:ascii="华文仿宋" w:hAnsi="华文仿宋" w:eastAsia="华文仿宋" w:cs="Times New Roman"/>
          <w:sz w:val="32"/>
          <w:szCs w:val="32"/>
          <w:lang w:val="en-US" w:eastAsia="zh-CN"/>
        </w:rPr>
        <w:t>，同比增长7.1%。</w:t>
      </w:r>
    </w:p>
    <w:p>
      <w:pPr>
        <w:spacing w:after="0" w:line="620" w:lineRule="exact"/>
        <w:ind w:firstLine="643" w:firstLineChars="200"/>
        <w:jc w:val="both"/>
        <w:rPr>
          <w:rFonts w:ascii="仿宋_GB2312" w:eastAsia="仿宋_GB2312"/>
          <w:b/>
          <w:sz w:val="32"/>
          <w:szCs w:val="32"/>
        </w:rPr>
      </w:pPr>
      <w:r>
        <w:rPr>
          <w:rFonts w:hint="eastAsia" w:ascii="仿宋_GB2312" w:eastAsia="仿宋_GB2312"/>
          <w:b/>
          <w:sz w:val="32"/>
          <w:szCs w:val="32"/>
        </w:rPr>
        <w:t>（2）政府性基金收支情况</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华文仿宋" w:hAnsi="华文仿宋" w:eastAsia="华文仿宋" w:cs="Times New Roman"/>
          <w:sz w:val="32"/>
          <w:szCs w:val="32"/>
          <w:lang w:val="en-US" w:eastAsia="zh-CN"/>
        </w:rPr>
      </w:pPr>
      <w:r>
        <w:rPr>
          <w:rFonts w:hint="eastAsia" w:ascii="华文仿宋" w:hAnsi="华文仿宋" w:eastAsia="华文仿宋" w:cs="Times New Roman"/>
          <w:sz w:val="32"/>
          <w:szCs w:val="32"/>
          <w:lang w:val="en-US" w:eastAsia="zh-CN"/>
        </w:rPr>
        <w:t>2021年上半年我区无政府性基金收入。2020年上半年我区累计完成政府性</w:t>
      </w:r>
      <w:r>
        <w:rPr>
          <w:rFonts w:hint="eastAsia" w:ascii="仿宋" w:hAnsi="仿宋" w:eastAsia="仿宋" w:cs="仿宋"/>
          <w:kern w:val="2"/>
          <w:sz w:val="32"/>
          <w:szCs w:val="32"/>
          <w:highlight w:val="none"/>
          <w:u w:val="none"/>
          <w:lang w:val="en-US" w:eastAsia="zh-CN"/>
        </w:rPr>
        <w:t>基金支出56658万元，与上年同期基金支出50123万元相比增长13%。</w:t>
      </w:r>
    </w:p>
    <w:p>
      <w:pPr>
        <w:spacing w:after="0" w:line="620" w:lineRule="exact"/>
        <w:ind w:firstLine="640" w:firstLineChars="200"/>
        <w:jc w:val="both"/>
        <w:rPr>
          <w:rFonts w:hint="eastAsia" w:ascii="华文仿宋" w:hAnsi="华文仿宋" w:eastAsia="华文仿宋" w:cs="Times New Roman"/>
          <w:sz w:val="32"/>
          <w:szCs w:val="32"/>
          <w:lang w:val="en-US" w:eastAsia="zh-CN"/>
        </w:rPr>
      </w:pPr>
      <w:r>
        <w:rPr>
          <w:rFonts w:hint="eastAsia" w:ascii="楷体_GB2312" w:eastAsia="楷体_GB2312"/>
          <w:sz w:val="32"/>
          <w:szCs w:val="32"/>
        </w:rPr>
        <w:t>2.上半年财政运行主要特点</w:t>
      </w:r>
    </w:p>
    <w:p>
      <w:pPr>
        <w:ind w:firstLine="643" w:firstLineChars="200"/>
        <w:rPr>
          <w:rFonts w:hint="eastAsia" w:ascii="华文仿宋" w:hAnsi="华文仿宋" w:eastAsia="华文仿宋" w:cs="Times New Roman"/>
          <w:sz w:val="32"/>
          <w:szCs w:val="32"/>
          <w:lang w:val="en-US" w:eastAsia="zh-CN"/>
        </w:rPr>
      </w:pPr>
      <w:r>
        <w:rPr>
          <w:rFonts w:hint="eastAsia" w:ascii="仿宋_GB2312" w:hAnsi="Tahoma" w:eastAsia="仿宋_GB2312" w:cs="黑体"/>
          <w:b/>
          <w:kern w:val="0"/>
          <w:sz w:val="32"/>
          <w:szCs w:val="32"/>
          <w:lang w:val="en-US" w:eastAsia="zh-CN"/>
        </w:rPr>
        <w:t>一是收入方面稳中向好。</w:t>
      </w:r>
      <w:r>
        <w:rPr>
          <w:rFonts w:hint="eastAsia" w:ascii="华文仿宋" w:hAnsi="华文仿宋" w:eastAsia="华文仿宋" w:cs="Times New Roman"/>
          <w:sz w:val="32"/>
          <w:szCs w:val="32"/>
          <w:lang w:val="en-US" w:eastAsia="zh-CN"/>
        </w:rPr>
        <w:t>上半年我区一般公共预算收入完成34104万元，占年初预算60600万元的56.3%，同比增长28%。</w:t>
      </w:r>
      <w:r>
        <w:rPr>
          <w:rFonts w:hint="eastAsia" w:ascii="仿宋" w:hAnsi="仿宋" w:eastAsia="仿宋" w:cs="仿宋"/>
          <w:kern w:val="2"/>
          <w:sz w:val="32"/>
          <w:szCs w:val="32"/>
          <w:lang w:val="en-US" w:eastAsia="zh-CN"/>
        </w:rPr>
        <w:t>税收收入完成25431万元占年初预算的50.8%，与同比增长8.5%，占一般公共预算收入比重为74.6%</w:t>
      </w:r>
      <w:r>
        <w:rPr>
          <w:rFonts w:hint="eastAsia" w:ascii="华文仿宋" w:hAnsi="华文仿宋" w:eastAsia="华文仿宋" w:cs="Times New Roman"/>
          <w:sz w:val="32"/>
          <w:szCs w:val="32"/>
          <w:lang w:val="en-US" w:eastAsia="zh-CN"/>
        </w:rPr>
        <w:t>。</w:t>
      </w:r>
    </w:p>
    <w:p>
      <w:pPr>
        <w:spacing w:after="0" w:line="240" w:lineRule="auto"/>
        <w:ind w:firstLine="643" w:firstLineChars="200"/>
        <w:jc w:val="both"/>
        <w:rPr>
          <w:rFonts w:hint="eastAsia" w:ascii="华文仿宋" w:hAnsi="华文仿宋" w:eastAsia="华文仿宋" w:cs="Times New Roman"/>
          <w:sz w:val="32"/>
          <w:szCs w:val="32"/>
          <w:lang w:val="en-US" w:eastAsia="zh-CN"/>
        </w:rPr>
      </w:pPr>
      <w:r>
        <w:rPr>
          <w:rFonts w:hint="eastAsia" w:ascii="华文仿宋" w:hAnsi="华文仿宋" w:eastAsia="华文仿宋" w:cs="Times New Roman"/>
          <w:b/>
          <w:bCs/>
          <w:sz w:val="32"/>
          <w:szCs w:val="32"/>
          <w:lang w:eastAsia="zh-CN"/>
        </w:rPr>
        <w:t>二是</w:t>
      </w:r>
      <w:r>
        <w:rPr>
          <w:rFonts w:hint="eastAsia" w:ascii="仿宋_GB2312" w:hAnsi="Tahoma" w:eastAsia="仿宋_GB2312" w:cs="黑体"/>
          <w:b/>
          <w:kern w:val="0"/>
          <w:sz w:val="32"/>
          <w:szCs w:val="32"/>
          <w:lang w:val="en-US" w:eastAsia="zh-CN"/>
        </w:rPr>
        <w:t>重点支出保障有力。</w:t>
      </w:r>
      <w:r>
        <w:rPr>
          <w:rFonts w:hint="eastAsia" w:ascii="华文仿宋" w:hAnsi="华文仿宋" w:eastAsia="华文仿宋" w:cs="Times New Roman"/>
          <w:sz w:val="32"/>
          <w:szCs w:val="32"/>
          <w:lang w:val="en-US" w:eastAsia="zh-CN"/>
        </w:rPr>
        <w:t>上半年我区财政部门充分履行保障职责，科学调度资金，盘活存量资金，上半年我区一般公共预算支出</w:t>
      </w:r>
      <w:r>
        <w:rPr>
          <w:rFonts w:hint="eastAsia" w:ascii="仿宋" w:hAnsi="仿宋" w:eastAsia="仿宋" w:cs="仿宋"/>
          <w:kern w:val="2"/>
          <w:sz w:val="32"/>
          <w:szCs w:val="32"/>
          <w:u w:val="none"/>
          <w:lang w:val="en-US" w:eastAsia="zh-CN"/>
        </w:rPr>
        <w:t>42986</w:t>
      </w:r>
      <w:r>
        <w:rPr>
          <w:rFonts w:hint="eastAsia" w:ascii="仿宋" w:hAnsi="仿宋" w:eastAsia="仿宋"/>
          <w:sz w:val="32"/>
          <w:szCs w:val="32"/>
        </w:rPr>
        <w:t>万元，</w:t>
      </w:r>
      <w:r>
        <w:rPr>
          <w:rFonts w:hint="eastAsia" w:ascii="仿宋" w:hAnsi="仿宋" w:eastAsia="仿宋"/>
          <w:sz w:val="32"/>
          <w:szCs w:val="32"/>
          <w:lang w:eastAsia="zh-CN"/>
        </w:rPr>
        <w:t>占年初</w:t>
      </w:r>
      <w:r>
        <w:rPr>
          <w:rFonts w:hint="eastAsia" w:ascii="仿宋" w:hAnsi="仿宋" w:eastAsia="仿宋"/>
          <w:sz w:val="32"/>
          <w:szCs w:val="32"/>
        </w:rPr>
        <w:t>预算数</w:t>
      </w:r>
      <w:r>
        <w:rPr>
          <w:rFonts w:hint="eastAsia" w:ascii="仿宋" w:hAnsi="仿宋" w:eastAsia="仿宋"/>
          <w:sz w:val="32"/>
          <w:szCs w:val="32"/>
          <w:lang w:val="en-US" w:eastAsia="zh-CN"/>
        </w:rPr>
        <w:t>59296</w:t>
      </w:r>
      <w:r>
        <w:rPr>
          <w:rFonts w:hint="eastAsia" w:ascii="仿宋" w:hAnsi="仿宋" w:eastAsia="仿宋"/>
          <w:sz w:val="32"/>
          <w:szCs w:val="32"/>
        </w:rPr>
        <w:t>万元的</w:t>
      </w:r>
      <w:r>
        <w:rPr>
          <w:rFonts w:hint="eastAsia" w:ascii="仿宋" w:hAnsi="仿宋" w:eastAsia="仿宋"/>
          <w:sz w:val="32"/>
          <w:szCs w:val="32"/>
          <w:lang w:val="en-US" w:eastAsia="zh-CN"/>
        </w:rPr>
        <w:t>75.8</w:t>
      </w:r>
      <w:r>
        <w:rPr>
          <w:rFonts w:hint="eastAsia" w:ascii="仿宋" w:hAnsi="仿宋" w:eastAsia="仿宋"/>
          <w:sz w:val="32"/>
          <w:szCs w:val="32"/>
        </w:rPr>
        <w:t>%，</w:t>
      </w:r>
      <w:r>
        <w:rPr>
          <w:rFonts w:hint="eastAsia" w:ascii="华文仿宋" w:hAnsi="华文仿宋" w:eastAsia="华文仿宋" w:cs="Times New Roman"/>
          <w:sz w:val="32"/>
          <w:szCs w:val="32"/>
          <w:lang w:val="en-US" w:eastAsia="zh-CN"/>
        </w:rPr>
        <w:t>同比增长</w:t>
      </w:r>
      <w:r>
        <w:rPr>
          <w:rFonts w:hint="eastAsia" w:ascii="仿宋" w:hAnsi="仿宋" w:eastAsia="仿宋"/>
          <w:sz w:val="32"/>
          <w:szCs w:val="32"/>
          <w:lang w:val="en-US" w:eastAsia="zh-CN"/>
        </w:rPr>
        <w:t>7.1</w:t>
      </w:r>
      <w:r>
        <w:rPr>
          <w:rFonts w:hint="eastAsia" w:ascii="华文仿宋" w:hAnsi="华文仿宋" w:eastAsia="华文仿宋" w:cs="Times New Roman"/>
          <w:sz w:val="32"/>
          <w:szCs w:val="32"/>
          <w:lang w:val="en-US" w:eastAsia="zh-CN"/>
        </w:rPr>
        <w:t xml:space="preserve">%。教育支出完成8352万元，科学技术支出完成2285万元，社会保障和就业完成1687万元 ，医疗卫生和计生支出完成800万元，民生支出得到较好保障。基金支出56658万元。  </w:t>
      </w:r>
    </w:p>
    <w:p>
      <w:pPr>
        <w:spacing w:after="0" w:line="240" w:lineRule="auto"/>
        <w:ind w:firstLine="640" w:firstLineChars="200"/>
        <w:jc w:val="both"/>
        <w:rPr>
          <w:rFonts w:ascii="楷体_GB2312" w:hAnsi="黑体" w:eastAsia="楷体_GB2312"/>
          <w:sz w:val="32"/>
          <w:szCs w:val="32"/>
        </w:rPr>
      </w:pPr>
      <w:r>
        <w:rPr>
          <w:rFonts w:hint="eastAsia" w:ascii="楷体_GB2312" w:hAnsi="黑体" w:eastAsia="楷体_GB2312"/>
          <w:sz w:val="32"/>
          <w:szCs w:val="32"/>
        </w:rPr>
        <w:t>（二）今年上半年转移支付资金情况</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20</w:t>
      </w:r>
      <w:r>
        <w:rPr>
          <w:rFonts w:hint="eastAsia" w:ascii="仿宋_GB2312" w:eastAsia="仿宋_GB2312"/>
          <w:sz w:val="32"/>
          <w:szCs w:val="32"/>
          <w:highlight w:val="none"/>
          <w:lang w:val="en-US" w:eastAsia="zh-CN"/>
        </w:rPr>
        <w:t>21</w:t>
      </w:r>
      <w:r>
        <w:rPr>
          <w:rFonts w:hint="eastAsia" w:ascii="仿宋_GB2312" w:eastAsia="仿宋_GB2312"/>
          <w:sz w:val="32"/>
          <w:szCs w:val="32"/>
          <w:highlight w:val="none"/>
        </w:rPr>
        <w:t>年上半年上级下达我</w:t>
      </w:r>
      <w:r>
        <w:rPr>
          <w:rFonts w:hint="eastAsia" w:ascii="仿宋_GB2312" w:eastAsia="仿宋_GB2312"/>
          <w:sz w:val="32"/>
          <w:szCs w:val="32"/>
          <w:highlight w:val="none"/>
          <w:lang w:eastAsia="zh-CN"/>
        </w:rPr>
        <w:t>区</w:t>
      </w:r>
      <w:r>
        <w:rPr>
          <w:rFonts w:hint="eastAsia" w:ascii="仿宋_GB2312" w:eastAsia="仿宋_GB2312"/>
          <w:sz w:val="32"/>
          <w:szCs w:val="32"/>
          <w:highlight w:val="none"/>
        </w:rPr>
        <w:t>一般公共预算转移支付资金</w:t>
      </w:r>
      <w:r>
        <w:rPr>
          <w:rFonts w:hint="eastAsia" w:ascii="仿宋_GB2312" w:eastAsia="仿宋_GB2312"/>
          <w:color w:val="auto"/>
          <w:sz w:val="32"/>
          <w:szCs w:val="32"/>
          <w:highlight w:val="none"/>
          <w:lang w:val="en-US" w:eastAsia="zh-CN"/>
        </w:rPr>
        <w:t>12398万</w:t>
      </w:r>
      <w:r>
        <w:rPr>
          <w:rFonts w:hint="eastAsia" w:ascii="仿宋_GB2312" w:eastAsia="仿宋_GB2312"/>
          <w:color w:val="auto"/>
          <w:sz w:val="32"/>
          <w:szCs w:val="32"/>
          <w:highlight w:val="none"/>
        </w:rPr>
        <w:t>元，其中：返还性收入</w:t>
      </w:r>
      <w:r>
        <w:rPr>
          <w:rFonts w:hint="eastAsia" w:ascii="仿宋_GB2312" w:eastAsia="仿宋_GB2312"/>
          <w:color w:val="auto"/>
          <w:sz w:val="32"/>
          <w:szCs w:val="32"/>
          <w:highlight w:val="none"/>
          <w:lang w:val="en-US" w:eastAsia="zh-CN"/>
        </w:rPr>
        <w:t>729万</w:t>
      </w:r>
      <w:r>
        <w:rPr>
          <w:rFonts w:hint="eastAsia" w:ascii="仿宋_GB2312" w:eastAsia="仿宋_GB2312"/>
          <w:color w:val="auto"/>
          <w:sz w:val="32"/>
          <w:szCs w:val="32"/>
          <w:highlight w:val="none"/>
        </w:rPr>
        <w:t>元，</w:t>
      </w:r>
      <w:r>
        <w:rPr>
          <w:rFonts w:hint="eastAsia" w:ascii="仿宋_GB2312" w:eastAsia="仿宋_GB2312"/>
          <w:sz w:val="32"/>
          <w:szCs w:val="32"/>
          <w:highlight w:val="none"/>
        </w:rPr>
        <w:t>一般性转移支付资金</w:t>
      </w:r>
      <w:r>
        <w:rPr>
          <w:rFonts w:hint="eastAsia" w:ascii="仿宋_GB2312" w:eastAsia="仿宋_GB2312"/>
          <w:sz w:val="32"/>
          <w:szCs w:val="32"/>
          <w:highlight w:val="none"/>
          <w:lang w:val="en-US" w:eastAsia="zh-CN"/>
        </w:rPr>
        <w:t>3570万</w:t>
      </w:r>
      <w:r>
        <w:rPr>
          <w:rFonts w:hint="eastAsia" w:ascii="仿宋_GB2312" w:eastAsia="仿宋_GB2312"/>
          <w:sz w:val="32"/>
          <w:szCs w:val="32"/>
          <w:highlight w:val="none"/>
        </w:rPr>
        <w:t>元，专项转移支付资金</w:t>
      </w:r>
      <w:r>
        <w:rPr>
          <w:rFonts w:hint="eastAsia" w:ascii="仿宋_GB2312" w:eastAsia="仿宋_GB2312"/>
          <w:sz w:val="32"/>
          <w:szCs w:val="32"/>
          <w:highlight w:val="none"/>
          <w:lang w:val="en-US" w:eastAsia="zh-CN"/>
        </w:rPr>
        <w:t>8099万</w:t>
      </w:r>
      <w:r>
        <w:rPr>
          <w:rFonts w:hint="eastAsia" w:ascii="仿宋_GB2312" w:eastAsia="仿宋_GB2312"/>
          <w:sz w:val="32"/>
          <w:szCs w:val="32"/>
          <w:highlight w:val="none"/>
        </w:rPr>
        <w:t>元。</w:t>
      </w:r>
    </w:p>
    <w:p>
      <w:pPr>
        <w:spacing w:after="0" w:line="620" w:lineRule="exact"/>
        <w:ind w:firstLine="640" w:firstLineChars="200"/>
        <w:jc w:val="both"/>
        <w:rPr>
          <w:rFonts w:ascii="楷体_GB2312" w:hAnsi="黑体" w:eastAsia="楷体_GB2312"/>
          <w:sz w:val="32"/>
          <w:szCs w:val="32"/>
        </w:rPr>
      </w:pPr>
      <w:r>
        <w:rPr>
          <w:rFonts w:hint="eastAsia" w:ascii="楷体_GB2312" w:hAnsi="黑体" w:eastAsia="楷体_GB2312"/>
          <w:sz w:val="32"/>
          <w:szCs w:val="32"/>
        </w:rPr>
        <w:t>（三）上半年政府性债务情况</w:t>
      </w:r>
    </w:p>
    <w:p>
      <w:pPr>
        <w:spacing w:after="0" w:line="620" w:lineRule="exact"/>
        <w:ind w:firstLine="643" w:firstLineChars="200"/>
        <w:jc w:val="both"/>
        <w:rPr>
          <w:rFonts w:ascii="仿宋_GB2312" w:eastAsia="仿宋_GB2312"/>
          <w:color w:val="auto"/>
          <w:sz w:val="32"/>
          <w:szCs w:val="32"/>
        </w:rPr>
      </w:pPr>
      <w:r>
        <w:rPr>
          <w:rFonts w:hint="eastAsia" w:ascii="仿宋_GB2312" w:eastAsia="仿宋_GB2312"/>
          <w:b/>
          <w:color w:val="auto"/>
          <w:sz w:val="32"/>
          <w:szCs w:val="32"/>
        </w:rPr>
        <w:t>1.政府债务余额情况：</w:t>
      </w:r>
      <w:r>
        <w:rPr>
          <w:rFonts w:hint="eastAsia" w:ascii="仿宋_GB2312" w:eastAsia="仿宋_GB2312"/>
          <w:color w:val="auto"/>
          <w:sz w:val="32"/>
          <w:szCs w:val="32"/>
        </w:rPr>
        <w:t>截至2</w:t>
      </w:r>
      <w:r>
        <w:rPr>
          <w:rFonts w:ascii="仿宋_GB2312" w:eastAsia="仿宋_GB2312"/>
          <w:color w:val="auto"/>
          <w:sz w:val="32"/>
          <w:szCs w:val="32"/>
        </w:rPr>
        <w:t>0</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年6月底，</w:t>
      </w:r>
      <w:r>
        <w:rPr>
          <w:rFonts w:hint="eastAsia" w:ascii="仿宋_GB2312" w:eastAsia="仿宋_GB2312"/>
          <w:color w:val="auto"/>
          <w:sz w:val="32"/>
          <w:szCs w:val="32"/>
          <w:lang w:val="en-US" w:eastAsia="zh-CN"/>
        </w:rPr>
        <w:t>我区政府债务余额为142654.42万元，其中：一般债务余额1369.8万元，专项债务余额137100万元，隐性债务余额4184.62万元，债务风险整体可控，各项风险指标均处于风险警戒线以下。</w:t>
      </w:r>
    </w:p>
    <w:p>
      <w:pPr>
        <w:shd w:val="clear" w:color="auto" w:fill="FFFFFF"/>
        <w:spacing w:after="0" w:line="620" w:lineRule="exact"/>
        <w:ind w:firstLine="643" w:firstLineChars="200"/>
        <w:jc w:val="both"/>
        <w:rPr>
          <w:rFonts w:hint="eastAsia" w:ascii="仿宋_GB2312" w:eastAsia="仿宋_GB2312"/>
          <w:color w:val="auto"/>
          <w:sz w:val="32"/>
          <w:szCs w:val="32"/>
          <w:lang w:eastAsia="zh-CN"/>
        </w:rPr>
      </w:pPr>
      <w:r>
        <w:rPr>
          <w:rFonts w:hint="eastAsia" w:ascii="仿宋_GB2312" w:eastAsia="仿宋_GB2312"/>
          <w:b/>
          <w:color w:val="auto"/>
          <w:sz w:val="32"/>
          <w:szCs w:val="32"/>
        </w:rPr>
        <w:t>2.政府债券资金争取及使用情况：</w:t>
      </w:r>
      <w:r>
        <w:rPr>
          <w:rFonts w:hint="eastAsia" w:ascii="仿宋_GB2312" w:eastAsia="仿宋_GB2312"/>
          <w:color w:val="auto"/>
          <w:sz w:val="32"/>
          <w:szCs w:val="32"/>
        </w:rPr>
        <w:t>经积极争取，截止</w:t>
      </w:r>
      <w:r>
        <w:rPr>
          <w:rFonts w:hint="eastAsia" w:ascii="仿宋_GB2312" w:eastAsia="仿宋_GB2312"/>
          <w:color w:val="auto"/>
          <w:sz w:val="32"/>
          <w:szCs w:val="32"/>
          <w:lang w:val="en-US" w:eastAsia="zh-CN"/>
        </w:rPr>
        <w:t>2021年</w:t>
      </w:r>
      <w:r>
        <w:rPr>
          <w:rFonts w:hint="eastAsia" w:ascii="仿宋_GB2312" w:eastAsia="仿宋_GB2312"/>
          <w:color w:val="auto"/>
          <w:sz w:val="32"/>
          <w:szCs w:val="32"/>
        </w:rPr>
        <w:t>6月底，</w:t>
      </w:r>
      <w:r>
        <w:rPr>
          <w:rFonts w:hint="eastAsia" w:ascii="仿宋_GB2312" w:eastAsia="仿宋_GB2312"/>
          <w:color w:val="auto"/>
          <w:sz w:val="32"/>
          <w:szCs w:val="32"/>
          <w:lang w:eastAsia="zh-CN"/>
        </w:rPr>
        <w:t>上级下达我区2021年新增地方政府债务30000万元，为南阳高新区中关村科技产业园棚户区改造项目。</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楷体_GB2312" w:hAnsi="黑体" w:eastAsia="楷体_GB2312"/>
          <w:sz w:val="32"/>
          <w:szCs w:val="32"/>
        </w:rPr>
      </w:pPr>
      <w:r>
        <w:rPr>
          <w:rFonts w:hint="eastAsia" w:ascii="楷体_GB2312" w:hAnsi="黑体" w:eastAsia="楷体_GB2312"/>
          <w:sz w:val="32"/>
          <w:szCs w:val="32"/>
        </w:rPr>
        <w:t>（四）</w:t>
      </w:r>
      <w:r>
        <w:rPr>
          <w:rFonts w:hint="eastAsia" w:ascii="楷体_GB2312" w:hAnsi="黑体" w:eastAsia="楷体_GB2312"/>
          <w:sz w:val="32"/>
          <w:szCs w:val="32"/>
          <w:lang w:eastAsia="zh-CN"/>
        </w:rPr>
        <w:t>区</w:t>
      </w:r>
      <w:r>
        <w:rPr>
          <w:rFonts w:hint="eastAsia" w:ascii="楷体_GB2312" w:hAnsi="黑体" w:eastAsia="楷体_GB2312"/>
          <w:sz w:val="32"/>
          <w:szCs w:val="32"/>
        </w:rPr>
        <w:t>财源建设情况</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华文仿宋" w:hAnsi="华文仿宋" w:eastAsia="华文仿宋"/>
          <w:sz w:val="32"/>
          <w:szCs w:val="32"/>
        </w:rPr>
      </w:pPr>
      <w:r>
        <w:rPr>
          <w:rFonts w:hint="eastAsia" w:ascii="仿宋_GB2312" w:eastAsia="仿宋_GB2312"/>
          <w:sz w:val="32"/>
          <w:szCs w:val="32"/>
          <w:lang w:eastAsia="zh-CN"/>
        </w:rPr>
        <w:t>我区</w:t>
      </w:r>
      <w:r>
        <w:rPr>
          <w:rFonts w:hint="eastAsia" w:ascii="仿宋_GB2312" w:eastAsia="仿宋_GB2312"/>
          <w:sz w:val="32"/>
          <w:szCs w:val="32"/>
        </w:rPr>
        <w:t>高度重视财源建设工作，认真落实各项减税降费政策，积极调整优化财政支出结构，加大对经济社会发展和财源建设支持力度。</w:t>
      </w:r>
      <w:r>
        <w:rPr>
          <w:rFonts w:hint="eastAsia" w:ascii="仿宋_GB2312" w:eastAsia="仿宋_GB2312"/>
          <w:b/>
          <w:sz w:val="32"/>
          <w:szCs w:val="32"/>
        </w:rPr>
        <w:t>一是</w:t>
      </w:r>
      <w:r>
        <w:rPr>
          <w:rFonts w:hint="eastAsia" w:ascii="仿宋_GB2312" w:eastAsia="仿宋_GB2312"/>
          <w:b/>
          <w:sz w:val="32"/>
          <w:szCs w:val="32"/>
          <w:lang w:eastAsia="zh-CN"/>
        </w:rPr>
        <w:t>积极贯彻实施</w:t>
      </w:r>
      <w:r>
        <w:rPr>
          <w:rFonts w:hint="eastAsia" w:ascii="仿宋_GB2312" w:eastAsia="仿宋_GB2312"/>
          <w:b/>
          <w:sz w:val="32"/>
          <w:szCs w:val="32"/>
        </w:rPr>
        <w:t>各项减税降费政策。</w:t>
      </w:r>
      <w:r>
        <w:rPr>
          <w:rFonts w:hint="eastAsia" w:ascii="仿宋_GB2312" w:hAnsi="微软雅黑" w:eastAsia="仿宋_GB2312"/>
          <w:color w:val="000000"/>
          <w:sz w:val="32"/>
          <w:szCs w:val="32"/>
        </w:rPr>
        <w:t>充分认识减税降费工作的重要意义，</w:t>
      </w:r>
      <w:r>
        <w:rPr>
          <w:rFonts w:hint="eastAsia" w:ascii="仿宋_GB2312" w:eastAsia="仿宋_GB2312"/>
          <w:sz w:val="32"/>
          <w:szCs w:val="32"/>
        </w:rPr>
        <w:t>组织召开全</w:t>
      </w:r>
      <w:r>
        <w:rPr>
          <w:rFonts w:hint="eastAsia" w:ascii="仿宋_GB2312" w:eastAsia="仿宋_GB2312"/>
          <w:sz w:val="32"/>
          <w:szCs w:val="32"/>
          <w:lang w:eastAsia="zh-CN"/>
        </w:rPr>
        <w:t>区</w:t>
      </w:r>
      <w:r>
        <w:rPr>
          <w:rFonts w:hint="eastAsia" w:ascii="仿宋_GB2312" w:eastAsia="仿宋_GB2312"/>
          <w:sz w:val="32"/>
          <w:szCs w:val="32"/>
        </w:rPr>
        <w:t>减税降费工作动员部署会议，</w:t>
      </w:r>
      <w:r>
        <w:rPr>
          <w:rFonts w:hint="eastAsia" w:ascii="仿宋_GB2312" w:eastAsia="仿宋_GB2312"/>
          <w:color w:val="000000"/>
          <w:sz w:val="32"/>
          <w:szCs w:val="32"/>
        </w:rPr>
        <w:t>会同税务部门加大政策宣传力度，狠抓政策的落地实施，</w:t>
      </w:r>
      <w:r>
        <w:rPr>
          <w:rFonts w:hint="eastAsia" w:ascii="仿宋_GB2312" w:eastAsia="仿宋_GB2312"/>
          <w:sz w:val="32"/>
          <w:szCs w:val="32"/>
        </w:rPr>
        <w:t>确保减税降费政策</w:t>
      </w:r>
      <w:r>
        <w:rPr>
          <w:rFonts w:hint="eastAsia" w:ascii="仿宋_GB2312" w:eastAsia="仿宋_GB2312"/>
          <w:sz w:val="32"/>
          <w:szCs w:val="32"/>
          <w:lang w:eastAsia="zh-CN"/>
        </w:rPr>
        <w:t>的贯彻实施</w:t>
      </w:r>
      <w:r>
        <w:rPr>
          <w:rFonts w:hint="eastAsia" w:ascii="仿宋_GB2312" w:eastAsia="仿宋_GB2312"/>
          <w:sz w:val="32"/>
          <w:szCs w:val="32"/>
        </w:rPr>
        <w:t>。</w:t>
      </w:r>
      <w:r>
        <w:rPr>
          <w:rFonts w:hint="eastAsia" w:ascii="仿宋_GB2312" w:eastAsia="仿宋_GB2312"/>
          <w:b/>
          <w:sz w:val="32"/>
          <w:szCs w:val="32"/>
        </w:rPr>
        <w:t>二是加大科技创新</w:t>
      </w:r>
      <w:r>
        <w:rPr>
          <w:rFonts w:hint="eastAsia" w:ascii="仿宋_GB2312" w:eastAsia="仿宋_GB2312"/>
          <w:b/>
          <w:sz w:val="32"/>
          <w:szCs w:val="32"/>
          <w:lang w:eastAsia="zh-CN"/>
        </w:rPr>
        <w:t>、重大项目</w:t>
      </w:r>
      <w:r>
        <w:rPr>
          <w:rFonts w:hint="eastAsia" w:ascii="仿宋_GB2312" w:eastAsia="仿宋_GB2312"/>
          <w:b/>
          <w:sz w:val="32"/>
          <w:szCs w:val="32"/>
        </w:rPr>
        <w:t>支持力度</w:t>
      </w:r>
      <w:r>
        <w:rPr>
          <w:rFonts w:hint="eastAsia" w:ascii="仿宋_GB2312" w:eastAsia="仿宋_GB2312"/>
          <w:b/>
          <w:sz w:val="32"/>
          <w:szCs w:val="32"/>
          <w:lang w:eastAsia="zh-CN"/>
        </w:rPr>
        <w:t>。</w:t>
      </w:r>
      <w:r>
        <w:rPr>
          <w:rFonts w:hint="eastAsia" w:ascii="华文仿宋" w:hAnsi="华文仿宋" w:eastAsia="华文仿宋"/>
          <w:sz w:val="32"/>
          <w:szCs w:val="32"/>
        </w:rPr>
        <w:t>采取奖励扶持、资金补助、贷款贴息等措施，进一步做大做强我区支柱产业，培育稳定增长的骨干财源。</w:t>
      </w:r>
      <w:r>
        <w:rPr>
          <w:rFonts w:hint="eastAsia" w:ascii="华文仿宋" w:hAnsi="华文仿宋" w:eastAsia="华文仿宋"/>
          <w:b/>
          <w:bCs/>
          <w:sz w:val="32"/>
          <w:szCs w:val="32"/>
          <w:lang w:eastAsia="zh-CN"/>
        </w:rPr>
        <w:t>三是</w:t>
      </w:r>
      <w:r>
        <w:rPr>
          <w:rFonts w:hint="eastAsia" w:ascii="华文仿宋" w:hAnsi="华文仿宋" w:eastAsia="华文仿宋"/>
          <w:b/>
          <w:bCs/>
          <w:sz w:val="32"/>
          <w:szCs w:val="32"/>
        </w:rPr>
        <w:t>充分利用综合治税平台，加强税收和各项非税收入征管</w:t>
      </w:r>
      <w:r>
        <w:rPr>
          <w:rFonts w:hint="eastAsia" w:ascii="华文仿宋" w:hAnsi="华文仿宋" w:eastAsia="华文仿宋"/>
          <w:b/>
          <w:bCs/>
          <w:sz w:val="32"/>
          <w:szCs w:val="32"/>
          <w:lang w:eastAsia="zh-CN"/>
        </w:rPr>
        <w:t>。</w:t>
      </w:r>
      <w:r>
        <w:rPr>
          <w:rFonts w:hint="eastAsia" w:ascii="华文仿宋" w:hAnsi="华文仿宋" w:eastAsia="华文仿宋"/>
          <w:sz w:val="32"/>
          <w:szCs w:val="32"/>
        </w:rPr>
        <w:t>加大协护税工作协调力度，坚持依法征管，杜绝税收跑、冒、滴、漏，努力做到应收尽收。坚持和完善收入目标责任制，加强月、季收入调度，严格实行均衡入库考核。</w:t>
      </w:r>
    </w:p>
    <w:p>
      <w:pPr>
        <w:spacing w:after="0" w:line="620" w:lineRule="exact"/>
        <w:ind w:firstLine="640" w:firstLineChars="200"/>
        <w:jc w:val="both"/>
        <w:rPr>
          <w:rFonts w:hint="eastAsia" w:ascii="仿宋_GB2312" w:eastAsia="仿宋_GB2312"/>
          <w:sz w:val="32"/>
          <w:szCs w:val="32"/>
        </w:rPr>
      </w:pPr>
      <w:r>
        <w:rPr>
          <w:rFonts w:hint="eastAsia" w:ascii="楷体_GB2312" w:hAnsi="黑体" w:eastAsia="楷体_GB2312"/>
          <w:sz w:val="32"/>
          <w:szCs w:val="32"/>
        </w:rPr>
        <w:t>（五）财政运行中存在的主要问题</w:t>
      </w:r>
    </w:p>
    <w:p>
      <w:pPr>
        <w:ind w:firstLine="640" w:firstLineChars="200"/>
        <w:rPr>
          <w:rFonts w:hint="eastAsia" w:ascii="华文仿宋" w:hAnsi="华文仿宋" w:eastAsia="华文仿宋"/>
          <w:sz w:val="32"/>
          <w:szCs w:val="32"/>
          <w:highlight w:val="none"/>
          <w:lang w:eastAsia="zh-CN"/>
        </w:rPr>
      </w:pPr>
      <w:r>
        <w:rPr>
          <w:rFonts w:hint="eastAsia" w:ascii="仿宋_GB2312" w:eastAsia="仿宋_GB2312"/>
          <w:sz w:val="32"/>
          <w:szCs w:val="32"/>
          <w:highlight w:val="none"/>
        </w:rPr>
        <w:t>上半年我</w:t>
      </w:r>
      <w:r>
        <w:rPr>
          <w:rFonts w:hint="eastAsia" w:ascii="仿宋_GB2312" w:eastAsia="仿宋_GB2312"/>
          <w:sz w:val="32"/>
          <w:szCs w:val="32"/>
          <w:highlight w:val="none"/>
          <w:lang w:eastAsia="zh-CN"/>
        </w:rPr>
        <w:t>区</w:t>
      </w:r>
      <w:r>
        <w:rPr>
          <w:rFonts w:hint="eastAsia" w:ascii="仿宋_GB2312" w:eastAsia="仿宋_GB2312"/>
          <w:sz w:val="32"/>
          <w:szCs w:val="32"/>
          <w:highlight w:val="none"/>
        </w:rPr>
        <w:t>财政收入总体保持平稳增长，</w:t>
      </w:r>
      <w:r>
        <w:rPr>
          <w:rFonts w:hint="eastAsia" w:ascii="华文仿宋" w:hAnsi="华文仿宋" w:eastAsia="华文仿宋" w:cs="Times New Roman"/>
          <w:sz w:val="32"/>
          <w:szCs w:val="32"/>
          <w:highlight w:val="none"/>
          <w:lang w:val="en-US" w:eastAsia="zh-CN"/>
        </w:rPr>
        <w:t>一般公共预算收入完成</w:t>
      </w:r>
      <w:r>
        <w:rPr>
          <w:rFonts w:hint="eastAsia" w:ascii="宋体" w:hAnsi="宋体" w:eastAsia="宋体" w:cs="宋体"/>
          <w:b w:val="0"/>
          <w:bCs w:val="0"/>
          <w:sz w:val="32"/>
          <w:szCs w:val="32"/>
          <w:highlight w:val="none"/>
        </w:rPr>
        <w:t>34104</w:t>
      </w:r>
      <w:r>
        <w:rPr>
          <w:rFonts w:hint="eastAsia" w:ascii="华文仿宋" w:hAnsi="华文仿宋" w:eastAsia="华文仿宋" w:cs="Times New Roman"/>
          <w:sz w:val="32"/>
          <w:szCs w:val="32"/>
          <w:highlight w:val="none"/>
          <w:lang w:val="en-US" w:eastAsia="zh-CN"/>
        </w:rPr>
        <w:t>万元，同比增长28%。税收收入占一般公共预算收入比重为</w:t>
      </w:r>
      <w:r>
        <w:rPr>
          <w:rFonts w:hint="eastAsia" w:ascii="宋体" w:hAnsi="宋体" w:eastAsia="宋体" w:cs="宋体"/>
          <w:b w:val="0"/>
          <w:bCs w:val="0"/>
          <w:sz w:val="32"/>
          <w:szCs w:val="32"/>
          <w:highlight w:val="none"/>
        </w:rPr>
        <w:t>74.6</w:t>
      </w:r>
      <w:r>
        <w:rPr>
          <w:rFonts w:hint="eastAsia" w:ascii="华文仿宋" w:hAnsi="华文仿宋" w:eastAsia="华文仿宋" w:cs="Times New Roman"/>
          <w:sz w:val="32"/>
          <w:szCs w:val="32"/>
          <w:highlight w:val="none"/>
          <w:lang w:val="en-US" w:eastAsia="zh-CN"/>
        </w:rPr>
        <w:t>%，收入质量进一步提高。</w:t>
      </w:r>
      <w:r>
        <w:rPr>
          <w:rFonts w:hint="eastAsia" w:ascii="仿宋_GB2312" w:eastAsia="仿宋_GB2312"/>
          <w:sz w:val="32"/>
          <w:szCs w:val="32"/>
          <w:highlight w:val="none"/>
        </w:rPr>
        <w:t>但我们也清醒地看到，财政经济运行中还存在着一些突出问题：</w:t>
      </w:r>
      <w:r>
        <w:rPr>
          <w:rFonts w:hint="eastAsia" w:ascii="仿宋_GB2312" w:eastAsia="仿宋_GB2312"/>
          <w:b/>
          <w:sz w:val="32"/>
          <w:szCs w:val="32"/>
          <w:highlight w:val="none"/>
        </w:rPr>
        <w:t>一</w:t>
      </w:r>
      <w:r>
        <w:rPr>
          <w:rFonts w:hint="eastAsia" w:ascii="仿宋_GB2312" w:eastAsia="仿宋_GB2312"/>
          <w:b/>
          <w:sz w:val="32"/>
          <w:szCs w:val="32"/>
          <w:highlight w:val="none"/>
          <w:lang w:eastAsia="zh-CN"/>
        </w:rPr>
        <w:t>是</w:t>
      </w:r>
      <w:r>
        <w:rPr>
          <w:rFonts w:hint="eastAsia" w:ascii="仿宋_GB2312" w:hAnsi="Tahoma" w:eastAsia="仿宋_GB2312" w:cs="黑体"/>
          <w:b/>
          <w:kern w:val="0"/>
          <w:sz w:val="32"/>
          <w:szCs w:val="32"/>
          <w:highlight w:val="none"/>
          <w:lang w:val="en-US" w:eastAsia="zh-CN"/>
        </w:rPr>
        <w:t>受新冠疫情影响，行业间税收收入差异较大，重点行业尚未全面复苏。</w:t>
      </w:r>
      <w:r>
        <w:rPr>
          <w:rFonts w:hint="eastAsia" w:ascii="仿宋_GB2312" w:hAnsi="Tahoma" w:eastAsia="仿宋_GB2312" w:cs="黑体"/>
          <w:b w:val="0"/>
          <w:bCs/>
          <w:kern w:val="0"/>
          <w:sz w:val="32"/>
          <w:szCs w:val="32"/>
          <w:highlight w:val="none"/>
          <w:lang w:val="en-US" w:eastAsia="zh-CN"/>
        </w:rPr>
        <w:t>我区上半年税收收入下降较大的行业主要为：电力、热力、燃气及水的生产和供应业，主要原因是河南电网统调公用电厂月度发电综合方案发电量减少，售电量同比减少，市场煤价升高，2020年初受疫情影响，燃料采购困难，致使进项税发票取得较少，可抵扣金额较小；公共管理、社会保障和社会组织业，</w:t>
      </w:r>
      <w:bookmarkStart w:id="0" w:name="_GoBack"/>
      <w:bookmarkEnd w:id="0"/>
      <w:r>
        <w:rPr>
          <w:rFonts w:hint="eastAsia" w:ascii="仿宋_GB2312" w:hAnsi="Tahoma" w:eastAsia="仿宋_GB2312" w:cs="黑体"/>
          <w:b w:val="0"/>
          <w:bCs/>
          <w:kern w:val="0"/>
          <w:sz w:val="32"/>
          <w:szCs w:val="32"/>
          <w:highlight w:val="none"/>
          <w:lang w:val="en-US" w:eastAsia="zh-CN"/>
        </w:rPr>
        <w:t>主要是耕地占用税减收。</w:t>
      </w:r>
      <w:r>
        <w:rPr>
          <w:rFonts w:hint="eastAsia" w:ascii="仿宋_GB2312" w:eastAsia="仿宋_GB2312"/>
          <w:b/>
          <w:sz w:val="32"/>
          <w:szCs w:val="32"/>
          <w:highlight w:val="none"/>
          <w:lang w:eastAsia="zh-CN"/>
        </w:rPr>
        <w:t>二</w:t>
      </w:r>
      <w:r>
        <w:rPr>
          <w:rFonts w:hint="eastAsia" w:ascii="仿宋_GB2312" w:eastAsia="仿宋_GB2312"/>
          <w:b/>
          <w:sz w:val="32"/>
          <w:szCs w:val="32"/>
          <w:highlight w:val="none"/>
        </w:rPr>
        <w:t>是财政刚性支出增长压力大。</w:t>
      </w:r>
      <w:r>
        <w:rPr>
          <w:rFonts w:hint="eastAsia" w:ascii="仿宋_GB2312" w:eastAsia="仿宋_GB2312"/>
          <w:sz w:val="32"/>
          <w:szCs w:val="32"/>
          <w:highlight w:val="none"/>
        </w:rPr>
        <w:t>当前我</w:t>
      </w:r>
      <w:r>
        <w:rPr>
          <w:rFonts w:hint="eastAsia" w:ascii="仿宋_GB2312" w:eastAsia="仿宋_GB2312"/>
          <w:sz w:val="32"/>
          <w:szCs w:val="32"/>
          <w:highlight w:val="none"/>
          <w:lang w:eastAsia="zh-CN"/>
        </w:rPr>
        <w:t>区</w:t>
      </w:r>
      <w:r>
        <w:rPr>
          <w:rFonts w:hint="eastAsia" w:ascii="仿宋_GB2312" w:eastAsia="仿宋_GB2312"/>
          <w:sz w:val="32"/>
          <w:szCs w:val="32"/>
          <w:highlight w:val="none"/>
        </w:rPr>
        <w:t>“三保”支出面临较大的压力，今年</w:t>
      </w:r>
      <w:r>
        <w:rPr>
          <w:rFonts w:hint="eastAsia" w:ascii="仿宋_GB2312" w:eastAsia="仿宋_GB2312"/>
          <w:sz w:val="32"/>
          <w:szCs w:val="32"/>
          <w:highlight w:val="none"/>
          <w:lang w:eastAsia="zh-CN"/>
        </w:rPr>
        <w:t>以来受疫情影响，财政保刚性支出任务艰巨，</w:t>
      </w:r>
      <w:r>
        <w:rPr>
          <w:rFonts w:hint="eastAsia" w:ascii="仿宋_GB2312" w:eastAsia="仿宋_GB2312"/>
          <w:sz w:val="32"/>
          <w:szCs w:val="32"/>
          <w:highlight w:val="none"/>
        </w:rPr>
        <w:t>财政收支矛盾进一步加剧。</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eastAsia" w:ascii="仿宋_GB2312" w:eastAsia="仿宋_GB2312"/>
          <w:b/>
          <w:sz w:val="32"/>
          <w:szCs w:val="32"/>
        </w:rPr>
      </w:pPr>
      <w:r>
        <w:rPr>
          <w:rFonts w:hint="eastAsia" w:ascii="仿宋_GB2312" w:eastAsia="仿宋_GB2312"/>
          <w:b/>
          <w:sz w:val="32"/>
          <w:szCs w:val="32"/>
          <w:lang w:eastAsia="zh-CN"/>
        </w:rPr>
        <w:t>（四）下一步工作措施</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华文仿宋" w:hAnsi="华文仿宋" w:eastAsia="华文仿宋" w:cs="Times New Roman"/>
          <w:sz w:val="32"/>
          <w:szCs w:val="32"/>
          <w:lang w:val="en-US" w:eastAsia="zh-CN"/>
        </w:rPr>
      </w:pPr>
      <w:r>
        <w:rPr>
          <w:rFonts w:hint="eastAsia" w:ascii="华文仿宋" w:hAnsi="华文仿宋" w:eastAsia="华文仿宋" w:cs="Times New Roman"/>
          <w:sz w:val="32"/>
          <w:szCs w:val="32"/>
          <w:lang w:val="en-US" w:eastAsia="zh-CN"/>
        </w:rPr>
        <w:t>为了确保圆满完成全年各项财政任务，我们将按照经济发展的新变化新特点，奋力组织财政收入，规范项目支出管理，加大对民生保障和社会事业的投入，努力推动财政工作再上新台阶，重点是抓好以下四个方面工作：</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华文仿宋" w:hAnsi="华文仿宋" w:eastAsia="华文仿宋" w:cs="Times New Roman"/>
          <w:sz w:val="32"/>
          <w:szCs w:val="32"/>
          <w:lang w:val="en-US" w:eastAsia="zh-CN"/>
        </w:rPr>
      </w:pPr>
      <w:r>
        <w:rPr>
          <w:rFonts w:hint="eastAsia" w:ascii="华文仿宋" w:hAnsi="华文仿宋" w:eastAsia="华文仿宋" w:cs="Times New Roman"/>
          <w:sz w:val="32"/>
          <w:szCs w:val="32"/>
          <w:lang w:val="en-US" w:eastAsia="zh-CN"/>
        </w:rPr>
        <w:t>1.加强财政收入管理。密切关注经济形势和“营改增”改革等政策实施对财税收入的影响，准确把握财税收入的政策改革和体制调整方面的变动趋势，按月进行分析预测，动态研究应对预案；与税务部门协调联动，实时掌握序时进度，多渠道收集情况，查找征管薄弱环节，积极开展综合治税工作，支持税务部门依法征税，应收尽收。</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华文仿宋" w:hAnsi="华文仿宋" w:eastAsia="华文仿宋" w:cs="Times New Roman"/>
          <w:sz w:val="32"/>
          <w:szCs w:val="32"/>
          <w:lang w:val="en-US" w:eastAsia="zh-CN"/>
        </w:rPr>
      </w:pPr>
      <w:r>
        <w:rPr>
          <w:rFonts w:hint="eastAsia" w:ascii="华文仿宋" w:hAnsi="华文仿宋" w:eastAsia="华文仿宋" w:cs="Times New Roman"/>
          <w:sz w:val="32"/>
          <w:szCs w:val="32"/>
          <w:lang w:val="en-US" w:eastAsia="zh-CN"/>
        </w:rPr>
        <w:t>2.调整优化支出结构。开展支出进度自查自纠工作，确保各类专项资金按照省市要求支出到位。同时在保工资、保运转、保民生的基础上，进一步调整优化支出结构，加大对教育、科技、文化、卫生、节能环保和社会热点、民生工程建设资金的倾斜力度。建立结转结余资金定期清理机制，加大结转资金统筹使用力度，对不需按原用途使用的资金，按规定统筹用于经济社会发展亟需资金支持的领域。</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华文仿宋" w:hAnsi="华文仿宋" w:eastAsia="华文仿宋" w:cs="Times New Roman"/>
          <w:sz w:val="32"/>
          <w:szCs w:val="32"/>
          <w:lang w:val="en-US" w:eastAsia="zh-CN"/>
        </w:rPr>
      </w:pPr>
      <w:r>
        <w:rPr>
          <w:rFonts w:hint="eastAsia" w:ascii="华文仿宋" w:hAnsi="华文仿宋" w:eastAsia="华文仿宋" w:cs="Times New Roman"/>
          <w:sz w:val="32"/>
          <w:szCs w:val="32"/>
          <w:lang w:val="en-US" w:eastAsia="zh-CN"/>
        </w:rPr>
        <w:t>3.抓好财政管理创新。创新投入机制，围绕全区重大决策事项，优化财政支出结构，建立多渠道财政投入和保障机制，通过财政资金投入、撬动信贷资金、引入社会资本等多种途径，为民生类重大项目、重点工程提供资金保障。加强财政管理严格控制行政支出，确保部门“三公”经费实现零增长，并按规定时限和要求向社会公开。</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华文仿宋" w:hAnsi="华文仿宋" w:eastAsia="华文仿宋" w:cs="Times New Roman"/>
          <w:sz w:val="32"/>
          <w:szCs w:val="32"/>
          <w:lang w:val="en-US" w:eastAsia="zh-CN"/>
        </w:rPr>
      </w:pPr>
      <w:r>
        <w:rPr>
          <w:rFonts w:hint="eastAsia" w:ascii="华文仿宋" w:hAnsi="华文仿宋" w:eastAsia="华文仿宋" w:cs="Times New Roman"/>
          <w:sz w:val="32"/>
          <w:szCs w:val="32"/>
          <w:lang w:val="en-US" w:eastAsia="zh-CN"/>
        </w:rPr>
        <w:t>4.加强财政队伍建设。积极组织开展业务技能培训，不断提高财政人员依法理财、科学理财、创新理财、为民理财的能力。进一步转变干部作风，提高财政干部队伍服务水平，提高工作效率、服务全区经济发展。抓好学习教育，加强职业道德建设，牢固树立为民服务意识，提倡爱岗敬业，做到清正廉洁，不办人情事，不拨人情款，强化依法征收，依法行政，树立良好的财政服务人员形象。</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华文仿宋" w:hAnsi="华文仿宋" w:eastAsia="华文仿宋" w:cs="Times New Roman"/>
          <w:sz w:val="32"/>
          <w:szCs w:val="32"/>
          <w:lang w:val="en-US" w:eastAsia="zh-CN"/>
        </w:rPr>
      </w:pPr>
      <w:r>
        <w:rPr>
          <w:rFonts w:hint="eastAsia" w:ascii="华文仿宋" w:hAnsi="华文仿宋" w:eastAsia="华文仿宋" w:cs="Times New Roman"/>
          <w:sz w:val="32"/>
          <w:szCs w:val="32"/>
          <w:lang w:val="en-US" w:eastAsia="zh-CN"/>
        </w:rPr>
        <w:t>以上报告，请予审议！</w:t>
      </w:r>
    </w:p>
    <w:p>
      <w:pPr>
        <w:numPr>
          <w:ilvl w:val="0"/>
          <w:numId w:val="0"/>
        </w:numPr>
        <w:ind w:firstLine="640" w:firstLineChars="200"/>
        <w:rPr>
          <w:rFonts w:hint="eastAsia" w:ascii="仿宋" w:hAnsi="仿宋" w:eastAsia="仿宋"/>
          <w:sz w:val="32"/>
          <w:szCs w:val="32"/>
          <w:lang w:val="en-US" w:eastAsia="zh-CN"/>
        </w:rPr>
      </w:pPr>
    </w:p>
    <w:p>
      <w:pPr>
        <w:numPr>
          <w:ilvl w:val="0"/>
          <w:numId w:val="0"/>
        </w:numPr>
        <w:ind w:firstLine="640" w:firstLineChars="200"/>
        <w:rPr>
          <w:rFonts w:hint="eastAsia" w:ascii="仿宋" w:hAnsi="仿宋" w:eastAsia="仿宋"/>
          <w:sz w:val="32"/>
          <w:szCs w:val="32"/>
          <w:lang w:val="en-US" w:eastAsia="zh-CN"/>
        </w:rPr>
      </w:pPr>
    </w:p>
    <w:p>
      <w:pPr>
        <w:numPr>
          <w:ilvl w:val="0"/>
          <w:numId w:val="0"/>
        </w:numPr>
        <w:rPr>
          <w:rFonts w:hint="default" w:ascii="仿宋" w:hAnsi="仿宋" w:eastAsia="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01"/>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C9DEC9"/>
    <w:multiLevelType w:val="singleLevel"/>
    <w:tmpl w:val="A7C9DEC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4F7E86"/>
    <w:rsid w:val="014C30A6"/>
    <w:rsid w:val="05F31980"/>
    <w:rsid w:val="08D91D89"/>
    <w:rsid w:val="0936262B"/>
    <w:rsid w:val="0A4F7E86"/>
    <w:rsid w:val="0D376126"/>
    <w:rsid w:val="0DAC45F1"/>
    <w:rsid w:val="11F96499"/>
    <w:rsid w:val="151462D6"/>
    <w:rsid w:val="19141E2E"/>
    <w:rsid w:val="198D3660"/>
    <w:rsid w:val="1D1842AB"/>
    <w:rsid w:val="1D941BC3"/>
    <w:rsid w:val="204E1E8B"/>
    <w:rsid w:val="20BD1184"/>
    <w:rsid w:val="2247512A"/>
    <w:rsid w:val="22BA0D53"/>
    <w:rsid w:val="22C025E2"/>
    <w:rsid w:val="279F780B"/>
    <w:rsid w:val="27CC2929"/>
    <w:rsid w:val="2A716B57"/>
    <w:rsid w:val="2CB47881"/>
    <w:rsid w:val="2EEB0065"/>
    <w:rsid w:val="2F7D4F06"/>
    <w:rsid w:val="2F994F79"/>
    <w:rsid w:val="321037D2"/>
    <w:rsid w:val="32BF374D"/>
    <w:rsid w:val="36487FF2"/>
    <w:rsid w:val="37F539A4"/>
    <w:rsid w:val="38182022"/>
    <w:rsid w:val="3BC63039"/>
    <w:rsid w:val="3D4B009B"/>
    <w:rsid w:val="3F157B27"/>
    <w:rsid w:val="3F9B3494"/>
    <w:rsid w:val="3FD267C3"/>
    <w:rsid w:val="434C12EE"/>
    <w:rsid w:val="461C5A97"/>
    <w:rsid w:val="468B3EC4"/>
    <w:rsid w:val="486D3548"/>
    <w:rsid w:val="4A904A3A"/>
    <w:rsid w:val="4B6B1B8D"/>
    <w:rsid w:val="4DEA5D8A"/>
    <w:rsid w:val="4F8E1919"/>
    <w:rsid w:val="4FE1168F"/>
    <w:rsid w:val="50A32DF8"/>
    <w:rsid w:val="50B708D2"/>
    <w:rsid w:val="561A7E61"/>
    <w:rsid w:val="57004991"/>
    <w:rsid w:val="5A081763"/>
    <w:rsid w:val="60FA3B6D"/>
    <w:rsid w:val="61492E22"/>
    <w:rsid w:val="62106495"/>
    <w:rsid w:val="62263DBD"/>
    <w:rsid w:val="62B532C1"/>
    <w:rsid w:val="655B20B4"/>
    <w:rsid w:val="65DA7455"/>
    <w:rsid w:val="65F552C6"/>
    <w:rsid w:val="689F664A"/>
    <w:rsid w:val="69054AB0"/>
    <w:rsid w:val="6E8E7146"/>
    <w:rsid w:val="731641E8"/>
    <w:rsid w:val="75CD21C8"/>
    <w:rsid w:val="75E02FE6"/>
    <w:rsid w:val="79BD701B"/>
    <w:rsid w:val="7B7F4971"/>
    <w:rsid w:val="7C8D25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4A4A4A"/>
      <w:u w:val="none"/>
    </w:rPr>
  </w:style>
  <w:style w:type="character" w:styleId="6">
    <w:name w:val="Emphasis"/>
    <w:basedOn w:val="4"/>
    <w:qFormat/>
    <w:uiPriority w:val="0"/>
  </w:style>
  <w:style w:type="character" w:styleId="7">
    <w:name w:val="HTML Definition"/>
    <w:basedOn w:val="4"/>
    <w:qFormat/>
    <w:uiPriority w:val="0"/>
  </w:style>
  <w:style w:type="character" w:styleId="8">
    <w:name w:val="HTML Acronym"/>
    <w:basedOn w:val="4"/>
    <w:qFormat/>
    <w:uiPriority w:val="0"/>
  </w:style>
  <w:style w:type="character" w:styleId="9">
    <w:name w:val="HTML Variable"/>
    <w:basedOn w:val="4"/>
    <w:qFormat/>
    <w:uiPriority w:val="0"/>
  </w:style>
  <w:style w:type="character" w:styleId="10">
    <w:name w:val="Hyperlink"/>
    <w:basedOn w:val="4"/>
    <w:qFormat/>
    <w:uiPriority w:val="0"/>
    <w:rPr>
      <w:color w:val="4A4A4A"/>
      <w:u w:val="none"/>
    </w:rPr>
  </w:style>
  <w:style w:type="character" w:styleId="11">
    <w:name w:val="HTML Code"/>
    <w:basedOn w:val="4"/>
    <w:qFormat/>
    <w:uiPriority w:val="0"/>
    <w:rPr>
      <w:rFonts w:ascii="Courier New" w:hAnsi="Courier New"/>
      <w:sz w:val="20"/>
    </w:rPr>
  </w:style>
  <w:style w:type="character" w:styleId="12">
    <w:name w:val="HTML Cite"/>
    <w:basedOn w:val="4"/>
    <w:qFormat/>
    <w:uiPriority w:val="0"/>
  </w:style>
  <w:style w:type="character" w:customStyle="1" w:styleId="13">
    <w:name w:val="hover28"/>
    <w:basedOn w:val="4"/>
    <w:qFormat/>
    <w:uiPriority w:val="0"/>
    <w:rPr>
      <w:color w:val="1258AD"/>
      <w:u w:val="none"/>
      <w:bdr w:val="single" w:color="1258AD" w:sz="6" w:space="0"/>
    </w:rPr>
  </w:style>
  <w:style w:type="character" w:customStyle="1" w:styleId="14">
    <w:name w:val="layui-this"/>
    <w:basedOn w:val="4"/>
    <w:qFormat/>
    <w:uiPriority w:val="0"/>
    <w:rPr>
      <w:bdr w:val="single" w:color="EEEEEE" w:sz="6" w:space="0"/>
      <w:shd w:val="clear" w:fill="FFFFFF"/>
    </w:rPr>
  </w:style>
  <w:style w:type="character" w:customStyle="1" w:styleId="15">
    <w:name w:val="first-child"/>
    <w:basedOn w:val="4"/>
    <w:qFormat/>
    <w:uiPriority w:val="0"/>
  </w:style>
  <w:style w:type="character" w:customStyle="1" w:styleId="16">
    <w:name w:val="hover26"/>
    <w:basedOn w:val="4"/>
    <w:qFormat/>
    <w:uiPriority w:val="0"/>
    <w:rPr>
      <w:color w:val="1258AD"/>
      <w:u w:val="none"/>
      <w:bdr w:val="single" w:color="1258AD" w:sz="6" w:space="0"/>
    </w:rPr>
  </w:style>
  <w:style w:type="character" w:customStyle="1" w:styleId="17">
    <w:name w:val="hover27"/>
    <w:basedOn w:val="4"/>
    <w:qFormat/>
    <w:uiPriority w:val="0"/>
    <w:rPr>
      <w:color w:val="1258AD"/>
      <w:u w:val="none"/>
      <w:bdr w:val="single" w:color="1258AD" w:sz="6"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2019-08-07T01:25:00Z</dcterms:created>
  <dc:creator>水韵清荷</dc:creator>
  <cp:lastModifiedBy>王朝权</cp:lastModifiedBy>
  <cp:lastPrinted>2020-11-13T07:49:00Z</cp:lastPrinted>
  <dcterms:modified xsi:type="dcterms:W3CDTF">2021-09-14T02:18:54Z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