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</w:t>
      </w:r>
      <w:r>
        <w:rPr>
          <w:rFonts w:hint="eastAsia"/>
          <w:b/>
          <w:sz w:val="44"/>
          <w:szCs w:val="44"/>
        </w:rPr>
        <w:t>20年度南阳市明山路第一小学学校预算公开</w:t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目录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 南阳市</w:t>
      </w:r>
      <w:r>
        <w:rPr>
          <w:rFonts w:hint="eastAsia"/>
          <w:b/>
          <w:sz w:val="32"/>
          <w:szCs w:val="32"/>
        </w:rPr>
        <w:t>明山路第一小学</w:t>
      </w:r>
      <w:r>
        <w:rPr>
          <w:rFonts w:hint="eastAsia" w:ascii="黑体" w:hAnsi="黑体" w:eastAsia="黑体"/>
          <w:sz w:val="32"/>
          <w:szCs w:val="32"/>
        </w:rPr>
        <w:t>学校基本情况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一、机构设置情况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二、单位主要职责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 部门预算情况说明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 名词解释</w:t>
      </w:r>
    </w:p>
    <w:p>
      <w:pPr>
        <w:ind w:firstLine="640" w:firstLineChars="200"/>
        <w:rPr>
          <w:rFonts w:ascii="黑体" w:hAnsi="黑体" w:eastAsia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2020年部门预算表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一、部门收支预算总表 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二、部门收入预算总表 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三、部门支出总体情况表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四、财政拨款</w:t>
      </w:r>
      <w:r>
        <w:rPr>
          <w:rFonts w:hint="eastAsia" w:ascii="黑体" w:hAnsi="黑体" w:eastAsia="黑体"/>
          <w:sz w:val="32"/>
          <w:szCs w:val="32"/>
        </w:rPr>
        <w:t>预算</w:t>
      </w:r>
      <w:r>
        <w:rPr>
          <w:rFonts w:ascii="黑体" w:hAnsi="黑体" w:eastAsia="黑体"/>
          <w:sz w:val="32"/>
          <w:szCs w:val="32"/>
        </w:rPr>
        <w:t xml:space="preserve">收支总体情况表 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五、一般公共预算支出情况表 （按功能分类）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六、一般公共预算基本支出情况表（按经济分类）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七、政府性基金预算支出情况表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</w:t>
      </w:r>
      <w:r>
        <w:rPr>
          <w:rFonts w:ascii="黑体" w:hAnsi="黑体" w:eastAsia="黑体"/>
          <w:sz w:val="32"/>
          <w:szCs w:val="32"/>
        </w:rPr>
        <w:t>一般公共预算“三公”经费支出情况表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 南阳市明山路第一小学学校基本情况</w:t>
      </w:r>
    </w:p>
    <w:p>
      <w:pPr>
        <w:spacing w:beforeLines="50"/>
        <w:ind w:firstLine="640"/>
        <w:rPr>
          <w:rFonts w:ascii="华文仿宋" w:hAnsi="华文仿宋" w:eastAsia="华文仿宋"/>
          <w:kern w:val="0"/>
          <w:sz w:val="32"/>
          <w:szCs w:val="32"/>
        </w:rPr>
      </w:pPr>
      <w:r>
        <w:rPr>
          <w:rFonts w:hint="eastAsia" w:ascii="华文仿宋" w:hAnsi="华文仿宋" w:eastAsia="华文仿宋"/>
          <w:kern w:val="0"/>
          <w:sz w:val="32"/>
          <w:szCs w:val="32"/>
        </w:rPr>
        <w:t>一、机构设置情况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南阳市明山路第一小学学校为单位本级预算。南阳市明山路第一小学学校无下设机构。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南阳市明山路第一小学学校</w:t>
      </w:r>
      <w:r>
        <w:rPr>
          <w:rFonts w:hint="eastAsia" w:ascii="仿宋_GB2312" w:hAnsi="仿宋_GB2312" w:eastAsia="仿宋_GB2312" w:cs="仿宋_GB2312"/>
          <w:spacing w:val="20"/>
          <w:kern w:val="0"/>
          <w:sz w:val="32"/>
          <w:szCs w:val="32"/>
          <w:lang w:val="zh-CN"/>
        </w:rPr>
        <w:t>部门预算单位构成：</w:t>
      </w:r>
      <w:r>
        <w:rPr>
          <w:rFonts w:hint="eastAsia" w:ascii="仿宋_GB2312" w:hAnsi="仿宋_GB2312" w:eastAsia="仿宋_GB2312" w:cs="仿宋_GB2312"/>
          <w:sz w:val="32"/>
          <w:szCs w:val="32"/>
        </w:rPr>
        <w:t>南阳市明山路第一小学学校</w:t>
      </w:r>
      <w:r>
        <w:rPr>
          <w:rFonts w:hint="eastAsia" w:ascii="仿宋_GB2312" w:hAnsi="仿宋_GB2312" w:eastAsia="仿宋_GB2312" w:cs="仿宋_GB2312"/>
          <w:spacing w:val="20"/>
          <w:kern w:val="0"/>
          <w:sz w:val="32"/>
          <w:szCs w:val="32"/>
          <w:lang w:val="zh-CN"/>
        </w:rPr>
        <w:t>部门预算包括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南阳市明山路第一小学学校</w:t>
      </w:r>
      <w:r>
        <w:rPr>
          <w:rFonts w:hint="eastAsia" w:ascii="仿宋_GB2312" w:hAnsi="仿宋_GB2312" w:eastAsia="仿宋_GB2312" w:cs="仿宋_GB2312"/>
          <w:spacing w:val="20"/>
          <w:kern w:val="0"/>
          <w:sz w:val="32"/>
          <w:szCs w:val="32"/>
          <w:lang w:val="zh-CN"/>
        </w:rPr>
        <w:t>本级预算。</w:t>
      </w:r>
    </w:p>
    <w:p>
      <w:pPr>
        <w:numPr>
          <w:ilvl w:val="0"/>
          <w:numId w:val="1"/>
        </w:numPr>
        <w:ind w:left="758" w:leftChars="285" w:hanging="160" w:hangingChars="5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单位主要职责</w:t>
      </w:r>
    </w:p>
    <w:p>
      <w:pPr>
        <w:ind w:left="758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起草、修订、落实、管理校园总体规划和校园建设</w:t>
      </w:r>
    </w:p>
    <w:p>
      <w:pPr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规划，编制学校基建年度投资计划，基本建设项目的计划、立项、方案制定、勘察设计、报建、合同、施工管理工作，方案设计在使用和管理单位的配合下组织实施，组织施工过程中各种技术问题处理方案的论证并形成处理意见，代表学校执行相关施工合同，工程施工的现场监督与管理，对监理公司的工作进行督促、检查和审定，基建项目的土地征地和办证工作，配合财务部门做好工程经费支出统计及工程结算手续，完成区校建办交办的其他工作。</w:t>
      </w:r>
    </w:p>
    <w:p>
      <w:pPr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600" w:lineRule="exact"/>
        <w:ind w:firstLine="1800" w:firstLineChars="500"/>
        <w:rPr>
          <w:rFonts w:ascii="仿宋_GB2312" w:eastAsia="仿宋_GB2312"/>
          <w:spacing w:val="20"/>
          <w:kern w:val="0"/>
          <w:sz w:val="32"/>
          <w:szCs w:val="32"/>
        </w:rPr>
      </w:pPr>
      <w:r>
        <w:rPr>
          <w:rFonts w:hint="eastAsia" w:ascii="黑体" w:hAnsi="黑体" w:eastAsia="黑体"/>
          <w:spacing w:val="20"/>
          <w:kern w:val="0"/>
          <w:sz w:val="32"/>
          <w:szCs w:val="32"/>
        </w:rPr>
        <w:t>第二部分</w:t>
      </w:r>
      <w:r>
        <w:rPr>
          <w:rFonts w:hint="eastAsia" w:ascii="黑体" w:hAnsi="黑体" w:eastAsia="黑体"/>
          <w:kern w:val="0"/>
          <w:sz w:val="32"/>
          <w:szCs w:val="32"/>
        </w:rPr>
        <w:t>部门预算情况说明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一、收支预算总体情况说明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年收入总计1599.5万元，支出总计1599.5万元。与上年相比，收、支各增加1149.5万元，增加255.4%，主要原因是：南阳市明山路第一小学2019年开始建设，2020年建设竣工，需支付工程款，基本支出和项目支出均较2020年增加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二、收入预算总体情况说明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2020年收入合计1599.5万元，其中：一般公共预算1599.5万元。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三、支出预算总体情况说明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2020年支出合计1599.5万元，其中：基本支出0万元，占0%；项目支出1599.5万元，占100%。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四、财政拨款收支预算总体情况说明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2020年一般公共预算收支预算1599.5万元，政府性基金收支预算0万元。与上年相比，一般公共预算收支预算增加1149.5万元，增加255.4%，主要原因是：项目支出有增加，基本支出未变化。政府性基金收支预算未变化。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五、一般公共预算支出预算情况说明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pacing w:val="2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2019年一般公共预算支出预算为1599.5万元。主要用于以下方面：教育支出（类）1599.5万</w:t>
      </w:r>
      <w:r>
        <w:rPr>
          <w:rFonts w:hint="eastAsia" w:ascii="仿宋_GB2312" w:hAnsi="仿宋_GB2312" w:eastAsia="仿宋_GB2312" w:cs="仿宋_GB2312"/>
          <w:spacing w:val="20"/>
          <w:kern w:val="0"/>
          <w:sz w:val="32"/>
          <w:szCs w:val="32"/>
        </w:rPr>
        <w:t>，占100%。</w:t>
      </w:r>
    </w:p>
    <w:p>
      <w:pPr>
        <w:spacing w:line="560" w:lineRule="exact"/>
        <w:ind w:firstLine="723" w:firstLineChars="200"/>
        <w:rPr>
          <w:rFonts w:ascii="仿宋_GB2312" w:hAnsi="仿宋_GB2312" w:eastAsia="仿宋_GB2312" w:cs="仿宋_GB2312"/>
          <w:b/>
          <w:spacing w:val="2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20"/>
          <w:kern w:val="0"/>
          <w:sz w:val="32"/>
          <w:szCs w:val="32"/>
        </w:rPr>
        <w:t>六、支出预算经济分类情况说明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按照《财政部关于印发〈支出经济分类科目改革方案〉的通知》（财预﹝2017﹞98号）要求，从2018年起全面实施支出经济分类科目改革，根据政府预算管理和部门预算管理的不同特点，分设部门预算支出经济分类科目和政府预算支出经济分类科目，两套科目之间保持对应关系。为适应改革要求，我部门《支出经济分类汇总表》由上年仅反映一般公共预算基本支出经济分类科目预算，调整为按两套经济分类科目分别反映不同资金来源的全部预算支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单位具体情况：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南阳市明山路第一小学学校</w:t>
      </w:r>
      <w:r>
        <w:rPr>
          <w:rFonts w:hint="eastAsia" w:ascii="仿宋_GB2312" w:hAnsi="Times New Roman" w:eastAsia="仿宋_GB2312"/>
          <w:sz w:val="32"/>
          <w:szCs w:val="32"/>
        </w:rPr>
        <w:t>2020年一般公共预算基本支出0万元，其中：人员经费0万元，主要包括：基本工资、津贴补贴、奖金、其他工资福利支出、离休费、退休费、等各项经费；公用经费0万元，主要包括：办公费、印刷费、邮电费、差旅费、会议费、培训费、公务接待费、委托业务费等支出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七、一般公共预算“三公”经费支出预算情况说明</w:t>
      </w:r>
    </w:p>
    <w:p>
      <w:pPr>
        <w:widowControl w:val="0"/>
        <w:spacing w:line="240" w:lineRule="auto"/>
        <w:ind w:firstLine="640" w:firstLineChars="200"/>
        <w:jc w:val="both"/>
        <w:rPr>
          <w:rFonts w:hint="eastAsia" w:ascii="仿宋_GB2312" w:hAnsi="华文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华文仿宋" w:eastAsia="仿宋_GB2312" w:cs="Times New Roman"/>
          <w:kern w:val="2"/>
          <w:sz w:val="32"/>
          <w:szCs w:val="32"/>
          <w:lang w:val="en-US" w:eastAsia="zh-CN" w:bidi="ar-SA"/>
        </w:rPr>
        <w:t>我单位2020年“三公”经费预算为0万元，与上年0万元持平，主要原因是本年未安排三公经费支出。具体支出情况如下：</w:t>
      </w:r>
    </w:p>
    <w:p>
      <w:pPr>
        <w:widowControl w:val="0"/>
        <w:spacing w:line="240" w:lineRule="auto"/>
        <w:ind w:firstLine="640" w:firstLineChars="200"/>
        <w:jc w:val="both"/>
        <w:rPr>
          <w:rFonts w:hint="eastAsia" w:ascii="仿宋_GB2312" w:hAnsi="华文仿宋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华文仿宋" w:eastAsia="仿宋_GB2312" w:cs="Times New Roman"/>
          <w:kern w:val="2"/>
          <w:sz w:val="32"/>
          <w:szCs w:val="32"/>
          <w:lang w:val="en-US" w:eastAsia="zh-CN" w:bidi="ar-SA"/>
        </w:rPr>
        <w:t>1、因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lang w:eastAsia="zh-CN" w:bidi="ar-SA"/>
        </w:rPr>
        <w:t>公出国（境）费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lang w:eastAsia="zh-CN" w:bidi="ar-SA"/>
        </w:rPr>
        <w:t>万元，主要用于单位工作人员公务出国（境）的住宿费、旅费、伙食补助费、杂费、培训费等支出，与上年0万元持平，主要原因是本年未安排因公出国费用。</w:t>
      </w:r>
    </w:p>
    <w:p>
      <w:pPr>
        <w:widowControl w:val="0"/>
        <w:spacing w:line="240" w:lineRule="auto"/>
        <w:ind w:firstLine="640" w:firstLineChars="200"/>
        <w:jc w:val="both"/>
        <w:rPr>
          <w:rFonts w:hint="eastAsia" w:ascii="仿宋_GB2312" w:hAnsi="华文仿宋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华文仿宋" w:eastAsia="仿宋_GB2312" w:cs="Times New Roman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lang w:eastAsia="zh-CN" w:bidi="ar-SA"/>
        </w:rPr>
        <w:t>公务用车购置及运行费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lang w:eastAsia="zh-CN" w:bidi="ar-SA"/>
        </w:rPr>
        <w:t>万元，主要用于开展工作所需公务用车的燃料费、维修费、过路过桥费、保险费、安全奖励费用等支出。公务用车购置及运行费预算数与上年0万元持平，主要原因是本年未安排公务用车购置及运行费。其中，公务用车购置费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lang w:eastAsia="zh-CN" w:bidi="ar-SA"/>
        </w:rPr>
        <w:t>万元，公务用车购置费预算数与上年0万元持平，主要原因是本年未安排公务用车购置费；公务用车运行维护费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lang w:eastAsia="zh-CN" w:bidi="ar-SA"/>
        </w:rPr>
        <w:t>万元，公务用车运行维护费预算数与上年0万元持平，主要原因是本年未安排公务用车运行维护费。</w:t>
      </w:r>
    </w:p>
    <w:p>
      <w:pPr>
        <w:widowControl w:val="0"/>
        <w:spacing w:line="24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Times New Roman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lang w:eastAsia="zh-CN" w:bidi="ar-SA"/>
        </w:rPr>
        <w:t>公务接待费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lang w:eastAsia="zh-CN" w:bidi="ar-SA"/>
        </w:rPr>
        <w:t>万元，主要用于按规定开支的各类公务接待（含外宾接待）支出。预算数与上年0万元持平，主要原因是本年未安排公务接待费用。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八、政府性基金预算支出情况说明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2020年我单位没有政府性基金收入，也没有使用政府性基金安排的支出。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九、其他重要事项的情况说明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1、机关运行经费支出情况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2020年机关运行经费安排2万元，主要保障机构正常运转及正常履职需要。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2、政府采购支出情况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2020年安排政府采购项目200万元，用于基本教学设施设备购置。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3、国有资产占用情况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截止2019年12月31日，我单位资产总额是703.5万元，其中流动资产583.5万元，固定资产3万元，在建工程116.75万元。汽车0辆；单价50万元及100万元以上大型设备价值0万元。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4、重点项目预算绩效目标情况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我单位2019年未开展重点项目预算绩效工作。2020年，我单位拟组织对新建教学楼施工建设工程项目进行预算绩效评价，涉及资金 1350.1万元。  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5、专项转移支付情况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我单位没有专项转移支付项目情况。</w:t>
      </w:r>
    </w:p>
    <w:p>
      <w:pPr>
        <w:spacing w:line="360" w:lineRule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rPr>
          <w:rFonts w:hint="eastAsia" w:ascii="华文仿宋" w:hAnsi="华文仿宋" w:eastAsia="华文仿宋"/>
          <w:b/>
          <w:bCs/>
          <w:kern w:val="0"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kern w:val="0"/>
          <w:sz w:val="32"/>
          <w:szCs w:val="32"/>
        </w:rPr>
        <w:br w:type="page"/>
      </w:r>
    </w:p>
    <w:p>
      <w:pPr>
        <w:jc w:val="center"/>
        <w:rPr>
          <w:rFonts w:ascii="华文仿宋" w:hAnsi="华文仿宋" w:eastAsia="华文仿宋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华文仿宋" w:hAnsi="华文仿宋" w:eastAsia="华文仿宋"/>
          <w:b/>
          <w:bCs/>
          <w:kern w:val="0"/>
          <w:sz w:val="32"/>
          <w:szCs w:val="32"/>
        </w:rPr>
        <w:t>第三部分 名词解释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一、财政拨款收入：是指区级财政当年拨付的资金。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二、事业收入：是指事业单位开展专业活动及辅助活动所取得的收入。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 “三公”经费：是指纳入区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机关运行经费：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>
      <w:pPr>
        <w:rPr>
          <w:rFonts w:ascii="华文仿宋" w:hAnsi="华文仿宋" w:eastAsia="华文仿宋"/>
          <w:kern w:val="0"/>
          <w:sz w:val="32"/>
          <w:szCs w:val="32"/>
        </w:rPr>
      </w:pPr>
    </w:p>
    <w:p>
      <w:pPr>
        <w:rPr>
          <w:rFonts w:ascii="华文仿宋" w:hAnsi="华文仿宋" w:eastAsia="华文仿宋"/>
          <w:kern w:val="0"/>
          <w:sz w:val="32"/>
          <w:szCs w:val="32"/>
        </w:rPr>
      </w:pPr>
    </w:p>
    <w:p>
      <w:pPr>
        <w:rPr>
          <w:rFonts w:ascii="华文仿宋" w:hAnsi="华文仿宋" w:eastAsia="华文仿宋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hAnsi="华文仿宋" w:eastAsia="仿宋_GB2312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hAnsi="华文仿宋" w:eastAsia="仿宋_GB2312"/>
          <w:kern w:val="0"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华文仿宋" w:eastAsia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1E69"/>
    <w:multiLevelType w:val="singleLevel"/>
    <w:tmpl w:val="10301E69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27E2"/>
    <w:rsid w:val="00050E2E"/>
    <w:rsid w:val="00086972"/>
    <w:rsid w:val="001753C7"/>
    <w:rsid w:val="001952D5"/>
    <w:rsid w:val="001C239E"/>
    <w:rsid w:val="001E5781"/>
    <w:rsid w:val="0061400B"/>
    <w:rsid w:val="00677145"/>
    <w:rsid w:val="006C7E3C"/>
    <w:rsid w:val="007E7499"/>
    <w:rsid w:val="008A712F"/>
    <w:rsid w:val="0097279A"/>
    <w:rsid w:val="00997764"/>
    <w:rsid w:val="009B091F"/>
    <w:rsid w:val="00A5213F"/>
    <w:rsid w:val="00C71E09"/>
    <w:rsid w:val="00D527E2"/>
    <w:rsid w:val="00E13DA2"/>
    <w:rsid w:val="00E801A3"/>
    <w:rsid w:val="015C7C4E"/>
    <w:rsid w:val="01FD2344"/>
    <w:rsid w:val="0AD51777"/>
    <w:rsid w:val="11F21815"/>
    <w:rsid w:val="14AB7D15"/>
    <w:rsid w:val="168E4682"/>
    <w:rsid w:val="1C8A0FB0"/>
    <w:rsid w:val="1CE82CCE"/>
    <w:rsid w:val="1D9A5BE9"/>
    <w:rsid w:val="21962302"/>
    <w:rsid w:val="24745564"/>
    <w:rsid w:val="25AA2906"/>
    <w:rsid w:val="29543D93"/>
    <w:rsid w:val="33B665C3"/>
    <w:rsid w:val="34504144"/>
    <w:rsid w:val="3A040A4A"/>
    <w:rsid w:val="3AE0363E"/>
    <w:rsid w:val="3D252C4E"/>
    <w:rsid w:val="3F46294A"/>
    <w:rsid w:val="458F13FF"/>
    <w:rsid w:val="46485BD9"/>
    <w:rsid w:val="4D1B3A70"/>
    <w:rsid w:val="4D4816BB"/>
    <w:rsid w:val="54A7683A"/>
    <w:rsid w:val="56BF09E9"/>
    <w:rsid w:val="5A101635"/>
    <w:rsid w:val="5B357DEA"/>
    <w:rsid w:val="623953A1"/>
    <w:rsid w:val="66A5328D"/>
    <w:rsid w:val="685C3481"/>
    <w:rsid w:val="6C6F2A8E"/>
    <w:rsid w:val="6DC365FF"/>
    <w:rsid w:val="6FA6505A"/>
    <w:rsid w:val="714B4D1D"/>
    <w:rsid w:val="765858C6"/>
    <w:rsid w:val="77066FE0"/>
    <w:rsid w:val="7E9409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 Light" w:hAnsi="Calibri Light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381</Words>
  <Characters>2173</Characters>
  <Lines>18</Lines>
  <Paragraphs>5</Paragraphs>
  <TotalTime>0</TotalTime>
  <ScaleCrop>false</ScaleCrop>
  <LinksUpToDate>false</LinksUpToDate>
  <CharactersWithSpaces>2549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2019-06-19T02:58:00Z</dcterms:created>
  <dc:creator>lenovo</dc:creator>
  <cp:lastModifiedBy>Administrator</cp:lastModifiedBy>
  <dcterms:modified xsi:type="dcterms:W3CDTF">2021-06-11T08:07:36Z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