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2020年南阳高新区实验学校预算公开</w:t>
      </w:r>
    </w:p>
    <w:p>
      <w:pPr>
        <w:spacing w:line="600" w:lineRule="exact"/>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目录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第一部分 南阳高新区实验学校基本情况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一、机构设置情况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二、单位主要职责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第二部分 部门预算情况说明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ind w:firstLine="640" w:firstLineChars="200"/>
        <w:rPr>
          <w:rFonts w:ascii="黑体" w:hAnsi="黑体" w:eastAsia="黑体"/>
          <w:color w:val="333333"/>
          <w:sz w:val="32"/>
          <w:szCs w:val="32"/>
          <w:shd w:val="clear" w:color="auto" w:fill="FFFFFF"/>
        </w:rPr>
      </w:pPr>
      <w:r>
        <w:rPr>
          <w:rFonts w:hint="eastAsia" w:ascii="黑体" w:hAnsi="黑体" w:eastAsia="黑体"/>
          <w:sz w:val="32"/>
          <w:szCs w:val="32"/>
        </w:rPr>
        <w:t>附件：</w:t>
      </w:r>
      <w:r>
        <w:rPr>
          <w:rFonts w:hint="eastAsia" w:ascii="黑体" w:hAnsi="黑体" w:eastAsia="黑体"/>
          <w:color w:val="333333"/>
          <w:sz w:val="32"/>
          <w:szCs w:val="32"/>
          <w:shd w:val="clear" w:color="auto" w:fill="FFFFFF"/>
        </w:rPr>
        <w:t>2020年部门预算表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一、部门收支预算总表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二、部门收入预算总表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三、部门支出总体情况表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 xml:space="preserve">四、财政拨款收支总体情况表 </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五、一般公共预算支出情况表 （按功能分类）</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六、一般公共预算基本支出情况表（按经济分类）</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七、政府性基金支出情况表</w:t>
      </w:r>
    </w:p>
    <w:p>
      <w:pPr>
        <w:kinsoku w:val="0"/>
        <w:overflowPunct w:val="0"/>
        <w:adjustRightInd w:val="0"/>
        <w:snapToGrid w:val="0"/>
        <w:spacing w:line="360" w:lineRule="auto"/>
        <w:ind w:right="51" w:firstLine="640" w:firstLineChars="200"/>
        <w:jc w:val="left"/>
        <w:rPr>
          <w:rFonts w:ascii="黑体" w:hAnsi="黑体" w:eastAsia="黑体" w:cs="黑体"/>
          <w:sz w:val="32"/>
          <w:szCs w:val="32"/>
        </w:rPr>
      </w:pPr>
      <w:r>
        <w:rPr>
          <w:rFonts w:hint="eastAsia" w:ascii="黑体" w:hAnsi="黑体" w:eastAsia="黑体" w:cs="黑体"/>
          <w:sz w:val="32"/>
          <w:szCs w:val="32"/>
        </w:rPr>
        <w:t>八、一般公共预算“三公”经费支出情况表</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第一部分 南阳高新区实验学校基本情况</w:t>
      </w:r>
    </w:p>
    <w:p>
      <w:pPr>
        <w:spacing w:line="600" w:lineRule="exact"/>
        <w:ind w:firstLine="640" w:firstLineChars="200"/>
        <w:jc w:val="left"/>
        <w:rPr>
          <w:rFonts w:ascii="华文仿宋" w:hAnsi="华文仿宋" w:eastAsia="华文仿宋"/>
          <w:kern w:val="0"/>
          <w:sz w:val="32"/>
          <w:szCs w:val="32"/>
        </w:rPr>
      </w:pPr>
      <w:r>
        <w:rPr>
          <w:rFonts w:hint="eastAsia" w:ascii="华文仿宋" w:hAnsi="华文仿宋" w:eastAsia="华文仿宋"/>
          <w:kern w:val="0"/>
          <w:sz w:val="32"/>
          <w:szCs w:val="32"/>
        </w:rPr>
        <w:t>一、机构设置情况</w:t>
      </w:r>
    </w:p>
    <w:p>
      <w:pPr>
        <w:spacing w:beforeLines="50"/>
        <w:ind w:firstLine="640"/>
        <w:rPr>
          <w:rFonts w:ascii="仿宋_GB2312" w:hAnsi="华文仿宋" w:eastAsia="仿宋_GB2312"/>
          <w:sz w:val="32"/>
          <w:szCs w:val="32"/>
        </w:rPr>
      </w:pPr>
      <w:r>
        <w:rPr>
          <w:rFonts w:hint="eastAsia" w:ascii="仿宋_GB2312" w:hAnsi="华文仿宋" w:eastAsia="仿宋_GB2312"/>
          <w:sz w:val="32"/>
          <w:szCs w:val="32"/>
        </w:rPr>
        <w:t>南阳高新区实验学校为单位本级预算。南阳高新区实验学校无下设机构。</w:t>
      </w:r>
    </w:p>
    <w:p>
      <w:pPr>
        <w:spacing w:line="360" w:lineRule="auto"/>
        <w:ind w:firstLine="640" w:firstLineChars="200"/>
        <w:rPr>
          <w:rFonts w:ascii="仿宋_GB2312" w:hAnsi="华文仿宋" w:eastAsia="仿宋_GB2312"/>
          <w:sz w:val="32"/>
          <w:szCs w:val="32"/>
        </w:rPr>
      </w:pPr>
      <w:r>
        <w:rPr>
          <w:rFonts w:hint="eastAsia" w:ascii="仿宋_GB2312" w:hAnsi="华文仿宋" w:eastAsia="仿宋_GB2312"/>
          <w:sz w:val="32"/>
          <w:szCs w:val="32"/>
        </w:rPr>
        <w:t>南阳高新区实验学校</w:t>
      </w:r>
      <w:r>
        <w:rPr>
          <w:rFonts w:hint="eastAsia" w:ascii="仿宋_GB2312" w:hAnsi="仿宋_GB2312" w:eastAsia="仿宋_GB2312" w:cs="仿宋_GB2312"/>
          <w:spacing w:val="20"/>
          <w:kern w:val="0"/>
          <w:sz w:val="32"/>
          <w:szCs w:val="32"/>
          <w:lang w:val="zh-CN"/>
        </w:rPr>
        <w:t>部门预算单位构成：</w:t>
      </w:r>
      <w:r>
        <w:rPr>
          <w:rFonts w:hint="eastAsia" w:ascii="仿宋_GB2312" w:hAnsi="华文仿宋" w:eastAsia="仿宋_GB2312"/>
          <w:sz w:val="32"/>
          <w:szCs w:val="32"/>
        </w:rPr>
        <w:t>南阳高新区实验学校</w:t>
      </w:r>
      <w:r>
        <w:rPr>
          <w:rFonts w:hint="eastAsia" w:ascii="仿宋_GB2312" w:hAnsi="仿宋_GB2312" w:eastAsia="仿宋_GB2312" w:cs="仿宋_GB2312"/>
          <w:spacing w:val="20"/>
          <w:kern w:val="0"/>
          <w:sz w:val="32"/>
          <w:szCs w:val="32"/>
          <w:lang w:val="zh-CN"/>
        </w:rPr>
        <w:t>部门预算包括</w:t>
      </w:r>
      <w:r>
        <w:rPr>
          <w:rFonts w:hint="eastAsia" w:ascii="仿宋_GB2312" w:hAnsi="华文仿宋" w:eastAsia="仿宋_GB2312"/>
          <w:sz w:val="32"/>
          <w:szCs w:val="32"/>
        </w:rPr>
        <w:t>南阳高新区实验学校</w:t>
      </w:r>
      <w:r>
        <w:rPr>
          <w:rFonts w:hint="eastAsia" w:ascii="仿宋_GB2312" w:hAnsi="仿宋_GB2312" w:eastAsia="仿宋_GB2312" w:cs="仿宋_GB2312"/>
          <w:spacing w:val="20"/>
          <w:kern w:val="0"/>
          <w:sz w:val="32"/>
          <w:szCs w:val="32"/>
          <w:lang w:val="zh-CN"/>
        </w:rPr>
        <w:t>本级预算。</w:t>
      </w:r>
    </w:p>
    <w:p>
      <w:pPr>
        <w:numPr>
          <w:ilvl w:val="0"/>
          <w:numId w:val="1"/>
        </w:numPr>
        <w:ind w:left="758" w:leftChars="285" w:hanging="160" w:hangingChars="50"/>
        <w:rPr>
          <w:rFonts w:ascii="华文仿宋" w:hAnsi="华文仿宋" w:eastAsia="华文仿宋"/>
          <w:kern w:val="0"/>
          <w:sz w:val="32"/>
          <w:szCs w:val="32"/>
        </w:rPr>
      </w:pPr>
      <w:r>
        <w:rPr>
          <w:rFonts w:hint="eastAsia" w:ascii="华文仿宋" w:hAnsi="华文仿宋" w:eastAsia="华文仿宋"/>
          <w:kern w:val="0"/>
          <w:sz w:val="32"/>
          <w:szCs w:val="32"/>
        </w:rPr>
        <w:t>单位主要职责</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全面贯彻党的教育方针，全面实施素质教育。学校秉承“德育为首、教学中心、面向全体、以人为本、全面发展、提高素质”的办学思想。实施小学基础教育。以育人为根本，面向全体学生培养学生德、智、体、美全面发展。为孩子未来发展打下良好基础，有更多的学生进入高一级学校学习。</w:t>
      </w: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360" w:lineRule="auto"/>
        <w:ind w:firstLine="640" w:firstLineChars="200"/>
        <w:rPr>
          <w:rFonts w:ascii="仿宋_GB2312" w:hAnsi="宋体" w:eastAsia="仿宋_GB2312" w:cs="宋体"/>
          <w:kern w:val="0"/>
          <w:sz w:val="32"/>
          <w:szCs w:val="32"/>
        </w:rPr>
      </w:pPr>
    </w:p>
    <w:p>
      <w:pPr>
        <w:spacing w:line="600" w:lineRule="exact"/>
        <w:jc w:val="center"/>
        <w:rPr>
          <w:rFonts w:ascii="仿宋_GB2312" w:eastAsia="仿宋_GB2312"/>
          <w:spacing w:val="20"/>
          <w:kern w:val="0"/>
          <w:sz w:val="32"/>
          <w:szCs w:val="32"/>
        </w:rPr>
      </w:pPr>
      <w:r>
        <w:rPr>
          <w:rFonts w:hint="eastAsia" w:ascii="黑体" w:hAnsi="黑体" w:eastAsia="黑体"/>
          <w:spacing w:val="20"/>
          <w:kern w:val="0"/>
          <w:sz w:val="32"/>
          <w:szCs w:val="32"/>
        </w:rPr>
        <w:t>第二部分</w:t>
      </w:r>
      <w:r>
        <w:rPr>
          <w:rFonts w:hint="eastAsia" w:ascii="黑体" w:hAnsi="黑体" w:eastAsia="黑体"/>
          <w:kern w:val="0"/>
          <w:sz w:val="32"/>
          <w:szCs w:val="32"/>
        </w:rPr>
        <w:t>部门预算情况说明</w:t>
      </w:r>
    </w:p>
    <w:p>
      <w:pPr>
        <w:spacing w:line="600" w:lineRule="exact"/>
        <w:ind w:firstLine="640" w:firstLineChars="200"/>
        <w:jc w:val="left"/>
        <w:rPr>
          <w:rFonts w:ascii="仿宋_GB2312" w:hAnsi="华文仿宋" w:eastAsia="仿宋_GB2312"/>
          <w:kern w:val="0"/>
          <w:sz w:val="32"/>
          <w:szCs w:val="32"/>
        </w:rPr>
      </w:pPr>
      <w:r>
        <w:rPr>
          <w:rFonts w:hint="eastAsia" w:ascii="仿宋_GB2312" w:hAnsi="华文仿宋" w:eastAsia="仿宋_GB2312"/>
          <w:kern w:val="0"/>
          <w:sz w:val="32"/>
          <w:szCs w:val="32"/>
        </w:rPr>
        <w:t>一、收支预算总体情况说明</w:t>
      </w:r>
    </w:p>
    <w:p>
      <w:pPr>
        <w:autoSpaceDE w:val="0"/>
        <w:autoSpaceDN w:val="0"/>
        <w:adjustRightInd w:val="0"/>
        <w:ind w:firstLine="900" w:firstLineChars="250"/>
        <w:jc w:val="left"/>
        <w:rPr>
          <w:rFonts w:ascii="仿宋_GB2312" w:eastAsia="仿宋_GB2312" w:cs="仿宋_GB2312"/>
          <w:kern w:val="0"/>
          <w:sz w:val="32"/>
          <w:szCs w:val="32"/>
        </w:rPr>
      </w:pPr>
      <w:r>
        <w:rPr>
          <w:rFonts w:hint="eastAsia" w:ascii="仿宋_GB2312" w:eastAsia="仿宋_GB2312"/>
          <w:spacing w:val="20"/>
          <w:kern w:val="0"/>
          <w:sz w:val="32"/>
          <w:szCs w:val="32"/>
        </w:rPr>
        <w:t>2020年收入总计626.1万元，支出总计626.1万元。与上年相比，收、支总计各增加230.8万元，增长58.4%，主要原因是：学校新增教师25人</w:t>
      </w:r>
      <w:r>
        <w:rPr>
          <w:rFonts w:hint="eastAsia" w:ascii="仿宋_GB2312" w:eastAsia="仿宋_GB2312" w:cs="仿宋_GB2312"/>
          <w:kern w:val="0"/>
          <w:sz w:val="32"/>
          <w:szCs w:val="32"/>
        </w:rPr>
        <w:t>。</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二、</w:t>
      </w:r>
      <w:r>
        <w:rPr>
          <w:rFonts w:hint="eastAsia" w:ascii="仿宋_GB2312" w:hAnsi="华文仿宋" w:eastAsia="仿宋_GB2312"/>
          <w:kern w:val="0"/>
          <w:sz w:val="32"/>
          <w:szCs w:val="32"/>
        </w:rPr>
        <w:t>收入</w:t>
      </w:r>
      <w:r>
        <w:rPr>
          <w:rFonts w:hint="eastAsia" w:ascii="仿宋_GB2312" w:eastAsia="仿宋_GB2312"/>
          <w:spacing w:val="20"/>
          <w:kern w:val="0"/>
          <w:sz w:val="32"/>
          <w:szCs w:val="32"/>
        </w:rPr>
        <w:t>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2020年收入合计626.1万元，其中：一般公共预算626.1万元。</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三、支出预算总体情况说明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2020年支出合计626.1万元，其中：基本支出626.1万元，占100%。</w:t>
      </w:r>
      <w:r>
        <w:rPr>
          <w:rFonts w:hint="eastAsia" w:ascii="仿宋_GB2312" w:hAnsi="仿宋_GB2312" w:eastAsia="仿宋_GB2312" w:cs="仿宋_GB2312"/>
          <w:spacing w:val="20"/>
          <w:kern w:val="0"/>
          <w:sz w:val="32"/>
          <w:szCs w:val="32"/>
        </w:rPr>
        <w:t>项目支出0万元，占0%。</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四、财政拨款收支预算总体情况说明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2020年一般公共预算收支预算626.1万元、政府性基金收支预算0万元。与上年相比，一般公共预算收支预算增加230.8万元，增加58.4%，主要原因是：基本支出增加。</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五、一般公共预算支出预算情况说明</w:t>
      </w:r>
    </w:p>
    <w:p>
      <w:pPr>
        <w:spacing w:line="600" w:lineRule="exact"/>
        <w:ind w:firstLine="720" w:firstLineChars="200"/>
        <w:jc w:val="left"/>
        <w:rPr>
          <w:rFonts w:ascii="仿宋_GB2312" w:eastAsia="仿宋_GB2312"/>
          <w:spacing w:val="20"/>
          <w:kern w:val="0"/>
          <w:sz w:val="32"/>
          <w:szCs w:val="32"/>
        </w:rPr>
      </w:pPr>
      <w:r>
        <w:rPr>
          <w:rFonts w:hint="eastAsia" w:ascii="仿宋_GB2312" w:eastAsia="仿宋_GB2312"/>
          <w:spacing w:val="20"/>
          <w:kern w:val="0"/>
          <w:sz w:val="32"/>
          <w:szCs w:val="32"/>
        </w:rPr>
        <w:t>2020年一般公共预算支出预算为626.1万元。主要用于以下方面：教育支出（类）497.6万元，占79.5%，社会保障和就业（类）支出39.8万元，占11.5%；卫生健康（类）支出21万元，占3.4%：住房保障支出35.8万元，占5.7%。</w:t>
      </w:r>
    </w:p>
    <w:p>
      <w:pPr>
        <w:spacing w:line="560" w:lineRule="exact"/>
        <w:ind w:firstLine="723" w:firstLineChars="200"/>
        <w:rPr>
          <w:rFonts w:ascii="仿宋_GB2312" w:hAnsi="仿宋_GB2312" w:eastAsia="仿宋_GB2312" w:cs="仿宋_GB2312"/>
          <w:b/>
          <w:spacing w:val="20"/>
          <w:kern w:val="0"/>
          <w:sz w:val="32"/>
          <w:szCs w:val="32"/>
        </w:rPr>
      </w:pPr>
      <w:r>
        <w:rPr>
          <w:rFonts w:hint="eastAsia" w:ascii="仿宋_GB2312" w:hAnsi="仿宋_GB2312" w:eastAsia="仿宋_GB2312" w:cs="仿宋_GB2312"/>
          <w:b/>
          <w:spacing w:val="20"/>
          <w:kern w:val="0"/>
          <w:sz w:val="32"/>
          <w:szCs w:val="32"/>
        </w:rPr>
        <w:t>六、支出预算经济分类情况说明</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adjustRightInd w:val="0"/>
        <w:snapToGri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单位具体情况：南阳高新区实验学校2020年一般公共预算基本支出626.06万元，其中：人员经费626.06万元，主要包括：基本工资、津贴补贴、奖金、其他工资福利支出、离休费、退休费、等各项经费；公用经费0万元，主要包括：办公费、印刷费、邮电费、差旅费、会议费、培训费、公务接待费、委托业务费等支出。</w:t>
      </w:r>
    </w:p>
    <w:p>
      <w:pPr>
        <w:spacing w:line="600" w:lineRule="exact"/>
        <w:ind w:firstLine="720" w:firstLineChars="200"/>
        <w:jc w:val="left"/>
        <w:rPr>
          <w:rFonts w:ascii="仿宋_GB2312" w:eastAsia="仿宋_GB2312"/>
          <w:kern w:val="0"/>
          <w:sz w:val="32"/>
          <w:szCs w:val="32"/>
        </w:rPr>
      </w:pPr>
      <w:r>
        <w:rPr>
          <w:rFonts w:hint="eastAsia" w:ascii="仿宋_GB2312" w:eastAsia="仿宋_GB2312"/>
          <w:spacing w:val="20"/>
          <w:kern w:val="0"/>
          <w:sz w:val="32"/>
          <w:szCs w:val="32"/>
        </w:rPr>
        <w:t>七、</w:t>
      </w:r>
      <w:r>
        <w:rPr>
          <w:rFonts w:hint="eastAsia" w:ascii="仿宋_GB2312" w:eastAsia="仿宋_GB2312"/>
          <w:kern w:val="0"/>
          <w:sz w:val="32"/>
          <w:szCs w:val="32"/>
        </w:rPr>
        <w:t>一般公共预算“三公”经费支出预算情况说明</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我单位</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年“三公”经费预算为0万元，与上年0万元持平，主要原因是本年未安排三公经费支出。具体支出情况如下：</w:t>
      </w:r>
    </w:p>
    <w:p>
      <w:pPr>
        <w:ind w:firstLine="641"/>
        <w:rPr>
          <w:rFonts w:hint="eastAsia" w:ascii="仿宋" w:hAnsi="仿宋" w:eastAsia="仿宋" w:cs="仿宋"/>
          <w:sz w:val="32"/>
          <w:szCs w:val="32"/>
          <w:lang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因公出国（境）费</w:t>
      </w:r>
      <w:r>
        <w:rPr>
          <w:rFonts w:hint="eastAsia" w:ascii="仿宋" w:hAnsi="仿宋" w:eastAsia="仿宋" w:cs="仿宋"/>
          <w:b w:val="0"/>
          <w:bCs/>
          <w:sz w:val="32"/>
          <w:szCs w:val="32"/>
          <w:lang w:val="en-US" w:eastAsia="zh-CN"/>
        </w:rPr>
        <w:t>0</w:t>
      </w:r>
      <w:r>
        <w:rPr>
          <w:rFonts w:hint="eastAsia" w:ascii="仿宋" w:hAnsi="仿宋" w:eastAsia="仿宋" w:cs="仿宋"/>
          <w:sz w:val="32"/>
          <w:szCs w:val="32"/>
          <w:lang w:eastAsia="zh-CN"/>
        </w:rPr>
        <w:t>万元，主要用于单位工作人员公务出国（境）的住宿费、旅费、伙食补助费、杂费、培训费等支出，与上年0万元持平，主要原因是本年未安排因公出国费用。</w:t>
      </w:r>
    </w:p>
    <w:p>
      <w:pPr>
        <w:ind w:firstLine="641"/>
        <w:rPr>
          <w:rFonts w:hint="eastAsia" w:ascii="仿宋" w:hAnsi="仿宋" w:eastAsia="仿宋" w:cs="仿宋"/>
          <w:sz w:val="32"/>
          <w:szCs w:val="32"/>
          <w:lang w:eastAsia="zh-CN"/>
        </w:rPr>
      </w:pP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公务用车购置及运行费</w:t>
      </w:r>
      <w:r>
        <w:rPr>
          <w:rFonts w:hint="eastAsia" w:ascii="仿宋" w:hAnsi="仿宋" w:eastAsia="仿宋" w:cs="仿宋"/>
          <w:b w:val="0"/>
          <w:bCs/>
          <w:sz w:val="32"/>
          <w:szCs w:val="32"/>
          <w:lang w:val="en-US" w:eastAsia="zh-CN"/>
        </w:rPr>
        <w:t>0</w:t>
      </w:r>
      <w:r>
        <w:rPr>
          <w:rFonts w:hint="eastAsia" w:ascii="仿宋" w:hAnsi="仿宋" w:eastAsia="仿宋" w:cs="仿宋"/>
          <w:sz w:val="32"/>
          <w:szCs w:val="32"/>
          <w:lang w:eastAsia="zh-CN"/>
        </w:rPr>
        <w:t>万元，主要用于开展工作所需公务用车的燃料费、维修费、过路过桥费、保险费、安全奖励费用等支出。公务用车购置及运行费预算数与上年0万元持平，主要原因是本年未安排公务用车购置及运行费。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万元，公务用车购置费预算数与上年0万元持平，主要原因是本年未安排公务用车购置费；公务用车运行维护费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万元，公务用车运行维护费预算数与上年0万元持平，主要原因是本年未安排公务用车运行维护费。</w:t>
      </w:r>
    </w:p>
    <w:p>
      <w:pPr>
        <w:ind w:firstLine="641"/>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lang w:eastAsia="zh-CN"/>
        </w:rPr>
        <w:t>公务接待费</w:t>
      </w:r>
      <w:r>
        <w:rPr>
          <w:rFonts w:hint="eastAsia" w:ascii="仿宋" w:hAnsi="仿宋" w:eastAsia="仿宋" w:cs="仿宋"/>
          <w:b w:val="0"/>
          <w:bCs/>
          <w:sz w:val="32"/>
          <w:szCs w:val="32"/>
          <w:lang w:val="en-US" w:eastAsia="zh-CN"/>
        </w:rPr>
        <w:t>0</w:t>
      </w:r>
      <w:r>
        <w:rPr>
          <w:rFonts w:hint="eastAsia" w:ascii="仿宋" w:hAnsi="仿宋" w:eastAsia="仿宋" w:cs="仿宋"/>
          <w:sz w:val="32"/>
          <w:szCs w:val="32"/>
          <w:lang w:eastAsia="zh-CN"/>
        </w:rPr>
        <w:t>万元，主要用于按规定开支的各类公务接待（含外宾接待）支出。预算数与上年0万元持平，主要原因是本年未安排公务接待费用。</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八、政府性基金预算支出情况说明</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2020年我单位没有政府性基金收入，也没有使用政府性基金安排的支出。</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九、其他重要事项的情况说明</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1、机关运行经费支出情况</w:t>
      </w:r>
    </w:p>
    <w:p>
      <w:pPr>
        <w:adjustRightInd w:val="0"/>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2020年机关运行经费安排117.9万元，主要保障机构正常运转及正常履职需要。</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2、政府采购支出情况</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2020我单位年未安排政府采购项目。</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3、国有资产占用情况</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截止2019年12月31日，资产总额207.7万元，其中流动资产81.9万元，固定资产125.8万元，在建工程0万元，无形资产0万元，固定资产当中，房屋构筑物9.5万元，单价200万元以上大型设备价值0万元，其他固定资产116.3万。</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4、重点项目预算绩效目标情况</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我单位2019年未开展重点项目预算绩效工作。2020年我单位拟组织对义务教育建档立卡贫困家庭营养餐省级补助资金项目进行预算绩效评价，涉及资金1.3万元。</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5、专项转移支付情况</w:t>
      </w:r>
    </w:p>
    <w:p>
      <w:pPr>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我单位没有专项转移支付项目情况。</w:t>
      </w: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p>
    <w:p>
      <w:pPr>
        <w:adjustRightInd w:val="0"/>
        <w:snapToGrid w:val="0"/>
        <w:spacing w:line="600" w:lineRule="exact"/>
        <w:ind w:firstLine="640" w:firstLineChars="200"/>
        <w:rPr>
          <w:rFonts w:ascii="仿宋_GB2312" w:hAnsi="仿宋_GB2312" w:eastAsia="仿宋_GB2312" w:cs="仿宋_GB2312"/>
          <w:kern w:val="0"/>
          <w:sz w:val="32"/>
          <w:szCs w:val="32"/>
        </w:rPr>
      </w:pPr>
      <w:bookmarkStart w:id="0" w:name="_GoBack"/>
      <w:bookmarkEnd w:id="0"/>
    </w:p>
    <w:p>
      <w:pPr>
        <w:spacing w:line="600" w:lineRule="exact"/>
        <w:jc w:val="center"/>
        <w:rPr>
          <w:rFonts w:ascii="黑体" w:hAnsi="黑体" w:eastAsia="黑体"/>
          <w:kern w:val="0"/>
          <w:sz w:val="32"/>
          <w:szCs w:val="32"/>
        </w:rPr>
      </w:pPr>
      <w:r>
        <w:rPr>
          <w:rFonts w:hint="eastAsia" w:ascii="黑体" w:hAnsi="黑体" w:eastAsia="黑体"/>
          <w:kern w:val="0"/>
          <w:sz w:val="32"/>
          <w:szCs w:val="32"/>
        </w:rPr>
        <w:t>第三部分 名词解释</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一、财政拨款收入：是指区级财政当年拨付的资金。</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三、其他收入：是指部门取得的除“财政拨款”、“事业收入”、“事业单位经营收入”等以外的收入。</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 “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90"/>
        <w:rPr>
          <w:rFonts w:ascii="仿宋_GB2312" w:hAnsi="仿宋_GB2312" w:eastAsia="仿宋_GB2312" w:cs="仿宋_GB2312"/>
          <w:b/>
          <w:sz w:val="32"/>
          <w:szCs w:val="32"/>
        </w:rPr>
      </w:pPr>
    </w:p>
    <w:p>
      <w:pPr>
        <w:spacing w:line="360" w:lineRule="auto"/>
        <w:ind w:firstLine="643" w:firstLineChars="200"/>
        <w:rPr>
          <w:rFonts w:ascii="仿宋_GB2312" w:hAnsi="仿宋_GB2312" w:eastAsia="仿宋_GB2312" w:cs="仿宋_GB2312"/>
          <w:b/>
          <w:sz w:val="32"/>
          <w:szCs w:val="32"/>
        </w:rPr>
      </w:pPr>
    </w:p>
    <w:p>
      <w:pPr>
        <w:ind w:firstLine="360" w:firstLineChars="100"/>
        <w:jc w:val="left"/>
        <w:rPr>
          <w:rFonts w:ascii="仿宋_GB2312" w:hAnsi="仿宋_GB2312" w:eastAsia="仿宋_GB2312" w:cs="仿宋_GB2312"/>
          <w:spacing w:val="20"/>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0D7E9"/>
    <w:multiLevelType w:val="singleLevel"/>
    <w:tmpl w:val="64A0D7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3F6B"/>
    <w:rsid w:val="00473F6B"/>
    <w:rsid w:val="005D0EBB"/>
    <w:rsid w:val="008E1378"/>
    <w:rsid w:val="00A0218E"/>
    <w:rsid w:val="00EB3ED8"/>
    <w:rsid w:val="00FB0943"/>
    <w:rsid w:val="039838B9"/>
    <w:rsid w:val="05002A87"/>
    <w:rsid w:val="0B320824"/>
    <w:rsid w:val="132C605B"/>
    <w:rsid w:val="159A4F5E"/>
    <w:rsid w:val="15D32F7C"/>
    <w:rsid w:val="1B18214C"/>
    <w:rsid w:val="21AA1CEB"/>
    <w:rsid w:val="25897420"/>
    <w:rsid w:val="34FE106F"/>
    <w:rsid w:val="3CA66A6E"/>
    <w:rsid w:val="47ED51C3"/>
    <w:rsid w:val="4DE145CC"/>
    <w:rsid w:val="50C21D62"/>
    <w:rsid w:val="543335D4"/>
    <w:rsid w:val="621B0890"/>
    <w:rsid w:val="62A377D8"/>
    <w:rsid w:val="650865A9"/>
    <w:rsid w:val="69895712"/>
    <w:rsid w:val="69FF5A1C"/>
    <w:rsid w:val="73C76D43"/>
    <w:rsid w:val="74C75BF8"/>
    <w:rsid w:val="76D57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mbria" w:hAnsi="Cambria"/>
      <w:kern w:val="2"/>
      <w:sz w:val="18"/>
      <w:szCs w:val="18"/>
    </w:rPr>
  </w:style>
  <w:style w:type="character" w:customStyle="1" w:styleId="7">
    <w:name w:val="页脚 Char"/>
    <w:basedOn w:val="5"/>
    <w:link w:val="2"/>
    <w:qFormat/>
    <w:uiPriority w:val="0"/>
    <w:rPr>
      <w:rFonts w:ascii="Cambria" w:hAnsi="Cambr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364</Words>
  <Characters>2076</Characters>
  <Lines>17</Lines>
  <Paragraphs>4</Paragraphs>
  <TotalTime>0</TotalTime>
  <ScaleCrop>false</ScaleCrop>
  <LinksUpToDate>false</LinksUpToDate>
  <CharactersWithSpaces>2436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江军</cp:lastModifiedBy>
  <dcterms:modified xsi:type="dcterms:W3CDTF">2021-06-11T07:47:02Z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8FCF465AD6824B5D90BD84A6BD58A4A1</vt:lpwstr>
  </property>
</Properties>
</file>