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2019</w:t>
      </w:r>
      <w:r>
        <w:rPr>
          <w:rFonts w:hint="eastAsia" w:ascii="黑体" w:hAnsi="黑体" w:eastAsia="黑体" w:cs="黑体"/>
          <w:b/>
          <w:sz w:val="44"/>
          <w:szCs w:val="44"/>
        </w:rPr>
        <w:t>年南阳高新区百里奚街道办事处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预算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公开</w:t>
      </w:r>
    </w:p>
    <w:bookmarkEnd w:id="0"/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南阳高新区百里奚街道办事处基本情况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一、机构设置情况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二、单位主要职责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部门预算情况说明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 名词解释</w:t>
      </w:r>
    </w:p>
    <w:p>
      <w:pPr>
        <w:ind w:firstLine="640" w:firstLineChars="200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eastAsia="zh-CN"/>
        </w:rPr>
        <w:t>2019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年部门预算表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一、部门收支预算总表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二、部门收入预算总表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四、财政拨款收支总体情况表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五、一般公共预算支出情况表 （按功能分类）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六、一般公共预算基本支出情况表（按经济分类）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七、政府性基金支出情况表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八、一般公共预算“三公”经费支出情况表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南阳高新区百里奚街道办事处基本情况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一、机构设置情况</w:t>
      </w:r>
    </w:p>
    <w:p>
      <w:pPr>
        <w:widowControl w:val="0"/>
        <w:autoSpaceDE w:val="0"/>
        <w:autoSpaceDN w:val="0"/>
        <w:snapToGrid/>
        <w:spacing w:after="0" w:line="600" w:lineRule="atLeast"/>
        <w:ind w:firstLine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南阳高新区百里奚街道办事处为单位本级预算。南阳高新区百里奚街道办事处无下设机构。</w:t>
      </w:r>
    </w:p>
    <w:p>
      <w:pPr>
        <w:widowControl w:val="0"/>
        <w:autoSpaceDE w:val="0"/>
        <w:autoSpaceDN w:val="0"/>
        <w:snapToGrid/>
        <w:spacing w:after="0" w:line="600" w:lineRule="atLeast"/>
        <w:ind w:firstLine="720"/>
        <w:rPr>
          <w:rFonts w:hint="eastAsia" w:ascii="仿宋" w:hAnsi="仿宋" w:eastAsia="仿宋" w:cs="仿宋"/>
          <w:spacing w:val="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南阳高新区百里奚街道办事处</w:t>
      </w:r>
      <w:r>
        <w:rPr>
          <w:rFonts w:hint="eastAsia" w:ascii="仿宋" w:hAnsi="仿宋" w:eastAsia="仿宋" w:cs="仿宋"/>
          <w:spacing w:val="20"/>
          <w:kern w:val="0"/>
          <w:sz w:val="32"/>
          <w:szCs w:val="32"/>
          <w:highlight w:val="none"/>
          <w:lang w:val="zh-CN" w:eastAsia="zh-CN"/>
        </w:rPr>
        <w:t>部门预算单位构成：</w:t>
      </w:r>
      <w:r>
        <w:rPr>
          <w:rFonts w:hint="eastAsia" w:ascii="仿宋" w:hAnsi="仿宋" w:eastAsia="仿宋" w:cs="仿宋"/>
          <w:sz w:val="32"/>
          <w:szCs w:val="32"/>
        </w:rPr>
        <w:t>南阳高新区百里奚街道办事处</w:t>
      </w:r>
      <w:r>
        <w:rPr>
          <w:rFonts w:hint="eastAsia" w:ascii="仿宋" w:hAnsi="仿宋" w:eastAsia="仿宋" w:cs="仿宋"/>
          <w:spacing w:val="20"/>
          <w:kern w:val="0"/>
          <w:sz w:val="32"/>
          <w:szCs w:val="32"/>
          <w:highlight w:val="none"/>
          <w:lang w:val="zh-CN" w:eastAsia="zh-CN"/>
        </w:rPr>
        <w:t>部门预算包括</w:t>
      </w:r>
      <w:r>
        <w:rPr>
          <w:rFonts w:hint="eastAsia" w:ascii="仿宋" w:hAnsi="仿宋" w:eastAsia="仿宋" w:cs="仿宋"/>
          <w:sz w:val="32"/>
          <w:szCs w:val="32"/>
        </w:rPr>
        <w:t>南阳高新区百里奚街道办事处</w:t>
      </w:r>
      <w:r>
        <w:rPr>
          <w:rFonts w:hint="eastAsia" w:ascii="仿宋" w:hAnsi="仿宋" w:eastAsia="仿宋" w:cs="仿宋"/>
          <w:spacing w:val="20"/>
          <w:kern w:val="0"/>
          <w:sz w:val="32"/>
          <w:szCs w:val="32"/>
          <w:highlight w:val="none"/>
          <w:lang w:val="zh-CN" w:eastAsia="zh-CN"/>
        </w:rPr>
        <w:t>本级预算。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720" w:firstLineChars="200"/>
        <w:jc w:val="left"/>
        <w:rPr>
          <w:rFonts w:hint="eastAsia" w:ascii="仿宋" w:hAnsi="仿宋" w:eastAsia="仿宋" w:cs="仿宋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kern w:val="0"/>
          <w:sz w:val="32"/>
          <w:szCs w:val="32"/>
        </w:rPr>
        <w:t>二、单位主要职责</w:t>
      </w:r>
    </w:p>
    <w:p>
      <w:pPr>
        <w:spacing w:line="600" w:lineRule="exact"/>
        <w:ind w:firstLine="69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本辖区党的基层组织和社区居委会建设，协助本辖区经济和社会事业发展；负责进区项目的进地协调和在建项目的运输协调；负责村民建房的规划、审批、上报及管理；负责民政、民兵、计生、卫生防疫、农机管理工作；负责本辖区综治、信访和环境卫生管理工作；负责完成高新区工委、管委交给的临时性工作任务。</w:t>
      </w:r>
    </w:p>
    <w:p>
      <w:pPr>
        <w:spacing w:line="600" w:lineRule="exact"/>
        <w:jc w:val="center"/>
        <w:rPr>
          <w:rFonts w:hint="eastAsia" w:ascii="黑体" w:hAnsi="黑体" w:eastAsia="黑体"/>
          <w:spacing w:val="2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pacing w:val="2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pacing w:val="2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pacing w:val="2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pacing w:val="2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pacing w:val="2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pacing w:val="2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黑体" w:hAnsi="黑体" w:eastAsia="黑体"/>
          <w:spacing w:val="20"/>
          <w:kern w:val="0"/>
          <w:sz w:val="32"/>
          <w:szCs w:val="32"/>
        </w:rPr>
        <w:t>第二部分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>部门预算情况说明</w:t>
      </w:r>
    </w:p>
    <w:p>
      <w:pPr>
        <w:spacing w:line="600" w:lineRule="exact"/>
        <w:ind w:firstLine="640" w:firstLineChars="200"/>
        <w:jc w:val="left"/>
        <w:rPr>
          <w:rFonts w:ascii="华文仿宋" w:hAnsi="华文仿宋" w:eastAsia="华文仿宋"/>
          <w:kern w:val="0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一、收支预算总体情况说明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年收入总计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1141.20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万元，支出总计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1141.20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 xml:space="preserve"> 万元。与上年相比，收、支总计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减少260.90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降低18.60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%，主要原因是：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本年专项支出减少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二、收入预算总体情况说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明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color w:val="auto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</w:rPr>
        <w:t>年收入合计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1141.20</w:t>
      </w: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</w:rPr>
        <w:t>万元，其中：一般公共预算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1141.20</w:t>
      </w: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</w:rPr>
        <w:t>万元；结转收入</w:t>
      </w: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</w:rPr>
        <w:t>万元。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支出预算总体情况说明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年支出合计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1141.20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300.20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万元，占2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6.00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%；项目支出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841.00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万元，占7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4.00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%。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财政拨款收支预算总体情况说明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年一般公共预算收支预算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1141.20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万元、政府性基金收支预算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万元。与上年相比，一般公共预算收支预算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增加137.30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增长13.70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%，主要原因是：一般公共预算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安排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专项支出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；政府性基金收支预算未变化</w:t>
      </w:r>
      <w:r>
        <w:rPr>
          <w:rFonts w:hint="eastAsia" w:ascii="仿宋_GB2312" w:eastAsia="仿宋_GB2312"/>
          <w:spacing w:val="20"/>
          <w:kern w:val="0"/>
          <w:sz w:val="32"/>
          <w:szCs w:val="32"/>
          <w:highlight w:val="none"/>
        </w:rPr>
        <w:t>。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一般公共预算支出预算情况说明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年一般公共预算支出预算为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1141.20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万元。主要用于以下方面：一般公共服务（类）支出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595.43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万元，占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.2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%；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文化旅游体育与传媒（类）支出3.00万元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，占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0.30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社会保障和就业（类）支出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57.16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万元，占5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%；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卫生健康（类）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支出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20.84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万元，占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1.80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%；城乡社区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类）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支出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263.88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万元，占2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3.10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%；农林水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类）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支出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184.42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万元，占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16.20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%；住房保障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类）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支出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16.47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万元，占1.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%。</w:t>
      </w: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b/>
          <w:spacing w:val="2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pacing w:val="20"/>
          <w:kern w:val="0"/>
          <w:sz w:val="32"/>
          <w:szCs w:val="32"/>
          <w:highlight w:val="none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〈支出经济分类科目改革方案〉的通知》（财预﹝2017﹞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单位具体情况：</w:t>
      </w:r>
      <w:r>
        <w:rPr>
          <w:rFonts w:hint="eastAsia" w:ascii="仿宋_GB2312" w:eastAsia="仿宋_GB2312"/>
          <w:spacing w:val="20"/>
          <w:kern w:val="0"/>
          <w:sz w:val="32"/>
          <w:szCs w:val="32"/>
          <w:highlight w:val="none"/>
        </w:rPr>
        <w:t>南阳高新区百里奚街道办事处</w:t>
      </w: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highlight w:val="none"/>
        </w:rPr>
        <w:t>年一般公共预算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基本</w:t>
      </w:r>
      <w:r>
        <w:rPr>
          <w:rFonts w:hint="eastAsia" w:ascii="仿宋_GB2312" w:eastAsia="仿宋_GB2312"/>
          <w:sz w:val="32"/>
          <w:szCs w:val="32"/>
          <w:highlight w:val="none"/>
        </w:rPr>
        <w:t>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300.19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万元，其中：人员经费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288.31</w:t>
      </w:r>
      <w:r>
        <w:rPr>
          <w:rFonts w:hint="eastAsia" w:ascii="仿宋_GB2312" w:eastAsia="仿宋_GB2312"/>
          <w:sz w:val="32"/>
          <w:szCs w:val="32"/>
          <w:highlight w:val="none"/>
        </w:rPr>
        <w:t>万元，主要包括：基本工资、津贴补贴、奖金、其他工资福利支出、离休费、退休费、等各项经费；公用经费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11.88</w:t>
      </w:r>
      <w:r>
        <w:rPr>
          <w:rFonts w:hint="eastAsia" w:ascii="仿宋_GB2312" w:eastAsia="仿宋_GB2312"/>
          <w:sz w:val="32"/>
          <w:szCs w:val="32"/>
          <w:highlight w:val="none"/>
        </w:rPr>
        <w:t>万元，主要包括：办公费、印刷费、邮电费、差旅费、会议费、培训费、公务接待费、委托业务费等支出。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pacing w:val="2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一般公共预算“三公”经费支出预算情况说明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2019</w:t>
      </w:r>
      <w:r>
        <w:rPr>
          <w:rFonts w:hint="eastAsia" w:ascii="仿宋_GB2312" w:eastAsia="仿宋_GB2312"/>
          <w:kern w:val="0"/>
          <w:sz w:val="32"/>
          <w:szCs w:val="32"/>
        </w:rPr>
        <w:t>年一般公共预算“三公”经费支出预算为 7.5万元，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kern w:val="0"/>
          <w:sz w:val="32"/>
          <w:szCs w:val="32"/>
        </w:rPr>
        <w:t>上年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/>
          <w:kern w:val="0"/>
          <w:sz w:val="32"/>
          <w:szCs w:val="32"/>
        </w:rPr>
        <w:t>，具体支出情况如下：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万元，主要用于单位工作人员公务出国（境）的住宿费、旅费、伙食补助费、杂费、培训费等支出。预算数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与上年持平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，主要原因：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本年未安排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因公出国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经费支出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公务用车购置及运行费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7.50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万元，其中，公务用车购置费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万元；公务用车运行维护费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7.50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万元，主要用于开展工作所需公务用车的燃料费、维修费、过路过桥费、保险费、安全奖励费用等支出。公务用车购置费预算数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与上年持平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，主要原因是：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本年未安排公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车购置费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。公务用车运行维护费预算数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与上年持平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，主要原因是：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本年严格控制三公经费支出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3、公务接待费0万元，主要用于按规定开支的各类公务接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待（含外宾接待）支出。预算数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与上年持平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，主要原因：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本年未安排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八、</w:t>
      </w:r>
      <w:r>
        <w:rPr>
          <w:rFonts w:hint="eastAsia" w:ascii="仿宋_GB2312" w:eastAsia="仿宋_GB2312"/>
          <w:kern w:val="0"/>
          <w:sz w:val="32"/>
          <w:szCs w:val="32"/>
        </w:rPr>
        <w:t>政府性基金预算支出情况说明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2019</w:t>
      </w:r>
      <w:r>
        <w:rPr>
          <w:rFonts w:hint="eastAsia" w:ascii="仿宋_GB2312" w:eastAsia="仿宋_GB2312"/>
          <w:kern w:val="0"/>
          <w:sz w:val="32"/>
          <w:szCs w:val="32"/>
        </w:rPr>
        <w:t>年我单位没有政府性基金收入，也没有使用政府性基金安排的支出。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其他重要事项的情况说明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年机关运行经费安排11.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万元，主要保障机构正常运转及正常履职需要。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2019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年未安排政府采购项目。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华文仿宋" w:hAnsi="华文仿宋" w:eastAsia="华文仿宋"/>
          <w:kern w:val="0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>截止2018年期末，</w:t>
      </w:r>
      <w:r>
        <w:rPr>
          <w:rFonts w:hint="eastAsia" w:ascii="仿宋_GB2312" w:eastAsia="仿宋_GB2312"/>
          <w:spacing w:val="20"/>
          <w:kern w:val="0"/>
          <w:sz w:val="32"/>
          <w:szCs w:val="32"/>
        </w:rPr>
        <w:t>我单位</w:t>
      </w:r>
      <w:r>
        <w:rPr>
          <w:rFonts w:hint="eastAsia" w:ascii="华文仿宋" w:hAnsi="华文仿宋" w:eastAsia="华文仿宋"/>
          <w:kern w:val="0"/>
          <w:sz w:val="32"/>
          <w:szCs w:val="32"/>
        </w:rPr>
        <w:t>共有车辆0辆，其中：一般公务用车0辆、一般执法执勤用车0辆、特种专业技术用车0辆，其他用车0辆；单位价值50万元以上通用设备0台（套），单位价值100万元以上专用设备0台（套）。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4、重点项目预算绩效目标情况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我单位2018年未开展重点项目预算绩效工作。2019年，我单位拟组织对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雪亮工程建设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项目进行预算绩效评价，涉及资金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5、专项转移支付情况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我单位没有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专项转移支付情况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一、财政拨款收入：是指区级财政当年拨付的资金。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机关运行经费：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90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ind w:firstLine="1280" w:firstLineChars="400"/>
        <w:rPr>
          <w:rFonts w:hint="eastAsia" w:ascii="宋体" w:hAnsi="宋体"/>
          <w:sz w:val="32"/>
          <w:szCs w:val="32"/>
        </w:rPr>
      </w:pPr>
    </w:p>
    <w:p>
      <w:pPr>
        <w:ind w:firstLine="1280" w:firstLineChars="400"/>
        <w:rPr>
          <w:rFonts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E9"/>
    <w:rsid w:val="0000183F"/>
    <w:rsid w:val="00116C5F"/>
    <w:rsid w:val="00283AE9"/>
    <w:rsid w:val="0038350D"/>
    <w:rsid w:val="003901CD"/>
    <w:rsid w:val="00916B8C"/>
    <w:rsid w:val="009464D1"/>
    <w:rsid w:val="00DA1013"/>
    <w:rsid w:val="00F84FB9"/>
    <w:rsid w:val="017726C9"/>
    <w:rsid w:val="04B90057"/>
    <w:rsid w:val="0BEB6209"/>
    <w:rsid w:val="14CE4455"/>
    <w:rsid w:val="1F497837"/>
    <w:rsid w:val="253D7299"/>
    <w:rsid w:val="2825211E"/>
    <w:rsid w:val="283B1E1F"/>
    <w:rsid w:val="28DF1474"/>
    <w:rsid w:val="2B140C2C"/>
    <w:rsid w:val="35F94D0C"/>
    <w:rsid w:val="37384EDC"/>
    <w:rsid w:val="40255CE0"/>
    <w:rsid w:val="468157AD"/>
    <w:rsid w:val="4D2301C4"/>
    <w:rsid w:val="4D4D4175"/>
    <w:rsid w:val="4FF46024"/>
    <w:rsid w:val="59000348"/>
    <w:rsid w:val="597842C9"/>
    <w:rsid w:val="5C3F0BC1"/>
    <w:rsid w:val="615879EA"/>
    <w:rsid w:val="6B1F0DA2"/>
    <w:rsid w:val="71202642"/>
    <w:rsid w:val="728E0EC4"/>
    <w:rsid w:val="74AB33D3"/>
    <w:rsid w:val="75A63AE1"/>
    <w:rsid w:val="75BC4336"/>
    <w:rsid w:val="787E6F94"/>
    <w:rsid w:val="7CB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</Words>
  <Characters>1394</Characters>
  <Lines>11</Lines>
  <Paragraphs>3</Paragraphs>
  <TotalTime>0</TotalTime>
  <ScaleCrop>false</ScaleCrop>
  <LinksUpToDate>false</LinksUpToDate>
  <CharactersWithSpaces>1635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2018-10-24T02:30:00Z</dcterms:created>
  <dc:creator>LX</dc:creator>
  <cp:lastModifiedBy>Administrator</cp:lastModifiedBy>
  <dcterms:modified xsi:type="dcterms:W3CDTF">2021-06-11T09:32:50Z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98CDB41FAD62429CADC88AC9663AF0C0</vt:lpwstr>
  </property>
</Properties>
</file>