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9年度高新区城市管理委员会办公室预算公开</w:t>
      </w:r>
    </w:p>
    <w:bookmarkEnd w:id="0"/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高新区城市管理委员会办公室单位基本情况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一、机构设置情况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二、单位主要职责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部门预算情况说明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名词解释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2019年部门预算表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一、部门收支预算总表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二、部门收入预算总表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四、财政拨款收支总体情况表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 （按功能分类）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六、一般公共预算基本支出情况表（按经济分类）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七、政府性基金支出情况表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高新区城市管理委员会办公室单位基本情况</w:t>
      </w:r>
    </w:p>
    <w:p>
      <w:pPr>
        <w:spacing w:line="600" w:lineRule="exact"/>
        <w:ind w:firstLine="640" w:firstLineChars="200"/>
        <w:jc w:val="left"/>
        <w:rPr>
          <w:rFonts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一、机构设置情况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南阳高新技术产业开发区城市管理委员会办公室为本级预算单位。南阳高新技术产业开发区城市管理委员会办公室部门无下设机构。</w:t>
      </w:r>
    </w:p>
    <w:p>
      <w:pPr>
        <w:widowControl w:val="0"/>
        <w:autoSpaceDE w:val="0"/>
        <w:autoSpaceDN w:val="0"/>
        <w:snapToGrid/>
        <w:spacing w:after="0" w:line="600" w:lineRule="atLeast"/>
        <w:ind w:firstLine="720"/>
        <w:rPr>
          <w:rFonts w:hint="eastAsia" w:ascii="仿宋_GB2312" w:eastAsia="仿宋_GB2312"/>
          <w:spacing w:val="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南阳高新技术产业开发区城市管理委员会办公室</w:t>
      </w:r>
      <w:r>
        <w:rPr>
          <w:rFonts w:hint="eastAsia" w:ascii="仿宋_GB2312" w:eastAsia="仿宋_GB2312"/>
          <w:spacing w:val="20"/>
          <w:kern w:val="0"/>
          <w:sz w:val="32"/>
          <w:szCs w:val="32"/>
          <w:highlight w:val="none"/>
          <w:lang w:val="zh-CN" w:eastAsia="zh-CN"/>
        </w:rPr>
        <w:t>部门预算单位构成：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南阳高新技术产业开发区城市管理委员会办公室</w:t>
      </w:r>
      <w:r>
        <w:rPr>
          <w:rFonts w:hint="eastAsia" w:ascii="仿宋_GB2312" w:eastAsia="仿宋_GB2312"/>
          <w:spacing w:val="20"/>
          <w:kern w:val="0"/>
          <w:sz w:val="32"/>
          <w:szCs w:val="32"/>
          <w:highlight w:val="none"/>
          <w:lang w:val="zh-CN" w:eastAsia="zh-CN"/>
        </w:rPr>
        <w:t>部门预算包括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南阳高新技术产业开发区城市管理委员会办公室</w:t>
      </w:r>
      <w:r>
        <w:rPr>
          <w:rFonts w:hint="eastAsia" w:ascii="仿宋_GB2312" w:eastAsia="仿宋_GB2312"/>
          <w:spacing w:val="20"/>
          <w:kern w:val="0"/>
          <w:sz w:val="32"/>
          <w:szCs w:val="32"/>
          <w:highlight w:val="none"/>
          <w:lang w:val="zh-CN" w:eastAsia="zh-CN"/>
        </w:rPr>
        <w:t>本级预算。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二、单位主要职责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执行国家、省、市城市管理核算制度；贯彻执行城管委的决定，行使督促，检查，考核职能。指导，协调，组织城管委各成员单位做好城市管理工作，牵头起草城市管理工作方面的管理办法，规定和政策；负责城管委办公室，市城管局交办办事项的分解落实，抓好督促检查；负责区工管委研究议定城市管理事项的分解落实，抓好督促检查。</w:t>
      </w:r>
    </w:p>
    <w:p>
      <w:pPr>
        <w:spacing w:line="600" w:lineRule="exact"/>
        <w:jc w:val="center"/>
        <w:rPr>
          <w:rFonts w:hint="eastAsia" w:ascii="黑体" w:hAnsi="黑体" w:eastAsia="黑体"/>
          <w:spacing w:val="20"/>
          <w:kern w:val="0"/>
          <w:sz w:val="32"/>
          <w:szCs w:val="32"/>
        </w:rPr>
      </w:pPr>
    </w:p>
    <w:p>
      <w:pPr>
        <w:rPr>
          <w:rFonts w:hint="eastAsia" w:ascii="黑体" w:hAnsi="黑体" w:eastAsia="黑体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spacing w:val="20"/>
          <w:kern w:val="0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spacing w:val="20"/>
          <w:kern w:val="0"/>
          <w:sz w:val="32"/>
          <w:szCs w:val="32"/>
        </w:rPr>
        <w:t>第二部分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>部门预算情况说明</w:t>
      </w:r>
    </w:p>
    <w:p>
      <w:pPr>
        <w:spacing w:line="600" w:lineRule="exact"/>
        <w:ind w:firstLine="640" w:firstLineChars="200"/>
        <w:jc w:val="left"/>
        <w:rPr>
          <w:rFonts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一、收支预算总体情况说明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2019年收入总计175.99万元，支出总计175.99万元。与上年相比，增加71.50万元，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40.63%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，主要原因是：2019年增加城市社区环境卫生支出94.40万元。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二、收入预算总体情况说明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2019年收入合计175.99万元，其中：一般公共预算175.99万元。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三、支出预算总体情况说明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2019年支出合计175.99万元，其中：项目支出175.99万元，占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四、财政拨款收支预算总体情况说明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2019年一般公共预算收支预算175.99万元。与上年相比，一般公共预算收支预算增加71.50万元，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40.63%，主要原因是：2019年增加城乡社区环境卫生支出94.40万元。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五、一般公共预算支出预算情况说明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2019年一般公共预算支出预算为175.99万元。主要用于以下方面：一般行政管理事务（类）45.50万元，占25.85%；城乡社区环境卫生支出（类）128.49万元，占73.01%；防汛支出（类）2万元，占1.14%。</w:t>
      </w:r>
      <w:r>
        <w:rPr>
          <w:rFonts w:ascii="仿宋_GB2312" w:eastAsia="仿宋_GB2312"/>
          <w:spacing w:val="2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六、支出预算经济分类情况说明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《财政部关于印发〈支出经济分类科目改革方案〉的通知》（财预﹝2017﹞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单位具体情况：我单位2019年一般公共预算基本支出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、一般公共预算“三公”经费支出预算情况说明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2019年一般公共预算“三公”经费支出预算为2.5万元，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kern w:val="0"/>
          <w:sz w:val="32"/>
          <w:szCs w:val="32"/>
        </w:rPr>
        <w:t>上年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kern w:val="0"/>
          <w:sz w:val="32"/>
          <w:szCs w:val="32"/>
        </w:rPr>
        <w:t>，主要原因是我单位严格落实上级有关规定，厉行节约。具体支出情况如下：</w:t>
      </w:r>
    </w:p>
    <w:p>
      <w:pPr>
        <w:ind w:firstLine="64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因公出国（境）费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万元，主要用于单位工作人员公务出国（境）的住宿费、差旅费、伙食补助费、杂费、培训费等支出，与上年0万元持平，主要原因是本年未安排因公出国费用。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2、公务接待费0万元，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主要用于按规定开支的各类公务接待（含外宾接待）支出。预算数</w:t>
      </w:r>
      <w:r>
        <w:rPr>
          <w:rFonts w:hint="eastAsia" w:ascii="仿宋_GB2312" w:eastAsia="仿宋_GB2312"/>
          <w:kern w:val="0"/>
          <w:sz w:val="32"/>
          <w:szCs w:val="32"/>
        </w:rPr>
        <w:t>较上年减少0.48万元，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本年未安排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公务用车购置及运行费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万元，其中，公务用车购置费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万元；公务用车运行维护费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万元，主要用于开展工作所需公务用车的燃料费、维修费、过路过桥费、保险费、安全奖励费用等支出。公务用车购置费预算数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，主要原因是：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本年未安排公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车购置费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。公务用车运行维护费预算数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，主要原因是：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本年严格控制三公经费支出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、政府性基金预算支出情况说明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2019年我单位没有政府性基金收入，也没有使用政府性基金安排的支出。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1、机关运行经费支出情况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华文仿宋" w:eastAsia="仿宋_GB2312" w:cs="Courier New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2019年机关行政运行经费安排10万元，主要保障机构正常运转及正常履职需要</w:t>
      </w:r>
      <w:r>
        <w:rPr>
          <w:rFonts w:hint="eastAsia" w:ascii="仿宋_GB2312" w:hAnsi="华文仿宋" w:eastAsia="仿宋_GB2312" w:cs="Courier New"/>
          <w:kern w:val="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2、政府采购支出情况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华文仿宋" w:eastAsia="仿宋_GB2312" w:cs="Courier New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2019年政府采购预算安排采购月季苗种30元，安排城管队员服装购置28.40万元，背街小巷清扫洒水车60万元。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3、国有资产占用情况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  <w:shd w:val="clear" w:color="auto" w:fill="FFFFFF"/>
        </w:rPr>
        <w:t>截止2018年期末，我单位共有车辆0辆，其中：一般公务用车0辆、一般执法执勤用车0辆、特种专业技术用车0辆，其他用车0辆；单位价值50万元以上通用设备0台（套），单位价值100万元以上专用设备0台（套）。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4、重点项目预算绩效目标情况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2018年我单位未开展安排重点项目预算绩效工作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2019年我单位拟对数字化平台系统维护费项目进行预算绩效评价，涉及资金1万元。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5、专项转移支付情况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华文仿宋" w:eastAsia="仿宋_GB2312" w:cs="Courier New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  <w:shd w:val="clear" w:color="auto" w:fill="FFFFFF"/>
        </w:rPr>
        <w:t>我单位没有专项转移支付项目情况</w:t>
      </w:r>
    </w:p>
    <w:p>
      <w:pPr>
        <w:spacing w:line="60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一、财政拨款收入：是指区级财政当年拨付的资金。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六、 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七、机关运行经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90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</w:p>
    <w:p>
      <w:pPr>
        <w:ind w:firstLine="360" w:firstLineChars="100"/>
        <w:jc w:val="left"/>
        <w:rPr>
          <w:rFonts w:ascii="仿宋_GB2312" w:eastAsia="仿宋_GB2312"/>
          <w:spacing w:val="20"/>
          <w:sz w:val="32"/>
          <w:szCs w:val="32"/>
        </w:rPr>
      </w:pPr>
    </w:p>
    <w:p>
      <w:pPr>
        <w:jc w:val="center"/>
        <w:rPr>
          <w:rFonts w:ascii="仿宋_GB2312" w:eastAsia="仿宋_GB2312"/>
          <w:spacing w:val="20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2CD9"/>
    <w:rsid w:val="00072CD9"/>
    <w:rsid w:val="000F4DAD"/>
    <w:rsid w:val="001326BA"/>
    <w:rsid w:val="00196D79"/>
    <w:rsid w:val="002A046C"/>
    <w:rsid w:val="00323B43"/>
    <w:rsid w:val="003329BA"/>
    <w:rsid w:val="00352288"/>
    <w:rsid w:val="0036706F"/>
    <w:rsid w:val="003D37D8"/>
    <w:rsid w:val="004358AB"/>
    <w:rsid w:val="00456F06"/>
    <w:rsid w:val="00457F16"/>
    <w:rsid w:val="00476CAA"/>
    <w:rsid w:val="004B68D2"/>
    <w:rsid w:val="00557B13"/>
    <w:rsid w:val="00587F81"/>
    <w:rsid w:val="00592BDC"/>
    <w:rsid w:val="005D6F67"/>
    <w:rsid w:val="00667F7B"/>
    <w:rsid w:val="0069546C"/>
    <w:rsid w:val="006F42DD"/>
    <w:rsid w:val="007E7B4A"/>
    <w:rsid w:val="00810FB7"/>
    <w:rsid w:val="00814F3E"/>
    <w:rsid w:val="00880CA6"/>
    <w:rsid w:val="008B7726"/>
    <w:rsid w:val="009533B0"/>
    <w:rsid w:val="009F0A62"/>
    <w:rsid w:val="00AC508B"/>
    <w:rsid w:val="00AE48C9"/>
    <w:rsid w:val="00B6207F"/>
    <w:rsid w:val="00C303AA"/>
    <w:rsid w:val="00D021D0"/>
    <w:rsid w:val="00D3018A"/>
    <w:rsid w:val="00D321A9"/>
    <w:rsid w:val="00DB75FF"/>
    <w:rsid w:val="00DF4102"/>
    <w:rsid w:val="00E81FE9"/>
    <w:rsid w:val="00E92ED9"/>
    <w:rsid w:val="00EB781B"/>
    <w:rsid w:val="00F125F3"/>
    <w:rsid w:val="00F5546C"/>
    <w:rsid w:val="00F60DB0"/>
    <w:rsid w:val="00FC1938"/>
    <w:rsid w:val="00FD584E"/>
    <w:rsid w:val="00FE08F6"/>
    <w:rsid w:val="00FE2047"/>
    <w:rsid w:val="16F22C6C"/>
    <w:rsid w:val="1B4961C2"/>
    <w:rsid w:val="59706682"/>
    <w:rsid w:val="5B582295"/>
    <w:rsid w:val="5C8707EE"/>
    <w:rsid w:val="69D60B93"/>
    <w:rsid w:val="6DCE3944"/>
    <w:rsid w:val="7E250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E6ED5-F170-4334-8804-86D64C49FC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303</Words>
  <Characters>1733</Characters>
  <Lines>14</Lines>
  <Paragraphs>4</Paragraphs>
  <TotalTime>1</TotalTime>
  <ScaleCrop>false</ScaleCrop>
  <LinksUpToDate>false</LinksUpToDate>
  <CharactersWithSpaces>2032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2019-12-17T03:03:00Z</dcterms:created>
  <dc:creator>User</dc:creator>
  <cp:lastModifiedBy>Administrator</cp:lastModifiedBy>
  <cp:lastPrinted>2019-01-24T09:02:00Z</cp:lastPrinted>
  <dcterms:modified xsi:type="dcterms:W3CDTF">2021-06-11T08:06:39Z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