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微软雅黑" w:hAnsi="微软雅黑" w:eastAsia="微软雅黑" w:cs="微软雅黑"/>
          <w:b/>
          <w:sz w:val="44"/>
          <w:szCs w:val="44"/>
        </w:rPr>
      </w:pPr>
      <w:bookmarkStart w:id="0" w:name="_GoBack"/>
      <w:r>
        <w:rPr>
          <w:rStyle w:val="7"/>
          <w:rFonts w:hint="eastAsia" w:ascii="微软雅黑" w:hAnsi="微软雅黑" w:eastAsia="微软雅黑" w:cs="微软雅黑"/>
          <w:b/>
          <w:sz w:val="44"/>
          <w:szCs w:val="44"/>
        </w:rPr>
        <w:t>2019年南阳市第六十八小学校预算公开</w:t>
      </w:r>
    </w:p>
    <w:bookmarkEnd w:id="0"/>
    <w:p>
      <w:pPr>
        <w:spacing w:line="600" w:lineRule="exact"/>
        <w:rPr>
          <w:rStyle w:val="7"/>
          <w:rFonts w:ascii="黑体" w:hAnsi="黑体" w:eastAsia="黑体"/>
          <w:sz w:val="32"/>
          <w:szCs w:val="32"/>
        </w:rPr>
      </w:pPr>
    </w:p>
    <w:p>
      <w:pPr>
        <w:spacing w:line="600" w:lineRule="exact"/>
        <w:jc w:val="center"/>
        <w:rPr>
          <w:rStyle w:val="7"/>
          <w:rFonts w:ascii="黑体" w:hAnsi="黑体" w:eastAsia="黑体"/>
          <w:sz w:val="32"/>
          <w:szCs w:val="32"/>
        </w:rPr>
      </w:pPr>
      <w:r>
        <w:rPr>
          <w:rStyle w:val="7"/>
          <w:rFonts w:ascii="黑体" w:hAnsi="黑体" w:eastAsia="黑体"/>
          <w:sz w:val="32"/>
          <w:szCs w:val="32"/>
        </w:rPr>
        <w:t>目录</w:t>
      </w:r>
    </w:p>
    <w:p>
      <w:pPr>
        <w:spacing w:line="600" w:lineRule="exact"/>
        <w:ind w:firstLine="640" w:firstLineChars="200"/>
        <w:rPr>
          <w:rStyle w:val="7"/>
          <w:rFonts w:ascii="黑体" w:hAnsi="黑体" w:eastAsia="黑体"/>
          <w:sz w:val="32"/>
          <w:szCs w:val="32"/>
        </w:rPr>
      </w:pPr>
      <w:r>
        <w:rPr>
          <w:rStyle w:val="7"/>
          <w:rFonts w:ascii="黑体" w:hAnsi="黑体" w:eastAsia="黑体"/>
          <w:sz w:val="32"/>
          <w:szCs w:val="32"/>
        </w:rPr>
        <w:t>第一部分 南阳市第六十八小学校基本情况</w:t>
      </w:r>
    </w:p>
    <w:p>
      <w:pPr>
        <w:spacing w:line="600" w:lineRule="exact"/>
        <w:ind w:firstLine="640" w:firstLineChars="200"/>
        <w:rPr>
          <w:rStyle w:val="7"/>
          <w:rFonts w:ascii="黑体" w:hAnsi="黑体" w:eastAsia="黑体"/>
          <w:sz w:val="32"/>
          <w:szCs w:val="32"/>
        </w:rPr>
      </w:pPr>
      <w:r>
        <w:rPr>
          <w:rStyle w:val="7"/>
          <w:rFonts w:ascii="黑体" w:hAnsi="黑体" w:eastAsia="黑体"/>
          <w:sz w:val="32"/>
          <w:szCs w:val="32"/>
        </w:rPr>
        <w:t>一、机构设置情况</w:t>
      </w:r>
    </w:p>
    <w:p>
      <w:pPr>
        <w:spacing w:line="600" w:lineRule="exact"/>
        <w:ind w:firstLine="640" w:firstLineChars="200"/>
        <w:rPr>
          <w:rStyle w:val="7"/>
          <w:rFonts w:ascii="黑体" w:hAnsi="黑体" w:eastAsia="黑体"/>
          <w:sz w:val="32"/>
          <w:szCs w:val="32"/>
        </w:rPr>
      </w:pPr>
      <w:r>
        <w:rPr>
          <w:rStyle w:val="7"/>
          <w:rFonts w:ascii="黑体" w:hAnsi="黑体" w:eastAsia="黑体"/>
          <w:sz w:val="32"/>
          <w:szCs w:val="32"/>
        </w:rPr>
        <w:t>二、单位主要职责</w:t>
      </w:r>
    </w:p>
    <w:p>
      <w:pPr>
        <w:spacing w:line="600" w:lineRule="exact"/>
        <w:ind w:firstLine="640" w:firstLineChars="200"/>
        <w:rPr>
          <w:rStyle w:val="7"/>
          <w:rFonts w:ascii="黑体" w:hAnsi="黑体" w:eastAsia="黑体"/>
          <w:sz w:val="32"/>
          <w:szCs w:val="32"/>
        </w:rPr>
      </w:pPr>
      <w:r>
        <w:rPr>
          <w:rStyle w:val="7"/>
          <w:rFonts w:ascii="黑体" w:hAnsi="黑体" w:eastAsia="黑体"/>
          <w:sz w:val="32"/>
          <w:szCs w:val="32"/>
        </w:rPr>
        <w:t>第二部分 部门预算情况说明</w:t>
      </w:r>
    </w:p>
    <w:p>
      <w:pPr>
        <w:spacing w:line="600" w:lineRule="exact"/>
        <w:ind w:firstLine="640" w:firstLineChars="200"/>
        <w:rPr>
          <w:rStyle w:val="7"/>
          <w:rFonts w:ascii="黑体" w:hAnsi="黑体" w:eastAsia="黑体"/>
          <w:sz w:val="32"/>
          <w:szCs w:val="32"/>
        </w:rPr>
      </w:pPr>
      <w:r>
        <w:rPr>
          <w:rStyle w:val="7"/>
          <w:rFonts w:ascii="黑体" w:hAnsi="黑体" w:eastAsia="黑体"/>
          <w:sz w:val="32"/>
          <w:szCs w:val="32"/>
        </w:rPr>
        <w:t>第三部分 名词解释</w:t>
      </w:r>
    </w:p>
    <w:p>
      <w:pPr>
        <w:ind w:firstLine="640" w:firstLineChars="200"/>
        <w:rPr>
          <w:rStyle w:val="7"/>
          <w:rFonts w:ascii="黑体" w:hAnsi="黑体" w:eastAsia="黑体"/>
          <w:color w:val="333333"/>
          <w:sz w:val="32"/>
          <w:szCs w:val="32"/>
        </w:rPr>
      </w:pPr>
      <w:r>
        <w:rPr>
          <w:rStyle w:val="7"/>
          <w:rFonts w:ascii="黑体" w:hAnsi="黑体" w:eastAsia="黑体"/>
          <w:sz w:val="32"/>
          <w:szCs w:val="32"/>
        </w:rPr>
        <w:t>附件：</w:t>
      </w:r>
      <w:r>
        <w:rPr>
          <w:rStyle w:val="7"/>
          <w:rFonts w:ascii="黑体" w:hAnsi="黑体" w:eastAsia="黑体"/>
          <w:color w:val="333333"/>
          <w:sz w:val="32"/>
          <w:szCs w:val="32"/>
        </w:rPr>
        <w:t>2019年部门预算表</w:t>
      </w:r>
    </w:p>
    <w:p>
      <w:pPr>
        <w:snapToGrid w:val="0"/>
        <w:spacing w:line="360" w:lineRule="auto"/>
        <w:ind w:right="51" w:firstLine="640" w:firstLineChars="200"/>
        <w:jc w:val="left"/>
        <w:rPr>
          <w:rStyle w:val="7"/>
          <w:rFonts w:ascii="黑体" w:hAnsi="黑体" w:eastAsia="黑体"/>
          <w:sz w:val="32"/>
          <w:szCs w:val="32"/>
        </w:rPr>
      </w:pPr>
      <w:r>
        <w:rPr>
          <w:rStyle w:val="7"/>
          <w:rFonts w:ascii="黑体" w:hAnsi="黑体" w:eastAsia="黑体"/>
          <w:sz w:val="32"/>
          <w:szCs w:val="32"/>
        </w:rPr>
        <w:t xml:space="preserve">一、部门收支预算总表 </w:t>
      </w:r>
    </w:p>
    <w:p>
      <w:pPr>
        <w:snapToGrid w:val="0"/>
        <w:spacing w:line="360" w:lineRule="auto"/>
        <w:ind w:right="51" w:firstLine="640" w:firstLineChars="200"/>
        <w:jc w:val="left"/>
        <w:rPr>
          <w:rStyle w:val="7"/>
          <w:rFonts w:ascii="黑体" w:hAnsi="黑体" w:eastAsia="黑体"/>
          <w:sz w:val="32"/>
          <w:szCs w:val="32"/>
        </w:rPr>
      </w:pPr>
      <w:r>
        <w:rPr>
          <w:rStyle w:val="7"/>
          <w:rFonts w:ascii="黑体" w:hAnsi="黑体" w:eastAsia="黑体"/>
          <w:sz w:val="32"/>
          <w:szCs w:val="32"/>
        </w:rPr>
        <w:t xml:space="preserve">二、部门收入预算总表 </w:t>
      </w:r>
    </w:p>
    <w:p>
      <w:pPr>
        <w:snapToGrid w:val="0"/>
        <w:spacing w:line="360" w:lineRule="auto"/>
        <w:ind w:right="51" w:firstLine="640" w:firstLineChars="200"/>
        <w:jc w:val="left"/>
        <w:rPr>
          <w:rStyle w:val="7"/>
          <w:rFonts w:ascii="黑体" w:hAnsi="黑体" w:eastAsia="黑体"/>
          <w:sz w:val="32"/>
          <w:szCs w:val="32"/>
        </w:rPr>
      </w:pPr>
      <w:r>
        <w:rPr>
          <w:rStyle w:val="7"/>
          <w:rFonts w:ascii="黑体" w:hAnsi="黑体" w:eastAsia="黑体"/>
          <w:sz w:val="32"/>
          <w:szCs w:val="32"/>
        </w:rPr>
        <w:t>三、部门支出总体情况表</w:t>
      </w:r>
    </w:p>
    <w:p>
      <w:pPr>
        <w:snapToGrid w:val="0"/>
        <w:spacing w:line="360" w:lineRule="auto"/>
        <w:ind w:right="51" w:firstLine="640" w:firstLineChars="200"/>
        <w:jc w:val="left"/>
        <w:rPr>
          <w:rStyle w:val="7"/>
          <w:rFonts w:ascii="黑体" w:hAnsi="黑体" w:eastAsia="黑体"/>
          <w:sz w:val="32"/>
          <w:szCs w:val="32"/>
        </w:rPr>
      </w:pPr>
      <w:r>
        <w:rPr>
          <w:rStyle w:val="7"/>
          <w:rFonts w:ascii="黑体" w:hAnsi="黑体" w:eastAsia="黑体"/>
          <w:sz w:val="32"/>
          <w:szCs w:val="32"/>
        </w:rPr>
        <w:t xml:space="preserve">四、财政拨款收支总体情况表 </w:t>
      </w:r>
    </w:p>
    <w:p>
      <w:pPr>
        <w:snapToGrid w:val="0"/>
        <w:spacing w:line="360" w:lineRule="auto"/>
        <w:ind w:right="51" w:firstLine="640" w:firstLineChars="200"/>
        <w:jc w:val="left"/>
        <w:rPr>
          <w:rStyle w:val="7"/>
          <w:rFonts w:ascii="黑体" w:hAnsi="黑体" w:eastAsia="黑体"/>
          <w:sz w:val="32"/>
          <w:szCs w:val="32"/>
        </w:rPr>
      </w:pPr>
      <w:r>
        <w:rPr>
          <w:rStyle w:val="7"/>
          <w:rFonts w:ascii="黑体" w:hAnsi="黑体" w:eastAsia="黑体"/>
          <w:sz w:val="32"/>
          <w:szCs w:val="32"/>
        </w:rPr>
        <w:t>五、一般公共预算支出情况表 （按功能分类）</w:t>
      </w:r>
    </w:p>
    <w:p>
      <w:pPr>
        <w:snapToGrid w:val="0"/>
        <w:spacing w:line="360" w:lineRule="auto"/>
        <w:ind w:right="51" w:firstLine="640" w:firstLineChars="200"/>
        <w:jc w:val="left"/>
        <w:rPr>
          <w:rStyle w:val="7"/>
          <w:rFonts w:ascii="黑体" w:hAnsi="黑体" w:eastAsia="黑体"/>
          <w:sz w:val="32"/>
          <w:szCs w:val="32"/>
        </w:rPr>
      </w:pPr>
      <w:r>
        <w:rPr>
          <w:rStyle w:val="7"/>
          <w:rFonts w:ascii="黑体" w:hAnsi="黑体" w:eastAsia="黑体"/>
          <w:sz w:val="32"/>
          <w:szCs w:val="32"/>
        </w:rPr>
        <w:t>六、一般公共预算基本支出情况表（按经济分类）</w:t>
      </w:r>
    </w:p>
    <w:p>
      <w:pPr>
        <w:snapToGrid w:val="0"/>
        <w:spacing w:line="360" w:lineRule="auto"/>
        <w:ind w:right="51" w:firstLine="640" w:firstLineChars="200"/>
        <w:jc w:val="left"/>
        <w:rPr>
          <w:rStyle w:val="7"/>
          <w:rFonts w:ascii="黑体" w:hAnsi="黑体" w:eastAsia="黑体"/>
          <w:sz w:val="32"/>
          <w:szCs w:val="32"/>
        </w:rPr>
      </w:pPr>
      <w:r>
        <w:rPr>
          <w:rStyle w:val="7"/>
          <w:rFonts w:ascii="黑体" w:hAnsi="黑体" w:eastAsia="黑体"/>
          <w:sz w:val="32"/>
          <w:szCs w:val="32"/>
        </w:rPr>
        <w:t>七、政府性基金支出情况表</w:t>
      </w:r>
    </w:p>
    <w:p>
      <w:pPr>
        <w:snapToGrid w:val="0"/>
        <w:spacing w:line="360" w:lineRule="auto"/>
        <w:ind w:right="51" w:firstLine="640" w:firstLineChars="200"/>
        <w:jc w:val="left"/>
        <w:rPr>
          <w:rStyle w:val="7"/>
          <w:rFonts w:ascii="黑体" w:hAnsi="黑体" w:eastAsia="黑体"/>
          <w:sz w:val="32"/>
          <w:szCs w:val="32"/>
        </w:rPr>
      </w:pPr>
      <w:r>
        <w:rPr>
          <w:rStyle w:val="7"/>
          <w:rFonts w:ascii="黑体" w:hAnsi="黑体" w:eastAsia="黑体"/>
          <w:sz w:val="32"/>
          <w:szCs w:val="32"/>
        </w:rPr>
        <w:t>八、一般公共预算“三公”经费支出情况表</w:t>
      </w:r>
    </w:p>
    <w:p>
      <w:pPr>
        <w:spacing w:line="600" w:lineRule="exact"/>
        <w:jc w:val="center"/>
        <w:rPr>
          <w:rStyle w:val="7"/>
          <w:rFonts w:ascii="黑体" w:hAnsi="黑体" w:eastAsia="黑体"/>
          <w:sz w:val="32"/>
          <w:szCs w:val="32"/>
        </w:rPr>
      </w:pPr>
    </w:p>
    <w:p>
      <w:pPr>
        <w:spacing w:line="600" w:lineRule="exact"/>
        <w:jc w:val="center"/>
        <w:rPr>
          <w:rStyle w:val="7"/>
          <w:rFonts w:ascii="黑体" w:hAnsi="黑体" w:eastAsia="黑体"/>
          <w:sz w:val="32"/>
          <w:szCs w:val="32"/>
        </w:rPr>
      </w:pPr>
    </w:p>
    <w:p>
      <w:pPr>
        <w:spacing w:line="600" w:lineRule="exact"/>
        <w:jc w:val="center"/>
        <w:rPr>
          <w:rStyle w:val="7"/>
          <w:rFonts w:ascii="黑体" w:hAnsi="黑体" w:eastAsia="黑体"/>
          <w:sz w:val="32"/>
          <w:szCs w:val="32"/>
        </w:rPr>
      </w:pPr>
    </w:p>
    <w:p>
      <w:pPr>
        <w:spacing w:line="600" w:lineRule="exact"/>
        <w:jc w:val="center"/>
        <w:rPr>
          <w:rStyle w:val="7"/>
          <w:rFonts w:ascii="黑体" w:hAnsi="黑体" w:eastAsia="黑体"/>
          <w:sz w:val="32"/>
          <w:szCs w:val="32"/>
        </w:rPr>
      </w:pPr>
    </w:p>
    <w:p>
      <w:pPr>
        <w:spacing w:line="600" w:lineRule="exact"/>
        <w:jc w:val="center"/>
        <w:rPr>
          <w:rStyle w:val="7"/>
          <w:rFonts w:ascii="黑体" w:hAnsi="黑体" w:eastAsia="黑体"/>
          <w:sz w:val="32"/>
          <w:szCs w:val="32"/>
        </w:rPr>
      </w:pPr>
    </w:p>
    <w:p>
      <w:pPr>
        <w:spacing w:line="600" w:lineRule="exact"/>
        <w:jc w:val="center"/>
        <w:rPr>
          <w:rStyle w:val="7"/>
          <w:rFonts w:ascii="黑体" w:hAnsi="黑体" w:eastAsia="黑体"/>
          <w:sz w:val="32"/>
          <w:szCs w:val="32"/>
        </w:rPr>
      </w:pPr>
      <w:r>
        <w:rPr>
          <w:rStyle w:val="7"/>
          <w:rFonts w:ascii="黑体" w:hAnsi="黑体" w:eastAsia="黑体"/>
          <w:sz w:val="32"/>
          <w:szCs w:val="32"/>
        </w:rPr>
        <w:t>第一部分 南阳市第六十八小学校基本情况</w:t>
      </w:r>
    </w:p>
    <w:p>
      <w:pPr>
        <w:spacing w:line="600" w:lineRule="exact"/>
        <w:ind w:firstLine="640" w:firstLineChars="200"/>
        <w:jc w:val="left"/>
        <w:rPr>
          <w:rStyle w:val="7"/>
          <w:rFonts w:ascii="华文仿宋" w:hAnsi="华文仿宋" w:eastAsia="华文仿宋"/>
          <w:kern w:val="0"/>
          <w:sz w:val="32"/>
          <w:szCs w:val="32"/>
        </w:rPr>
      </w:pPr>
      <w:r>
        <w:rPr>
          <w:rStyle w:val="7"/>
          <w:rFonts w:ascii="华文仿宋" w:hAnsi="华文仿宋" w:eastAsia="华文仿宋"/>
          <w:kern w:val="0"/>
          <w:sz w:val="32"/>
          <w:szCs w:val="32"/>
        </w:rPr>
        <w:t>一、机构设置情况</w:t>
      </w:r>
    </w:p>
    <w:p>
      <w:pPr>
        <w:spacing w:before="156"/>
        <w:ind w:firstLine="640" w:firstLineChars="200"/>
        <w:rPr>
          <w:rStyle w:val="7"/>
          <w:rFonts w:ascii="仿宋_GB2312" w:hAnsi="华文仿宋" w:eastAsia="仿宋_GB2312"/>
          <w:sz w:val="32"/>
          <w:szCs w:val="32"/>
        </w:rPr>
      </w:pPr>
      <w:r>
        <w:rPr>
          <w:rStyle w:val="7"/>
          <w:rFonts w:hint="eastAsia" w:ascii="仿宋_GB2312" w:hAnsi="华文仿宋" w:eastAsia="仿宋_GB2312"/>
          <w:sz w:val="32"/>
          <w:szCs w:val="32"/>
        </w:rPr>
        <w:t>南阳市第六十八小学校为本级预算单位。南阳市第六十八小学校无下设机构。</w:t>
      </w:r>
    </w:p>
    <w:p>
      <w:pPr>
        <w:widowControl w:val="0"/>
        <w:autoSpaceDE w:val="0"/>
        <w:autoSpaceDN w:val="0"/>
        <w:spacing w:line="600" w:lineRule="atLeast"/>
        <w:ind w:firstLine="720"/>
        <w:rPr>
          <w:rFonts w:ascii="仿宋_GB2312" w:eastAsia="仿宋_GB2312"/>
          <w:spacing w:val="20"/>
          <w:kern w:val="0"/>
          <w:sz w:val="32"/>
          <w:szCs w:val="32"/>
        </w:rPr>
      </w:pPr>
      <w:r>
        <w:rPr>
          <w:rStyle w:val="7"/>
          <w:rFonts w:hint="eastAsia" w:ascii="仿宋_GB2312" w:hAnsi="华文仿宋" w:eastAsia="仿宋_GB2312"/>
          <w:sz w:val="32"/>
          <w:szCs w:val="32"/>
        </w:rPr>
        <w:t>南阳市第六十八小学校</w:t>
      </w:r>
      <w:r>
        <w:rPr>
          <w:rFonts w:hint="eastAsia" w:ascii="仿宋_GB2312" w:eastAsia="仿宋_GB2312"/>
          <w:spacing w:val="20"/>
          <w:kern w:val="0"/>
          <w:sz w:val="32"/>
          <w:szCs w:val="32"/>
          <w:lang w:val="zh-CN"/>
        </w:rPr>
        <w:t>部门预算单位构成：</w:t>
      </w:r>
      <w:r>
        <w:rPr>
          <w:rStyle w:val="7"/>
          <w:rFonts w:hint="eastAsia" w:ascii="仿宋_GB2312" w:hAnsi="华文仿宋" w:eastAsia="仿宋_GB2312"/>
          <w:sz w:val="32"/>
          <w:szCs w:val="32"/>
        </w:rPr>
        <w:t>南阳市第六十八小学校</w:t>
      </w:r>
      <w:r>
        <w:rPr>
          <w:rFonts w:hint="eastAsia" w:ascii="仿宋_GB2312" w:eastAsia="仿宋_GB2312"/>
          <w:spacing w:val="20"/>
          <w:kern w:val="0"/>
          <w:sz w:val="32"/>
          <w:szCs w:val="32"/>
          <w:lang w:val="zh-CN"/>
        </w:rPr>
        <w:t>部门预算包括</w:t>
      </w:r>
      <w:r>
        <w:rPr>
          <w:rStyle w:val="7"/>
          <w:rFonts w:hint="eastAsia" w:ascii="仿宋_GB2312" w:hAnsi="华文仿宋" w:eastAsia="仿宋_GB2312"/>
          <w:sz w:val="32"/>
          <w:szCs w:val="32"/>
        </w:rPr>
        <w:t>南阳市第六十八小学校</w:t>
      </w:r>
      <w:r>
        <w:rPr>
          <w:rFonts w:hint="eastAsia" w:ascii="仿宋_GB2312" w:eastAsia="仿宋_GB2312"/>
          <w:spacing w:val="20"/>
          <w:kern w:val="0"/>
          <w:sz w:val="32"/>
          <w:szCs w:val="32"/>
          <w:lang w:val="zh-CN"/>
        </w:rPr>
        <w:t>本级预算。</w:t>
      </w:r>
    </w:p>
    <w:p>
      <w:pPr>
        <w:spacing w:before="156"/>
        <w:ind w:firstLine="640" w:firstLineChars="200"/>
        <w:rPr>
          <w:rStyle w:val="7"/>
          <w:rFonts w:ascii="仿宋_GB2312" w:hAnsi="华文仿宋" w:eastAsia="仿宋_GB2312"/>
          <w:sz w:val="32"/>
          <w:szCs w:val="32"/>
        </w:rPr>
      </w:pPr>
    </w:p>
    <w:p>
      <w:pPr>
        <w:numPr>
          <w:ilvl w:val="0"/>
          <w:numId w:val="1"/>
        </w:numPr>
        <w:ind w:left="758" w:leftChars="285" w:hanging="160" w:hangingChars="50"/>
        <w:rPr>
          <w:rStyle w:val="7"/>
          <w:rFonts w:ascii="华文仿宋" w:hAnsi="华文仿宋" w:eastAsia="华文仿宋"/>
          <w:kern w:val="0"/>
          <w:sz w:val="32"/>
          <w:szCs w:val="32"/>
        </w:rPr>
      </w:pPr>
      <w:r>
        <w:rPr>
          <w:rStyle w:val="7"/>
          <w:rFonts w:ascii="华文仿宋" w:hAnsi="华文仿宋" w:eastAsia="华文仿宋"/>
          <w:kern w:val="0"/>
          <w:sz w:val="32"/>
          <w:szCs w:val="32"/>
        </w:rPr>
        <w:t>单位主要职责</w:t>
      </w:r>
    </w:p>
    <w:p>
      <w:pPr>
        <w:spacing w:before="156"/>
        <w:ind w:firstLine="640"/>
        <w:rPr>
          <w:rStyle w:val="7"/>
          <w:rFonts w:ascii="仿宋_GB2312" w:hAnsi="宋体" w:eastAsia="仿宋_GB2312"/>
          <w:kern w:val="0"/>
          <w:sz w:val="32"/>
          <w:szCs w:val="32"/>
        </w:rPr>
      </w:pPr>
      <w:r>
        <w:rPr>
          <w:rStyle w:val="7"/>
          <w:rFonts w:ascii="仿宋_GB2312" w:hAnsi="宋体" w:eastAsia="仿宋_GB2312"/>
          <w:kern w:val="0"/>
          <w:sz w:val="32"/>
          <w:szCs w:val="32"/>
        </w:rPr>
        <w:t>学校全面贯彻党的教育方针，全面实施素质教育。学校秉承“德育为首、教学中心、面向全体、以人为本、全面发展、提高素质”的办学思想。实施小学基础教育。以育人为根本，面向全体学生培养学生德、智、体、美全面发展。为孩子未来发展打下良好基础，有更多的学生进入高一级学校学习。</w:t>
      </w:r>
    </w:p>
    <w:p>
      <w:pPr>
        <w:spacing w:line="600" w:lineRule="exact"/>
        <w:jc w:val="center"/>
        <w:rPr>
          <w:rStyle w:val="7"/>
          <w:rFonts w:ascii="仿宋_GB2312" w:eastAsia="仿宋_GB2312"/>
          <w:spacing w:val="20"/>
          <w:kern w:val="0"/>
          <w:sz w:val="32"/>
          <w:szCs w:val="32"/>
        </w:rPr>
      </w:pPr>
      <w:r>
        <w:rPr>
          <w:rStyle w:val="7"/>
          <w:rFonts w:ascii="黑体" w:hAnsi="黑体" w:eastAsia="黑体"/>
          <w:spacing w:val="20"/>
          <w:kern w:val="0"/>
          <w:sz w:val="32"/>
          <w:szCs w:val="32"/>
        </w:rPr>
        <w:br w:type="page"/>
      </w:r>
      <w:r>
        <w:rPr>
          <w:rStyle w:val="7"/>
          <w:rFonts w:ascii="黑体" w:hAnsi="黑体" w:eastAsia="黑体"/>
          <w:spacing w:val="20"/>
          <w:kern w:val="0"/>
          <w:sz w:val="32"/>
          <w:szCs w:val="32"/>
        </w:rPr>
        <w:t>第二部分</w:t>
      </w:r>
      <w:r>
        <w:rPr>
          <w:rStyle w:val="7"/>
          <w:rFonts w:ascii="黑体" w:hAnsi="黑体" w:eastAsia="黑体"/>
          <w:kern w:val="0"/>
          <w:sz w:val="32"/>
          <w:szCs w:val="32"/>
        </w:rPr>
        <w:t>部门预算情况说明</w:t>
      </w:r>
    </w:p>
    <w:p>
      <w:pPr>
        <w:spacing w:line="600" w:lineRule="exact"/>
        <w:ind w:firstLine="640" w:firstLineChars="200"/>
        <w:jc w:val="left"/>
        <w:rPr>
          <w:rStyle w:val="7"/>
          <w:rFonts w:ascii="仿宋_GB2312" w:hAnsi="华文仿宋" w:eastAsia="仿宋_GB2312"/>
          <w:kern w:val="0"/>
          <w:sz w:val="32"/>
          <w:szCs w:val="32"/>
        </w:rPr>
      </w:pPr>
      <w:r>
        <w:rPr>
          <w:rStyle w:val="7"/>
          <w:rFonts w:ascii="仿宋_GB2312" w:hAnsi="华文仿宋" w:eastAsia="仿宋_GB2312"/>
          <w:kern w:val="0"/>
          <w:sz w:val="32"/>
          <w:szCs w:val="32"/>
        </w:rPr>
        <w:t>一、收支预算总体情况说明</w:t>
      </w:r>
    </w:p>
    <w:p>
      <w:pPr>
        <w:ind w:firstLine="720" w:firstLineChars="200"/>
        <w:jc w:val="left"/>
        <w:rPr>
          <w:rStyle w:val="7"/>
          <w:rFonts w:ascii="仿宋_GB2312" w:eastAsia="仿宋_GB2312"/>
          <w:kern w:val="0"/>
          <w:sz w:val="32"/>
          <w:szCs w:val="32"/>
        </w:rPr>
      </w:pPr>
      <w:r>
        <w:rPr>
          <w:rStyle w:val="7"/>
          <w:rFonts w:ascii="仿宋_GB2312" w:eastAsia="仿宋_GB2312"/>
          <w:spacing w:val="20"/>
          <w:kern w:val="0"/>
          <w:sz w:val="32"/>
          <w:szCs w:val="32"/>
        </w:rPr>
        <w:t>2019年收</w:t>
      </w:r>
      <w:r>
        <w:rPr>
          <w:rStyle w:val="7"/>
          <w:rFonts w:hint="eastAsia" w:ascii="仿宋_GB2312" w:eastAsia="仿宋_GB2312"/>
          <w:spacing w:val="20"/>
          <w:kern w:val="0"/>
          <w:sz w:val="32"/>
          <w:szCs w:val="32"/>
        </w:rPr>
        <w:t>、</w:t>
      </w:r>
      <w:r>
        <w:rPr>
          <w:rStyle w:val="7"/>
          <w:rFonts w:ascii="仿宋_GB2312" w:eastAsia="仿宋_GB2312"/>
          <w:spacing w:val="20"/>
          <w:kern w:val="0"/>
          <w:sz w:val="32"/>
          <w:szCs w:val="32"/>
        </w:rPr>
        <w:t>支出总计335.6万元。与上年相比，收、支总计各减少15.4万元，减少4.4%，主要原因是：2018年有</w:t>
      </w:r>
      <w:r>
        <w:rPr>
          <w:rStyle w:val="7"/>
          <w:rFonts w:ascii="仿宋_GB2312" w:hAnsi="宋体" w:eastAsia="仿宋_GB2312"/>
          <w:sz w:val="32"/>
          <w:szCs w:val="32"/>
        </w:rPr>
        <w:t>事业单位</w:t>
      </w:r>
      <w:r>
        <w:rPr>
          <w:rStyle w:val="7"/>
          <w:rFonts w:ascii="仿宋_GB2312" w:eastAsia="仿宋_GB2312"/>
          <w:kern w:val="0"/>
          <w:sz w:val="32"/>
          <w:szCs w:val="32"/>
        </w:rPr>
        <w:t>工资</w:t>
      </w:r>
      <w:r>
        <w:rPr>
          <w:rStyle w:val="7"/>
          <w:rFonts w:ascii="仿宋_GB2312" w:hAnsi="宋体" w:eastAsia="仿宋_GB2312"/>
          <w:sz w:val="32"/>
          <w:szCs w:val="32"/>
        </w:rPr>
        <w:t>福利政策性、结构性调整改革，2019年无,2018年预算时有部门财政性资金结转，2019年无</w:t>
      </w:r>
      <w:r>
        <w:rPr>
          <w:rStyle w:val="7"/>
          <w:rFonts w:ascii="仿宋_GB2312" w:eastAsia="仿宋_GB2312"/>
          <w:kern w:val="0"/>
          <w:sz w:val="32"/>
          <w:szCs w:val="32"/>
        </w:rPr>
        <w:t>。</w:t>
      </w:r>
    </w:p>
    <w:p>
      <w:pPr>
        <w:spacing w:line="600" w:lineRule="exact"/>
        <w:ind w:firstLine="540" w:firstLineChars="150"/>
        <w:jc w:val="left"/>
        <w:rPr>
          <w:rStyle w:val="7"/>
          <w:rFonts w:ascii="仿宋_GB2312" w:eastAsia="仿宋_GB2312"/>
          <w:spacing w:val="20"/>
          <w:kern w:val="0"/>
          <w:sz w:val="32"/>
          <w:szCs w:val="32"/>
        </w:rPr>
      </w:pPr>
      <w:r>
        <w:rPr>
          <w:rStyle w:val="7"/>
          <w:rFonts w:ascii="仿宋_GB2312" w:eastAsia="仿宋_GB2312"/>
          <w:spacing w:val="20"/>
          <w:kern w:val="0"/>
          <w:sz w:val="32"/>
          <w:szCs w:val="32"/>
        </w:rPr>
        <w:t>二、收入预算总体情况说明</w:t>
      </w:r>
    </w:p>
    <w:p>
      <w:pPr>
        <w:spacing w:line="600" w:lineRule="exact"/>
        <w:ind w:firstLine="720" w:firstLineChars="200"/>
        <w:jc w:val="left"/>
        <w:rPr>
          <w:rStyle w:val="7"/>
          <w:rFonts w:ascii="仿宋_GB2312" w:eastAsia="仿宋_GB2312"/>
          <w:spacing w:val="20"/>
          <w:kern w:val="0"/>
          <w:sz w:val="32"/>
          <w:szCs w:val="32"/>
        </w:rPr>
      </w:pPr>
      <w:r>
        <w:rPr>
          <w:rStyle w:val="7"/>
          <w:rFonts w:ascii="仿宋_GB2312" w:eastAsia="仿宋_GB2312"/>
          <w:spacing w:val="20"/>
          <w:kern w:val="0"/>
          <w:sz w:val="32"/>
          <w:szCs w:val="32"/>
        </w:rPr>
        <w:t>2019年收入合计335.6万元，其中：一般公共预算324.44万元；行政事业性收费10.2万元，提前下达转移支付资金0.96万元。</w:t>
      </w:r>
    </w:p>
    <w:p>
      <w:pPr>
        <w:spacing w:line="600" w:lineRule="exact"/>
        <w:ind w:firstLine="720" w:firstLineChars="200"/>
        <w:jc w:val="left"/>
        <w:rPr>
          <w:rStyle w:val="7"/>
          <w:rFonts w:ascii="仿宋_GB2312" w:eastAsia="仿宋_GB2312"/>
          <w:spacing w:val="20"/>
          <w:kern w:val="0"/>
          <w:sz w:val="32"/>
          <w:szCs w:val="32"/>
        </w:rPr>
      </w:pPr>
      <w:r>
        <w:rPr>
          <w:rStyle w:val="7"/>
          <w:rFonts w:ascii="仿宋_GB2312" w:eastAsia="仿宋_GB2312"/>
          <w:spacing w:val="20"/>
          <w:kern w:val="0"/>
          <w:sz w:val="32"/>
          <w:szCs w:val="32"/>
        </w:rPr>
        <w:t>三、支出预算总体情况说明</w:t>
      </w:r>
    </w:p>
    <w:p>
      <w:pPr>
        <w:spacing w:line="600" w:lineRule="exact"/>
        <w:ind w:firstLine="720" w:firstLineChars="200"/>
        <w:jc w:val="left"/>
        <w:rPr>
          <w:rStyle w:val="7"/>
          <w:rFonts w:ascii="仿宋_GB2312" w:eastAsia="仿宋_GB2312"/>
          <w:spacing w:val="20"/>
          <w:kern w:val="0"/>
          <w:sz w:val="32"/>
          <w:szCs w:val="32"/>
        </w:rPr>
      </w:pPr>
      <w:r>
        <w:rPr>
          <w:rStyle w:val="7"/>
          <w:rFonts w:ascii="仿宋_GB2312" w:eastAsia="仿宋_GB2312"/>
          <w:spacing w:val="20"/>
          <w:kern w:val="0"/>
          <w:sz w:val="32"/>
          <w:szCs w:val="32"/>
        </w:rPr>
        <w:t>2019年支出合计335.6万元，其中：基本支出300.3万元，占89.5%；项目支出35.3万元，占10.5%。</w:t>
      </w:r>
    </w:p>
    <w:p>
      <w:pPr>
        <w:spacing w:line="600" w:lineRule="exact"/>
        <w:ind w:firstLine="720" w:firstLineChars="200"/>
        <w:jc w:val="left"/>
        <w:rPr>
          <w:rStyle w:val="7"/>
          <w:rFonts w:ascii="仿宋_GB2312" w:eastAsia="仿宋_GB2312"/>
          <w:spacing w:val="20"/>
          <w:kern w:val="0"/>
          <w:sz w:val="32"/>
          <w:szCs w:val="32"/>
        </w:rPr>
      </w:pPr>
      <w:r>
        <w:rPr>
          <w:rStyle w:val="7"/>
          <w:rFonts w:ascii="仿宋_GB2312" w:eastAsia="仿宋_GB2312"/>
          <w:spacing w:val="20"/>
          <w:kern w:val="0"/>
          <w:sz w:val="32"/>
          <w:szCs w:val="32"/>
        </w:rPr>
        <w:t>四、财政拨款收支预算总体情况说明</w:t>
      </w:r>
    </w:p>
    <w:p>
      <w:pPr>
        <w:spacing w:line="600" w:lineRule="exact"/>
        <w:ind w:firstLine="720" w:firstLineChars="200"/>
        <w:jc w:val="left"/>
        <w:rPr>
          <w:rStyle w:val="7"/>
          <w:rFonts w:ascii="仿宋_GB2312" w:eastAsia="仿宋_GB2312"/>
          <w:color w:val="000000"/>
          <w:spacing w:val="20"/>
          <w:kern w:val="0"/>
          <w:sz w:val="32"/>
          <w:szCs w:val="32"/>
        </w:rPr>
      </w:pPr>
      <w:r>
        <w:rPr>
          <w:rStyle w:val="7"/>
          <w:rFonts w:ascii="仿宋_GB2312" w:eastAsia="仿宋_GB2312"/>
          <w:color w:val="000000"/>
          <w:spacing w:val="20"/>
          <w:kern w:val="0"/>
          <w:sz w:val="32"/>
          <w:szCs w:val="32"/>
        </w:rPr>
        <w:t>2019年一般公共预算收支预算324.5万元、政府性基金收支预算0万元。与上年相比，一般公共预算收支预算增加73.9万元，增加29.5%，主要原因是：</w:t>
      </w:r>
      <w:r>
        <w:rPr>
          <w:rStyle w:val="7"/>
          <w:rFonts w:hint="eastAsia" w:ascii="仿宋_GB2312" w:eastAsia="仿宋_GB2312"/>
          <w:color w:val="000000"/>
          <w:spacing w:val="20"/>
          <w:kern w:val="0"/>
          <w:sz w:val="32"/>
          <w:szCs w:val="32"/>
        </w:rPr>
        <w:t>基本支出增加。</w:t>
      </w:r>
    </w:p>
    <w:p>
      <w:pPr>
        <w:spacing w:line="600" w:lineRule="exact"/>
        <w:ind w:firstLine="720" w:firstLineChars="200"/>
        <w:jc w:val="left"/>
        <w:rPr>
          <w:rStyle w:val="7"/>
          <w:rFonts w:ascii="仿宋_GB2312" w:eastAsia="仿宋_GB2312"/>
          <w:color w:val="000000"/>
          <w:spacing w:val="20"/>
          <w:kern w:val="0"/>
          <w:sz w:val="32"/>
          <w:szCs w:val="32"/>
        </w:rPr>
      </w:pPr>
      <w:r>
        <w:rPr>
          <w:rStyle w:val="7"/>
          <w:rFonts w:ascii="仿宋_GB2312" w:eastAsia="仿宋_GB2312"/>
          <w:color w:val="000000"/>
          <w:spacing w:val="20"/>
          <w:kern w:val="0"/>
          <w:sz w:val="32"/>
          <w:szCs w:val="32"/>
        </w:rPr>
        <w:t>五、一般公共预算支出预算情况说明</w:t>
      </w:r>
    </w:p>
    <w:p>
      <w:pPr>
        <w:spacing w:line="600" w:lineRule="exact"/>
        <w:ind w:firstLine="720" w:firstLineChars="200"/>
        <w:jc w:val="left"/>
        <w:rPr>
          <w:rStyle w:val="7"/>
          <w:rFonts w:ascii="仿宋_GB2312" w:eastAsia="仿宋_GB2312"/>
          <w:color w:val="000000"/>
          <w:spacing w:val="20"/>
          <w:kern w:val="0"/>
          <w:sz w:val="32"/>
          <w:szCs w:val="32"/>
        </w:rPr>
      </w:pPr>
      <w:r>
        <w:rPr>
          <w:rStyle w:val="7"/>
          <w:rFonts w:ascii="仿宋_GB2312" w:eastAsia="仿宋_GB2312"/>
          <w:color w:val="000000"/>
          <w:spacing w:val="20"/>
          <w:kern w:val="0"/>
          <w:sz w:val="32"/>
          <w:szCs w:val="32"/>
        </w:rPr>
        <w:t>2019年一般公共预算支出预算为334.7万元。主要用于以下方面：教育支出263.5万元，占78.8%；社会保障和就业（类）支出41.8万元，占12.5%；医疗卫生与计划生育支出11.5万元，占3.4%：住房保障支出17.9万元，占5.3%。</w:t>
      </w:r>
    </w:p>
    <w:p>
      <w:pPr>
        <w:spacing w:line="600" w:lineRule="exact"/>
        <w:ind w:firstLine="723" w:firstLineChars="200"/>
        <w:jc w:val="left"/>
        <w:rPr>
          <w:rFonts w:ascii="仿宋_GB2312" w:eastAsia="仿宋_GB2312"/>
          <w:b/>
          <w:color w:val="000000"/>
          <w:spacing w:val="20"/>
          <w:kern w:val="0"/>
          <w:sz w:val="32"/>
          <w:szCs w:val="32"/>
        </w:rPr>
      </w:pPr>
      <w:r>
        <w:rPr>
          <w:rFonts w:hint="eastAsia" w:ascii="仿宋_GB2312" w:eastAsia="仿宋_GB2312"/>
          <w:b/>
          <w:color w:val="000000"/>
          <w:spacing w:val="20"/>
          <w:kern w:val="0"/>
          <w:sz w:val="32"/>
          <w:szCs w:val="32"/>
        </w:rPr>
        <w:t>六、支出预算经济分类情况说明</w:t>
      </w:r>
    </w:p>
    <w:p>
      <w:pPr>
        <w:spacing w:line="600" w:lineRule="exact"/>
        <w:ind w:firstLine="720" w:firstLineChars="200"/>
        <w:jc w:val="left"/>
        <w:rPr>
          <w:rFonts w:ascii="仿宋_GB2312" w:eastAsia="仿宋_GB2312"/>
          <w:color w:val="000000"/>
          <w:spacing w:val="20"/>
          <w:kern w:val="0"/>
          <w:sz w:val="32"/>
          <w:szCs w:val="32"/>
        </w:rPr>
      </w:pPr>
      <w:r>
        <w:rPr>
          <w:rFonts w:hint="eastAsia" w:ascii="仿宋_GB2312" w:eastAsia="仿宋_GB2312"/>
          <w:color w:val="000000"/>
          <w:spacing w:val="20"/>
          <w:kern w:val="0"/>
          <w:sz w:val="32"/>
          <w:szCs w:val="32"/>
        </w:rPr>
        <w:t>按照《财政部关于印发〈支出经济分类科目改革方案〉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spacing w:line="600" w:lineRule="exact"/>
        <w:ind w:firstLine="720" w:firstLineChars="200"/>
        <w:jc w:val="left"/>
        <w:rPr>
          <w:rFonts w:ascii="仿宋_GB2312" w:eastAsia="仿宋_GB2312"/>
          <w:color w:val="000000"/>
          <w:spacing w:val="20"/>
          <w:kern w:val="0"/>
          <w:sz w:val="32"/>
          <w:szCs w:val="32"/>
        </w:rPr>
      </w:pPr>
      <w:r>
        <w:rPr>
          <w:rFonts w:hint="eastAsia" w:ascii="仿宋_GB2312" w:eastAsia="仿宋_GB2312"/>
          <w:color w:val="000000"/>
          <w:spacing w:val="20"/>
          <w:kern w:val="0"/>
          <w:sz w:val="32"/>
          <w:szCs w:val="32"/>
        </w:rPr>
        <w:t>单位具体情况：南阳市第六十八小学校2019年一般公共预算基本支出300.27万元，其中：人员经费300.27万元，主要包括：基本工资、津贴补贴、奖金、其他工资福利支出、离休费、退休费、等各项经费；公用经费0.00万元，主要包括：办公费、印刷费、邮电费、差旅费、会议费、培训费、公务接待费、委托业务费等支出。</w:t>
      </w:r>
    </w:p>
    <w:p>
      <w:pPr>
        <w:spacing w:line="600" w:lineRule="exact"/>
        <w:ind w:firstLine="720" w:firstLineChars="200"/>
        <w:jc w:val="left"/>
        <w:rPr>
          <w:rStyle w:val="7"/>
          <w:rFonts w:ascii="仿宋_GB2312" w:eastAsia="仿宋_GB2312"/>
          <w:color w:val="000000"/>
          <w:spacing w:val="20"/>
          <w:kern w:val="0"/>
          <w:sz w:val="32"/>
          <w:szCs w:val="32"/>
        </w:rPr>
      </w:pPr>
      <w:r>
        <w:rPr>
          <w:rStyle w:val="7"/>
          <w:rFonts w:hint="eastAsia" w:ascii="仿宋_GB2312" w:eastAsia="仿宋_GB2312"/>
          <w:color w:val="000000"/>
          <w:spacing w:val="20"/>
          <w:kern w:val="0"/>
          <w:sz w:val="32"/>
          <w:szCs w:val="32"/>
        </w:rPr>
        <w:t>七</w:t>
      </w:r>
      <w:r>
        <w:rPr>
          <w:rStyle w:val="7"/>
          <w:rFonts w:ascii="仿宋_GB2312" w:eastAsia="仿宋_GB2312"/>
          <w:color w:val="000000"/>
          <w:spacing w:val="20"/>
          <w:kern w:val="0"/>
          <w:sz w:val="32"/>
          <w:szCs w:val="32"/>
        </w:rPr>
        <w:t>、一般公共预算“三公”经费支出预算情况说明</w:t>
      </w:r>
    </w:p>
    <w:p>
      <w:pPr>
        <w:snapToGrid w:val="0"/>
        <w:spacing w:line="600" w:lineRule="exact"/>
        <w:ind w:firstLine="640" w:firstLineChars="200"/>
        <w:rPr>
          <w:rStyle w:val="7"/>
          <w:rFonts w:hint="eastAsia" w:ascii="仿宋_GB2312" w:eastAsia="仿宋_GB2312"/>
          <w:kern w:val="0"/>
          <w:sz w:val="32"/>
          <w:szCs w:val="32"/>
        </w:rPr>
      </w:pPr>
      <w:r>
        <w:rPr>
          <w:rStyle w:val="7"/>
          <w:rFonts w:hint="eastAsia" w:ascii="仿宋_GB2312" w:eastAsia="仿宋_GB2312"/>
          <w:kern w:val="0"/>
          <w:sz w:val="32"/>
          <w:szCs w:val="32"/>
        </w:rPr>
        <w:t>我单位2019年“三公”经费预算为0万元，与上年0万元持平，主要原因是本年未安排三公经费支出。具体支出情况如下：</w:t>
      </w:r>
    </w:p>
    <w:p>
      <w:pPr>
        <w:snapToGrid w:val="0"/>
        <w:spacing w:line="600" w:lineRule="exact"/>
        <w:ind w:firstLine="640" w:firstLineChars="200"/>
        <w:rPr>
          <w:rStyle w:val="7"/>
          <w:rFonts w:hint="eastAsia" w:ascii="仿宋_GB2312" w:eastAsia="仿宋_GB2312"/>
          <w:kern w:val="0"/>
          <w:sz w:val="32"/>
          <w:szCs w:val="32"/>
        </w:rPr>
      </w:pPr>
      <w:r>
        <w:rPr>
          <w:rStyle w:val="7"/>
          <w:rFonts w:hint="eastAsia" w:ascii="仿宋_GB2312" w:eastAsia="仿宋_GB2312"/>
          <w:kern w:val="0"/>
          <w:sz w:val="32"/>
          <w:szCs w:val="32"/>
        </w:rPr>
        <w:t>1、因公出国（境）费0万元，主要用于单位工作人员公务出国（境）的住宿费、旅费、伙食补助费、杂费、培训费等支出，与上年0万元持平，主要原因是本年未安排因公出国费用。</w:t>
      </w:r>
    </w:p>
    <w:p>
      <w:pPr>
        <w:snapToGrid w:val="0"/>
        <w:spacing w:line="600" w:lineRule="exact"/>
        <w:ind w:firstLine="640" w:firstLineChars="200"/>
        <w:rPr>
          <w:rStyle w:val="7"/>
          <w:rFonts w:hint="eastAsia" w:ascii="仿宋_GB2312" w:eastAsia="仿宋_GB2312"/>
          <w:kern w:val="0"/>
          <w:sz w:val="32"/>
          <w:szCs w:val="32"/>
        </w:rPr>
      </w:pPr>
      <w:r>
        <w:rPr>
          <w:rStyle w:val="7"/>
          <w:rFonts w:hint="eastAsia" w:ascii="仿宋_GB2312" w:eastAsia="仿宋_GB2312"/>
          <w:kern w:val="0"/>
          <w:sz w:val="32"/>
          <w:szCs w:val="32"/>
        </w:rPr>
        <w:t>2、公务用车购置及运行费0万元，主要用于开展工作所需公务用车的燃料费、维修费、过路过桥费、保险费、安全奖励费用等支出。公务用车购置及运行费预算数与上年0万元持平，主要原因是本年未安排公务用车购置及运行费。其中，公务用车购置费0万元，公务用车购置费预算数与上年0万元持平，主要原因是本年未安排公务用车购置费；公务用车运行维护费0万元，公务用车运行维护费预算数与上年0万元持平，主要原因是本年未安排公务用车运行维护费。</w:t>
      </w:r>
    </w:p>
    <w:p>
      <w:pPr>
        <w:snapToGrid w:val="0"/>
        <w:spacing w:line="600" w:lineRule="exact"/>
        <w:ind w:firstLine="640" w:firstLineChars="200"/>
        <w:rPr>
          <w:rStyle w:val="7"/>
          <w:rFonts w:hint="eastAsia" w:ascii="仿宋_GB2312" w:eastAsia="仿宋_GB2312"/>
          <w:kern w:val="0"/>
          <w:sz w:val="32"/>
          <w:szCs w:val="32"/>
        </w:rPr>
      </w:pPr>
      <w:r>
        <w:rPr>
          <w:rStyle w:val="7"/>
          <w:rFonts w:hint="eastAsia" w:ascii="仿宋_GB2312" w:eastAsia="仿宋_GB2312"/>
          <w:kern w:val="0"/>
          <w:sz w:val="32"/>
          <w:szCs w:val="32"/>
        </w:rPr>
        <w:t>3、公务接待费0万元，主要用于按规定开支的各类公务接待（含外宾接待）支出。预算数与上年0万元持平，主要原因是本年未安排公务接待费用。</w:t>
      </w:r>
    </w:p>
    <w:p>
      <w:pPr>
        <w:snapToGrid w:val="0"/>
        <w:spacing w:line="600" w:lineRule="exact"/>
        <w:ind w:firstLine="640" w:firstLineChars="200"/>
        <w:rPr>
          <w:rStyle w:val="7"/>
          <w:rFonts w:ascii="仿宋_GB2312" w:eastAsia="仿宋_GB2312"/>
          <w:kern w:val="0"/>
          <w:sz w:val="32"/>
          <w:szCs w:val="32"/>
        </w:rPr>
      </w:pPr>
      <w:r>
        <w:rPr>
          <w:rStyle w:val="7"/>
          <w:rFonts w:hint="eastAsia" w:ascii="仿宋_GB2312" w:eastAsia="仿宋_GB2312"/>
          <w:kern w:val="0"/>
          <w:sz w:val="32"/>
          <w:szCs w:val="32"/>
        </w:rPr>
        <w:t>八</w:t>
      </w:r>
      <w:r>
        <w:rPr>
          <w:rStyle w:val="7"/>
          <w:rFonts w:ascii="仿宋_GB2312" w:eastAsia="仿宋_GB2312"/>
          <w:kern w:val="0"/>
          <w:sz w:val="32"/>
          <w:szCs w:val="32"/>
        </w:rPr>
        <w:t>、政府性基金预算支出情况说明</w:t>
      </w:r>
    </w:p>
    <w:p>
      <w:pPr>
        <w:snapToGrid w:val="0"/>
        <w:spacing w:line="600" w:lineRule="exact"/>
        <w:ind w:firstLine="640" w:firstLineChars="200"/>
        <w:rPr>
          <w:rStyle w:val="7"/>
          <w:rFonts w:ascii="仿宋_GB2312" w:eastAsia="仿宋_GB2312"/>
          <w:kern w:val="0"/>
          <w:sz w:val="32"/>
          <w:szCs w:val="32"/>
        </w:rPr>
      </w:pPr>
      <w:r>
        <w:rPr>
          <w:rStyle w:val="7"/>
          <w:rFonts w:ascii="仿宋_GB2312" w:eastAsia="仿宋_GB2312"/>
          <w:kern w:val="0"/>
          <w:sz w:val="32"/>
          <w:szCs w:val="32"/>
        </w:rPr>
        <w:t>2019年我单位没有政府性基金收入，也没有使用政府性基金安排的支出。</w:t>
      </w:r>
    </w:p>
    <w:p>
      <w:pPr>
        <w:snapToGrid w:val="0"/>
        <w:spacing w:line="600" w:lineRule="exact"/>
        <w:ind w:firstLine="640" w:firstLineChars="200"/>
        <w:rPr>
          <w:rStyle w:val="7"/>
          <w:rFonts w:ascii="仿宋_GB2312" w:eastAsia="仿宋_GB2312"/>
          <w:kern w:val="0"/>
          <w:sz w:val="32"/>
          <w:szCs w:val="32"/>
        </w:rPr>
      </w:pPr>
      <w:r>
        <w:rPr>
          <w:rStyle w:val="7"/>
          <w:rFonts w:hint="eastAsia" w:ascii="仿宋_GB2312" w:eastAsia="仿宋_GB2312"/>
          <w:kern w:val="0"/>
          <w:sz w:val="32"/>
          <w:szCs w:val="32"/>
        </w:rPr>
        <w:t>九</w:t>
      </w:r>
      <w:r>
        <w:rPr>
          <w:rStyle w:val="7"/>
          <w:rFonts w:ascii="仿宋_GB2312" w:eastAsia="仿宋_GB2312"/>
          <w:kern w:val="0"/>
          <w:sz w:val="32"/>
          <w:szCs w:val="32"/>
        </w:rPr>
        <w:t>、其他重要事项的情况说明</w:t>
      </w:r>
    </w:p>
    <w:p>
      <w:pPr>
        <w:snapToGrid w:val="0"/>
        <w:spacing w:line="600" w:lineRule="exact"/>
        <w:ind w:firstLine="640" w:firstLineChars="200"/>
        <w:rPr>
          <w:rStyle w:val="7"/>
          <w:rFonts w:ascii="仿宋_GB2312" w:eastAsia="仿宋_GB2312"/>
          <w:kern w:val="0"/>
          <w:sz w:val="32"/>
          <w:szCs w:val="32"/>
        </w:rPr>
      </w:pPr>
      <w:r>
        <w:rPr>
          <w:rStyle w:val="7"/>
          <w:rFonts w:ascii="仿宋_GB2312" w:eastAsia="仿宋_GB2312"/>
          <w:kern w:val="0"/>
          <w:sz w:val="32"/>
          <w:szCs w:val="32"/>
        </w:rPr>
        <w:t>1、机关运行经费支出情况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我单位不是行政机关，也不是非参照公务员管理事业单位，没有机关运行经费支出。</w:t>
      </w:r>
    </w:p>
    <w:p>
      <w:pPr>
        <w:snapToGrid w:val="0"/>
        <w:spacing w:line="600" w:lineRule="exact"/>
        <w:ind w:firstLine="640" w:firstLineChars="200"/>
        <w:rPr>
          <w:rStyle w:val="7"/>
          <w:rFonts w:ascii="华文仿宋" w:hAnsi="华文仿宋" w:eastAsia="华文仿宋"/>
          <w:kern w:val="0"/>
          <w:sz w:val="32"/>
          <w:szCs w:val="32"/>
        </w:rPr>
      </w:pPr>
      <w:r>
        <w:rPr>
          <w:rStyle w:val="7"/>
          <w:rFonts w:ascii="华文仿宋" w:hAnsi="华文仿宋" w:eastAsia="华文仿宋"/>
          <w:kern w:val="0"/>
          <w:sz w:val="32"/>
          <w:szCs w:val="32"/>
        </w:rPr>
        <w:t>2、政府采购支出情况</w:t>
      </w:r>
    </w:p>
    <w:p>
      <w:pPr>
        <w:snapToGrid w:val="0"/>
        <w:spacing w:line="600" w:lineRule="exact"/>
        <w:ind w:firstLine="640" w:firstLineChars="200"/>
        <w:rPr>
          <w:rStyle w:val="7"/>
          <w:rFonts w:ascii="仿宋_GB2312" w:eastAsia="仿宋_GB2312"/>
          <w:kern w:val="0"/>
          <w:sz w:val="32"/>
          <w:szCs w:val="32"/>
        </w:rPr>
      </w:pPr>
      <w:r>
        <w:rPr>
          <w:rStyle w:val="7"/>
          <w:rFonts w:ascii="仿宋_GB2312" w:eastAsia="仿宋_GB2312"/>
          <w:kern w:val="0"/>
          <w:sz w:val="32"/>
          <w:szCs w:val="32"/>
        </w:rPr>
        <w:t>我单位2018年未安排政府采购项目。</w:t>
      </w:r>
    </w:p>
    <w:p>
      <w:pPr>
        <w:snapToGrid w:val="0"/>
        <w:spacing w:line="600" w:lineRule="exact"/>
        <w:ind w:firstLine="640" w:firstLineChars="200"/>
        <w:rPr>
          <w:rStyle w:val="7"/>
          <w:rFonts w:ascii="仿宋_GB2312" w:eastAsia="仿宋_GB2312"/>
          <w:kern w:val="0"/>
          <w:sz w:val="32"/>
          <w:szCs w:val="32"/>
        </w:rPr>
      </w:pPr>
      <w:r>
        <w:rPr>
          <w:rStyle w:val="7"/>
          <w:rFonts w:ascii="仿宋_GB2312" w:eastAsia="仿宋_GB2312"/>
          <w:kern w:val="0"/>
          <w:sz w:val="32"/>
          <w:szCs w:val="32"/>
        </w:rPr>
        <w:t>3、国有资产占用情况</w:t>
      </w:r>
    </w:p>
    <w:p>
      <w:pPr>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截止2018年期末，我单位共有车辆0辆，其中：一般公务用车0辆、一般执法执勤用车0辆、特种专业技术用车0辆，其他用车0辆；单位价值50万元以上通用设备0台（套），单位价值100万元以上专用设备0台（套）。</w:t>
      </w:r>
    </w:p>
    <w:p>
      <w:pPr>
        <w:snapToGrid w:val="0"/>
        <w:spacing w:line="600" w:lineRule="exact"/>
        <w:ind w:firstLine="640" w:firstLineChars="200"/>
        <w:rPr>
          <w:rStyle w:val="7"/>
          <w:rFonts w:ascii="华文仿宋" w:hAnsi="华文仿宋" w:eastAsia="华文仿宋"/>
          <w:kern w:val="0"/>
          <w:sz w:val="32"/>
          <w:szCs w:val="32"/>
        </w:rPr>
      </w:pPr>
      <w:r>
        <w:rPr>
          <w:rStyle w:val="7"/>
          <w:rFonts w:ascii="华文仿宋" w:hAnsi="华文仿宋" w:eastAsia="华文仿宋"/>
          <w:kern w:val="0"/>
          <w:sz w:val="32"/>
          <w:szCs w:val="32"/>
        </w:rPr>
        <w:t>4、重点项目预算绩效目标情况</w:t>
      </w:r>
    </w:p>
    <w:p>
      <w:pPr>
        <w:snapToGrid w:val="0"/>
        <w:spacing w:line="600" w:lineRule="exact"/>
        <w:ind w:firstLine="640" w:firstLineChars="200"/>
        <w:rPr>
          <w:rStyle w:val="7"/>
          <w:rFonts w:ascii="仿宋_GB2312" w:eastAsia="仿宋_GB2312"/>
          <w:kern w:val="0"/>
          <w:sz w:val="32"/>
          <w:szCs w:val="32"/>
        </w:rPr>
      </w:pPr>
      <w:r>
        <w:rPr>
          <w:rStyle w:val="7"/>
          <w:rFonts w:ascii="仿宋_GB2312" w:eastAsia="仿宋_GB2312"/>
          <w:kern w:val="0"/>
          <w:sz w:val="32"/>
          <w:szCs w:val="32"/>
        </w:rPr>
        <w:t>我单位2018年未开展重点项目预算绩效工作，2019年我单位拟对义务教育建档立卡贫困家庭学生营养改善省级补助项目进行预算绩效评价，涉及资金0.96万元。</w:t>
      </w:r>
    </w:p>
    <w:p>
      <w:pPr>
        <w:snapToGrid w:val="0"/>
        <w:spacing w:line="600" w:lineRule="exact"/>
        <w:ind w:firstLine="640" w:firstLineChars="200"/>
        <w:rPr>
          <w:rStyle w:val="7"/>
          <w:rFonts w:ascii="华文仿宋" w:hAnsi="华文仿宋" w:eastAsia="华文仿宋"/>
          <w:kern w:val="0"/>
          <w:sz w:val="32"/>
          <w:szCs w:val="32"/>
        </w:rPr>
      </w:pPr>
      <w:r>
        <w:rPr>
          <w:rStyle w:val="7"/>
          <w:rFonts w:ascii="华文仿宋" w:hAnsi="华文仿宋" w:eastAsia="华文仿宋"/>
          <w:kern w:val="0"/>
          <w:sz w:val="32"/>
          <w:szCs w:val="32"/>
        </w:rPr>
        <w:t>5、专项转移支付情况</w:t>
      </w:r>
    </w:p>
    <w:p>
      <w:pPr>
        <w:snapToGrid w:val="0"/>
        <w:spacing w:line="600" w:lineRule="exact"/>
        <w:ind w:firstLine="640" w:firstLineChars="200"/>
        <w:rPr>
          <w:rStyle w:val="7"/>
          <w:rFonts w:ascii="仿宋_GB2312" w:eastAsia="仿宋_GB2312"/>
          <w:kern w:val="0"/>
          <w:sz w:val="32"/>
          <w:szCs w:val="32"/>
        </w:rPr>
      </w:pPr>
      <w:r>
        <w:rPr>
          <w:rStyle w:val="7"/>
          <w:rFonts w:ascii="仿宋_GB2312" w:eastAsia="仿宋_GB2312"/>
          <w:kern w:val="0"/>
          <w:sz w:val="32"/>
          <w:szCs w:val="32"/>
        </w:rPr>
        <w:t>我单位安排义务教育建档立卡贫困家庭学生营养改善省级补共0.96万元</w:t>
      </w:r>
      <w:r>
        <w:rPr>
          <w:rStyle w:val="7"/>
          <w:rFonts w:hint="eastAsia" w:ascii="仿宋_GB2312" w:eastAsia="仿宋_GB2312"/>
          <w:kern w:val="0"/>
          <w:sz w:val="32"/>
          <w:szCs w:val="32"/>
        </w:rPr>
        <w:t>。</w:t>
      </w:r>
    </w:p>
    <w:p>
      <w:pPr>
        <w:snapToGrid w:val="0"/>
        <w:spacing w:line="600" w:lineRule="exact"/>
        <w:ind w:firstLine="640" w:firstLineChars="200"/>
        <w:rPr>
          <w:rStyle w:val="7"/>
          <w:rFonts w:ascii="仿宋_GB2312" w:eastAsia="仿宋_GB2312"/>
          <w:kern w:val="0"/>
          <w:sz w:val="32"/>
          <w:szCs w:val="32"/>
        </w:rPr>
      </w:pPr>
    </w:p>
    <w:p>
      <w:pPr>
        <w:spacing w:line="600" w:lineRule="exact"/>
        <w:jc w:val="center"/>
        <w:rPr>
          <w:rStyle w:val="7"/>
          <w:rFonts w:ascii="黑体" w:hAnsi="黑体" w:eastAsia="黑体"/>
          <w:kern w:val="0"/>
          <w:sz w:val="32"/>
          <w:szCs w:val="32"/>
        </w:rPr>
      </w:pPr>
      <w:r>
        <w:rPr>
          <w:rStyle w:val="7"/>
          <w:rFonts w:ascii="黑体" w:hAnsi="黑体" w:eastAsia="黑体"/>
          <w:kern w:val="0"/>
          <w:sz w:val="32"/>
          <w:szCs w:val="32"/>
        </w:rPr>
        <w:br w:type="page"/>
      </w:r>
      <w:r>
        <w:rPr>
          <w:rStyle w:val="7"/>
          <w:rFonts w:ascii="黑体" w:hAnsi="黑体" w:eastAsia="黑体"/>
          <w:kern w:val="0"/>
          <w:sz w:val="32"/>
          <w:szCs w:val="32"/>
        </w:rPr>
        <w:t>第三部分 名词解释</w:t>
      </w:r>
    </w:p>
    <w:p>
      <w:pPr>
        <w:snapToGrid w:val="0"/>
        <w:spacing w:line="600" w:lineRule="exact"/>
        <w:ind w:firstLine="640" w:firstLineChars="200"/>
        <w:rPr>
          <w:rStyle w:val="7"/>
          <w:rFonts w:ascii="华文仿宋" w:hAnsi="华文仿宋" w:eastAsia="华文仿宋"/>
          <w:kern w:val="0"/>
          <w:sz w:val="32"/>
          <w:szCs w:val="32"/>
        </w:rPr>
      </w:pPr>
      <w:r>
        <w:rPr>
          <w:rStyle w:val="7"/>
          <w:rFonts w:ascii="华文仿宋" w:hAnsi="华文仿宋" w:eastAsia="华文仿宋"/>
          <w:kern w:val="0"/>
          <w:sz w:val="32"/>
          <w:szCs w:val="32"/>
        </w:rPr>
        <w:t>一、财政拨款收入：是指区级财政当年拨付的资金。</w:t>
      </w:r>
    </w:p>
    <w:p>
      <w:pPr>
        <w:snapToGrid w:val="0"/>
        <w:spacing w:line="600" w:lineRule="exact"/>
        <w:ind w:firstLine="640" w:firstLineChars="200"/>
        <w:rPr>
          <w:rStyle w:val="7"/>
          <w:rFonts w:ascii="华文仿宋" w:hAnsi="华文仿宋" w:eastAsia="华文仿宋"/>
          <w:kern w:val="0"/>
          <w:sz w:val="32"/>
          <w:szCs w:val="32"/>
        </w:rPr>
      </w:pPr>
      <w:r>
        <w:rPr>
          <w:rStyle w:val="7"/>
          <w:rFonts w:ascii="华文仿宋" w:hAnsi="华文仿宋" w:eastAsia="华文仿宋"/>
          <w:kern w:val="0"/>
          <w:sz w:val="32"/>
          <w:szCs w:val="32"/>
        </w:rPr>
        <w:t>二、事业收入：是指事业单位开展专业活动及辅助活动所取得的收入。</w:t>
      </w:r>
    </w:p>
    <w:p>
      <w:pPr>
        <w:snapToGrid w:val="0"/>
        <w:spacing w:line="600" w:lineRule="exact"/>
        <w:ind w:firstLine="640" w:firstLineChars="200"/>
        <w:rPr>
          <w:rStyle w:val="7"/>
          <w:rFonts w:ascii="华文仿宋" w:hAnsi="华文仿宋" w:eastAsia="华文仿宋"/>
          <w:kern w:val="0"/>
          <w:sz w:val="32"/>
          <w:szCs w:val="32"/>
        </w:rPr>
      </w:pPr>
      <w:r>
        <w:rPr>
          <w:rStyle w:val="7"/>
          <w:rFonts w:ascii="华文仿宋" w:hAnsi="华文仿宋" w:eastAsia="华文仿宋"/>
          <w:kern w:val="0"/>
          <w:sz w:val="32"/>
          <w:szCs w:val="32"/>
        </w:rPr>
        <w:t>三、其他收入：是指部门取得的除“财政拨款”、“事业收入”、“事业单位经营收入”等以外的收入。</w:t>
      </w:r>
    </w:p>
    <w:p>
      <w:pPr>
        <w:snapToGrid w:val="0"/>
        <w:spacing w:line="600" w:lineRule="exact"/>
        <w:ind w:firstLine="640" w:firstLineChars="200"/>
        <w:rPr>
          <w:rStyle w:val="7"/>
          <w:rFonts w:ascii="华文仿宋" w:hAnsi="华文仿宋" w:eastAsia="华文仿宋"/>
          <w:kern w:val="0"/>
          <w:sz w:val="32"/>
          <w:szCs w:val="32"/>
        </w:rPr>
      </w:pPr>
      <w:r>
        <w:rPr>
          <w:rStyle w:val="7"/>
          <w:rFonts w:ascii="华文仿宋" w:hAnsi="华文仿宋" w:eastAsia="华文仿宋"/>
          <w:kern w:val="0"/>
          <w:sz w:val="32"/>
          <w:szCs w:val="32"/>
        </w:rPr>
        <w:t>四、基本支出：是指为保障机构正常运转、完成日常工作任务所必需的开支，其内容包括人员经费和日常公用经费两部分。</w:t>
      </w:r>
    </w:p>
    <w:p>
      <w:pPr>
        <w:snapToGrid w:val="0"/>
        <w:spacing w:line="600" w:lineRule="exact"/>
        <w:ind w:firstLine="640" w:firstLineChars="200"/>
        <w:rPr>
          <w:rStyle w:val="7"/>
          <w:rFonts w:ascii="华文仿宋" w:hAnsi="华文仿宋" w:eastAsia="华文仿宋"/>
          <w:kern w:val="0"/>
          <w:sz w:val="32"/>
          <w:szCs w:val="32"/>
        </w:rPr>
      </w:pPr>
      <w:r>
        <w:rPr>
          <w:rStyle w:val="7"/>
          <w:rFonts w:ascii="华文仿宋" w:hAnsi="华文仿宋" w:eastAsia="华文仿宋"/>
          <w:kern w:val="0"/>
          <w:sz w:val="32"/>
          <w:szCs w:val="32"/>
        </w:rPr>
        <w:t>五、项目支出：是指在基本支出之外，为完成特定的行政工作任务或事业发展目标所发生的支出。</w:t>
      </w:r>
    </w:p>
    <w:p>
      <w:pPr>
        <w:snapToGrid w:val="0"/>
        <w:spacing w:line="600" w:lineRule="exact"/>
        <w:ind w:firstLine="640" w:firstLineChars="200"/>
        <w:rPr>
          <w:rStyle w:val="7"/>
          <w:rFonts w:ascii="华文仿宋" w:hAnsi="华文仿宋" w:eastAsia="华文仿宋"/>
          <w:kern w:val="0"/>
          <w:sz w:val="32"/>
          <w:szCs w:val="32"/>
        </w:rPr>
      </w:pPr>
      <w:r>
        <w:rPr>
          <w:rStyle w:val="7"/>
          <w:rFonts w:ascii="华文仿宋" w:hAnsi="华文仿宋" w:eastAsia="华文仿宋"/>
          <w:kern w:val="0"/>
          <w:sz w:val="32"/>
          <w:szCs w:val="32"/>
        </w:rPr>
        <w:t>六、 “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600" w:lineRule="exact"/>
        <w:ind w:firstLine="640" w:firstLineChars="200"/>
        <w:rPr>
          <w:rStyle w:val="7"/>
          <w:rFonts w:ascii="仿宋_GB2312" w:eastAsia="仿宋_GB2312"/>
          <w:spacing w:val="20"/>
          <w:sz w:val="32"/>
          <w:szCs w:val="32"/>
        </w:rPr>
      </w:pPr>
      <w:r>
        <w:rPr>
          <w:rStyle w:val="7"/>
          <w:rFonts w:ascii="华文仿宋" w:hAnsi="华文仿宋" w:eastAsia="华文仿宋"/>
          <w:kern w:val="0"/>
          <w:sz w:val="32"/>
          <w:szCs w:val="32"/>
        </w:rPr>
        <w:t>七、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814" w:right="1418" w:bottom="153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000000" w:sz="0" w:space="0"/>
      </w:pBdr>
      <w:rPr>
        <w:rStyle w:val="7"/>
      </w:rPr>
    </w:pPr>
  </w:p>
  <w:p>
    <w:pPr>
      <w:rPr>
        <w:rStyle w:val="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0D7E9"/>
    <w:multiLevelType w:val="singleLevel"/>
    <w:tmpl w:val="64A0D7E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C936E3"/>
    <w:rsid w:val="003904FB"/>
    <w:rsid w:val="00A203EF"/>
    <w:rsid w:val="00A40781"/>
    <w:rsid w:val="00A511BA"/>
    <w:rsid w:val="00C936E3"/>
    <w:rsid w:val="00D40CED"/>
    <w:rsid w:val="046F3908"/>
    <w:rsid w:val="0EDF2237"/>
    <w:rsid w:val="10376F15"/>
    <w:rsid w:val="22D905FF"/>
    <w:rsid w:val="290B373F"/>
    <w:rsid w:val="352A0F7F"/>
    <w:rsid w:val="3A7332F2"/>
    <w:rsid w:val="54B75F9C"/>
    <w:rsid w:val="65C0330D"/>
    <w:rsid w:val="66B63C73"/>
    <w:rsid w:val="6EF17A35"/>
    <w:rsid w:val="76FB493D"/>
    <w:rsid w:val="7E2F4B47"/>
    <w:rsid w:val="7F706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0"/>
    <w:qFormat/>
    <w:uiPriority w:val="0"/>
    <w:pPr>
      <w:tabs>
        <w:tab w:val="right" w:pos="4153"/>
        <w:tab w:val="left" w:leader="underscore" w:pos="8306"/>
      </w:tabs>
      <w:snapToGrid w:val="0"/>
      <w:jc w:val="left"/>
    </w:pPr>
    <w:rPr>
      <w:sz w:val="18"/>
      <w:szCs w:val="18"/>
    </w:rPr>
  </w:style>
  <w:style w:type="paragraph" w:styleId="4">
    <w:name w:val="header"/>
    <w:basedOn w:val="1"/>
    <w:link w:val="9"/>
    <w:qFormat/>
    <w:uiPriority w:val="0"/>
    <w:pPr>
      <w:pBdr>
        <w:bottom w:val="single" w:color="000000" w:sz="6" w:space="1"/>
      </w:pBdr>
      <w:tabs>
        <w:tab w:val="right" w:pos="4153"/>
        <w:tab w:val="left" w:leader="underscore" w:pos="8306"/>
      </w:tabs>
      <w:snapToGrid w:val="0"/>
      <w:jc w:val="center"/>
    </w:pPr>
    <w:rPr>
      <w:sz w:val="18"/>
      <w:szCs w:val="18"/>
    </w:rPr>
  </w:style>
  <w:style w:type="character" w:customStyle="1" w:styleId="7">
    <w:name w:val="NormalCharacter"/>
    <w:semiHidden/>
    <w:qFormat/>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customStyle="1" w:styleId="11">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409</Words>
  <Characters>2337</Characters>
  <Lines>19</Lines>
  <Paragraphs>5</Paragraphs>
  <TotalTime>1</TotalTime>
  <ScaleCrop>false</ScaleCrop>
  <LinksUpToDate>false</LinksUpToDate>
  <CharactersWithSpaces>2741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2019-06-20T09:09:00Z</dcterms:created>
  <dc:creator>lenovo</dc:creator>
  <cp:lastModifiedBy>Administrator</cp:lastModifiedBy>
  <dcterms:modified xsi:type="dcterms:W3CDTF">2021-06-11T09:24:13Z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731E9DC0A4A24725AB36D46A21B51237</vt:lpwstr>
  </property>
</Properties>
</file>