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b/>
          <w:sz w:val="44"/>
          <w:szCs w:val="44"/>
        </w:rPr>
        <w:t>201</w:t>
      </w:r>
      <w:r>
        <w:rPr>
          <w:rFonts w:hint="eastAsia"/>
          <w:b/>
          <w:sz w:val="44"/>
          <w:szCs w:val="44"/>
        </w:rPr>
        <w:t>9年度南阳高新技术产业开发区</w:t>
      </w:r>
    </w:p>
    <w:p>
      <w:pPr>
        <w:jc w:val="center"/>
        <w:rPr>
          <w:b/>
          <w:sz w:val="44"/>
          <w:szCs w:val="44"/>
        </w:rPr>
      </w:pPr>
      <w:r>
        <w:rPr>
          <w:rFonts w:hint="eastAsia"/>
          <w:b/>
          <w:sz w:val="44"/>
          <w:szCs w:val="44"/>
        </w:rPr>
        <w:t>创业服务中心预算公开</w:t>
      </w:r>
    </w:p>
    <w:p>
      <w:pPr>
        <w:spacing w:line="600" w:lineRule="exact"/>
        <w:rPr>
          <w:rFonts w:ascii="黑体" w:hAnsi="黑体" w:eastAsia="黑体"/>
          <w:sz w:val="32"/>
          <w:szCs w:val="32"/>
        </w:rPr>
      </w:pPr>
    </w:p>
    <w:p>
      <w:pPr>
        <w:spacing w:line="600" w:lineRule="exact"/>
        <w:jc w:val="center"/>
        <w:rPr>
          <w:rFonts w:ascii="黑体" w:hAnsi="黑体" w:eastAsia="黑体"/>
          <w:sz w:val="32"/>
          <w:szCs w:val="32"/>
        </w:rPr>
      </w:pPr>
      <w:r>
        <w:rPr>
          <w:rFonts w:hint="eastAsia" w:ascii="黑体" w:hAnsi="黑体" w:eastAsia="黑体"/>
          <w:sz w:val="32"/>
          <w:szCs w:val="32"/>
        </w:rPr>
        <w:t>目录</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第一部分 高新区创业</w:t>
      </w:r>
      <w:r>
        <w:rPr>
          <w:rFonts w:hint="eastAsia" w:ascii="黑体" w:hAnsi="黑体" w:eastAsia="黑体" w:cs="黑体"/>
          <w:b/>
          <w:sz w:val="32"/>
          <w:szCs w:val="32"/>
        </w:rPr>
        <w:t>服务</w:t>
      </w:r>
      <w:r>
        <w:rPr>
          <w:rFonts w:hint="eastAsia" w:ascii="黑体" w:hAnsi="黑体" w:eastAsia="黑体"/>
          <w:sz w:val="32"/>
          <w:szCs w:val="32"/>
        </w:rPr>
        <w:t>中心单位基本情况</w:t>
      </w:r>
    </w:p>
    <w:p>
      <w:pPr>
        <w:spacing w:line="600" w:lineRule="exact"/>
        <w:ind w:firstLine="640" w:firstLineChars="200"/>
        <w:rPr>
          <w:rFonts w:ascii="楷体" w:hAnsi="楷体" w:eastAsia="楷体" w:cs="楷体"/>
          <w:sz w:val="32"/>
          <w:szCs w:val="32"/>
        </w:rPr>
      </w:pPr>
      <w:r>
        <w:rPr>
          <w:rFonts w:hint="eastAsia" w:ascii="黑体" w:hAnsi="黑体" w:eastAsia="黑体"/>
          <w:sz w:val="32"/>
          <w:szCs w:val="32"/>
        </w:rPr>
        <w:t>一、机构设置情况</w:t>
      </w:r>
    </w:p>
    <w:p>
      <w:pPr>
        <w:adjustRightInd w:val="0"/>
        <w:snapToGrid w:val="0"/>
        <w:spacing w:line="360" w:lineRule="auto"/>
        <w:ind w:firstLine="640"/>
        <w:rPr>
          <w:rFonts w:ascii="黑体" w:hAnsi="黑体" w:eastAsia="黑体"/>
          <w:sz w:val="32"/>
          <w:szCs w:val="32"/>
        </w:rPr>
      </w:pPr>
      <w:r>
        <w:rPr>
          <w:rFonts w:hint="eastAsia" w:ascii="黑体" w:hAnsi="黑体" w:eastAsia="黑体"/>
          <w:sz w:val="32"/>
          <w:szCs w:val="32"/>
        </w:rPr>
        <w:t>二、单位主要职责</w:t>
      </w:r>
    </w:p>
    <w:p>
      <w:pPr>
        <w:numPr>
          <w:ilvl w:val="0"/>
          <w:numId w:val="1"/>
        </w:numPr>
        <w:spacing w:line="600" w:lineRule="exact"/>
        <w:ind w:firstLine="640" w:firstLineChars="200"/>
        <w:rPr>
          <w:rFonts w:ascii="黑体" w:hAnsi="黑体" w:eastAsia="黑体"/>
          <w:sz w:val="32"/>
          <w:szCs w:val="32"/>
        </w:rPr>
      </w:pPr>
      <w:r>
        <w:rPr>
          <w:rFonts w:hint="eastAsia" w:ascii="黑体" w:hAnsi="黑体" w:eastAsia="黑体"/>
          <w:sz w:val="32"/>
          <w:szCs w:val="32"/>
        </w:rPr>
        <w:t>部门预算情况说明</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第三部分 名词解释</w:t>
      </w:r>
    </w:p>
    <w:p>
      <w:pPr>
        <w:ind w:firstLine="640" w:firstLineChars="200"/>
        <w:rPr>
          <w:rFonts w:ascii="黑体" w:hAnsi="黑体" w:eastAsia="黑体"/>
          <w:color w:val="333333"/>
          <w:sz w:val="32"/>
          <w:szCs w:val="32"/>
          <w:shd w:val="clear" w:color="auto" w:fill="FFFFFF"/>
        </w:rPr>
      </w:pPr>
      <w:r>
        <w:rPr>
          <w:rFonts w:hint="eastAsia" w:ascii="黑体" w:hAnsi="黑体" w:eastAsia="黑体"/>
          <w:sz w:val="32"/>
          <w:szCs w:val="32"/>
        </w:rPr>
        <w:t>附件：</w:t>
      </w:r>
      <w:r>
        <w:rPr>
          <w:rFonts w:hint="eastAsia" w:ascii="黑体" w:hAnsi="黑体" w:eastAsia="黑体"/>
          <w:color w:val="333333"/>
          <w:sz w:val="32"/>
          <w:szCs w:val="32"/>
          <w:shd w:val="clear" w:color="auto" w:fill="FFFFFF"/>
        </w:rPr>
        <w:t>2019年部门预算表</w:t>
      </w:r>
    </w:p>
    <w:p>
      <w:pPr>
        <w:kinsoku w:val="0"/>
        <w:overflowPunct w:val="0"/>
        <w:adjustRightInd w:val="0"/>
        <w:snapToGrid w:val="0"/>
        <w:spacing w:line="360" w:lineRule="auto"/>
        <w:ind w:right="51" w:firstLine="640" w:firstLineChars="200"/>
        <w:jc w:val="left"/>
        <w:rPr>
          <w:rFonts w:ascii="黑体" w:hAnsi="黑体" w:eastAsia="黑体" w:cs="黑体"/>
          <w:sz w:val="32"/>
          <w:szCs w:val="32"/>
        </w:rPr>
      </w:pPr>
      <w:r>
        <w:rPr>
          <w:rFonts w:hint="eastAsia" w:ascii="黑体" w:hAnsi="黑体" w:eastAsia="黑体" w:cs="黑体"/>
          <w:sz w:val="32"/>
          <w:szCs w:val="32"/>
        </w:rPr>
        <w:t xml:space="preserve">一、部门收支预算总表 </w:t>
      </w:r>
    </w:p>
    <w:p>
      <w:pPr>
        <w:kinsoku w:val="0"/>
        <w:overflowPunct w:val="0"/>
        <w:adjustRightInd w:val="0"/>
        <w:snapToGrid w:val="0"/>
        <w:spacing w:line="360" w:lineRule="auto"/>
        <w:ind w:right="51" w:firstLine="640" w:firstLineChars="200"/>
        <w:jc w:val="left"/>
        <w:rPr>
          <w:rFonts w:ascii="黑体" w:hAnsi="黑体" w:eastAsia="黑体" w:cs="黑体"/>
          <w:sz w:val="32"/>
          <w:szCs w:val="32"/>
        </w:rPr>
      </w:pPr>
      <w:r>
        <w:rPr>
          <w:rFonts w:hint="eastAsia" w:ascii="黑体" w:hAnsi="黑体" w:eastAsia="黑体" w:cs="黑体"/>
          <w:sz w:val="32"/>
          <w:szCs w:val="32"/>
        </w:rPr>
        <w:t xml:space="preserve">二、部门收入预算总表 </w:t>
      </w:r>
    </w:p>
    <w:p>
      <w:pPr>
        <w:kinsoku w:val="0"/>
        <w:overflowPunct w:val="0"/>
        <w:adjustRightInd w:val="0"/>
        <w:snapToGrid w:val="0"/>
        <w:spacing w:line="360" w:lineRule="auto"/>
        <w:ind w:right="51" w:firstLine="640" w:firstLineChars="200"/>
        <w:jc w:val="left"/>
        <w:rPr>
          <w:rFonts w:ascii="黑体" w:hAnsi="黑体" w:eastAsia="黑体" w:cs="黑体"/>
          <w:sz w:val="32"/>
          <w:szCs w:val="32"/>
        </w:rPr>
      </w:pPr>
      <w:r>
        <w:rPr>
          <w:rFonts w:hint="eastAsia" w:ascii="黑体" w:hAnsi="黑体" w:eastAsia="黑体" w:cs="黑体"/>
          <w:sz w:val="32"/>
          <w:szCs w:val="32"/>
        </w:rPr>
        <w:t>三、部门支出总体情况表</w:t>
      </w:r>
    </w:p>
    <w:p>
      <w:pPr>
        <w:kinsoku w:val="0"/>
        <w:overflowPunct w:val="0"/>
        <w:adjustRightInd w:val="0"/>
        <w:snapToGrid w:val="0"/>
        <w:spacing w:line="360" w:lineRule="auto"/>
        <w:ind w:right="51" w:firstLine="640" w:firstLineChars="200"/>
        <w:jc w:val="left"/>
        <w:rPr>
          <w:rFonts w:ascii="黑体" w:hAnsi="黑体" w:eastAsia="黑体" w:cs="黑体"/>
          <w:sz w:val="32"/>
          <w:szCs w:val="32"/>
        </w:rPr>
      </w:pPr>
      <w:r>
        <w:rPr>
          <w:rFonts w:hint="eastAsia" w:ascii="黑体" w:hAnsi="黑体" w:eastAsia="黑体" w:cs="黑体"/>
          <w:sz w:val="32"/>
          <w:szCs w:val="32"/>
        </w:rPr>
        <w:t xml:space="preserve">四、财政拨款收支总体情况表 </w:t>
      </w:r>
    </w:p>
    <w:p>
      <w:pPr>
        <w:kinsoku w:val="0"/>
        <w:overflowPunct w:val="0"/>
        <w:adjustRightInd w:val="0"/>
        <w:snapToGrid w:val="0"/>
        <w:spacing w:line="360" w:lineRule="auto"/>
        <w:ind w:right="51" w:firstLine="640" w:firstLineChars="200"/>
        <w:jc w:val="left"/>
        <w:rPr>
          <w:rFonts w:ascii="黑体" w:hAnsi="黑体" w:eastAsia="黑体" w:cs="黑体"/>
          <w:sz w:val="32"/>
          <w:szCs w:val="32"/>
        </w:rPr>
      </w:pPr>
      <w:r>
        <w:rPr>
          <w:rFonts w:hint="eastAsia" w:ascii="黑体" w:hAnsi="黑体" w:eastAsia="黑体" w:cs="黑体"/>
          <w:sz w:val="32"/>
          <w:szCs w:val="32"/>
        </w:rPr>
        <w:t>五、一般公共预算支出情况表 （按功能分类）</w:t>
      </w:r>
    </w:p>
    <w:p>
      <w:pPr>
        <w:kinsoku w:val="0"/>
        <w:overflowPunct w:val="0"/>
        <w:adjustRightInd w:val="0"/>
        <w:snapToGrid w:val="0"/>
        <w:spacing w:line="360" w:lineRule="auto"/>
        <w:ind w:right="51" w:firstLine="640" w:firstLineChars="200"/>
        <w:jc w:val="left"/>
        <w:rPr>
          <w:rFonts w:ascii="黑体" w:hAnsi="黑体" w:eastAsia="黑体" w:cs="黑体"/>
          <w:sz w:val="32"/>
          <w:szCs w:val="32"/>
        </w:rPr>
      </w:pPr>
      <w:r>
        <w:rPr>
          <w:rFonts w:hint="eastAsia" w:ascii="黑体" w:hAnsi="黑体" w:eastAsia="黑体" w:cs="黑体"/>
          <w:sz w:val="32"/>
          <w:szCs w:val="32"/>
        </w:rPr>
        <w:t>六、一般公共预算基本支出情况表（按经济分类）</w:t>
      </w:r>
    </w:p>
    <w:p>
      <w:pPr>
        <w:kinsoku w:val="0"/>
        <w:overflowPunct w:val="0"/>
        <w:adjustRightInd w:val="0"/>
        <w:snapToGrid w:val="0"/>
        <w:spacing w:line="360" w:lineRule="auto"/>
        <w:ind w:right="51" w:firstLine="640" w:firstLineChars="200"/>
        <w:jc w:val="left"/>
        <w:rPr>
          <w:rFonts w:ascii="黑体" w:hAnsi="黑体" w:eastAsia="黑体" w:cs="黑体"/>
          <w:sz w:val="32"/>
          <w:szCs w:val="32"/>
        </w:rPr>
      </w:pPr>
      <w:r>
        <w:rPr>
          <w:rFonts w:hint="eastAsia" w:ascii="黑体" w:hAnsi="黑体" w:eastAsia="黑体" w:cs="黑体"/>
          <w:sz w:val="32"/>
          <w:szCs w:val="32"/>
        </w:rPr>
        <w:t>七、政府性基金支出情况表</w:t>
      </w:r>
    </w:p>
    <w:p>
      <w:pPr>
        <w:kinsoku w:val="0"/>
        <w:overflowPunct w:val="0"/>
        <w:adjustRightInd w:val="0"/>
        <w:snapToGrid w:val="0"/>
        <w:spacing w:line="360" w:lineRule="auto"/>
        <w:ind w:right="51" w:firstLine="640" w:firstLineChars="200"/>
        <w:jc w:val="left"/>
        <w:rPr>
          <w:rFonts w:ascii="黑体" w:hAnsi="黑体" w:eastAsia="黑体" w:cs="黑体"/>
          <w:sz w:val="32"/>
          <w:szCs w:val="32"/>
        </w:rPr>
      </w:pPr>
      <w:r>
        <w:rPr>
          <w:rFonts w:hint="eastAsia" w:ascii="黑体" w:hAnsi="黑体" w:eastAsia="黑体" w:cs="黑体"/>
          <w:sz w:val="32"/>
          <w:szCs w:val="32"/>
        </w:rPr>
        <w:t>八、一般公共预算“三公”经费支出情况表</w:t>
      </w:r>
    </w:p>
    <w:p>
      <w:pPr>
        <w:spacing w:line="600" w:lineRule="exact"/>
        <w:jc w:val="center"/>
        <w:rPr>
          <w:rFonts w:ascii="黑体" w:hAnsi="黑体" w:eastAsia="黑体"/>
          <w:sz w:val="32"/>
          <w:szCs w:val="32"/>
        </w:rPr>
      </w:pPr>
    </w:p>
    <w:p>
      <w:pPr>
        <w:spacing w:line="600" w:lineRule="exact"/>
        <w:jc w:val="center"/>
        <w:rPr>
          <w:rFonts w:ascii="黑体" w:hAnsi="黑体" w:eastAsia="黑体"/>
          <w:sz w:val="32"/>
          <w:szCs w:val="32"/>
        </w:rPr>
      </w:pPr>
    </w:p>
    <w:p>
      <w:pPr>
        <w:spacing w:line="600" w:lineRule="exact"/>
        <w:jc w:val="center"/>
        <w:rPr>
          <w:rFonts w:ascii="黑体" w:hAnsi="黑体" w:eastAsia="黑体"/>
          <w:sz w:val="32"/>
          <w:szCs w:val="32"/>
        </w:rPr>
      </w:pPr>
    </w:p>
    <w:p>
      <w:pPr>
        <w:spacing w:line="600" w:lineRule="exact"/>
        <w:jc w:val="center"/>
        <w:rPr>
          <w:rFonts w:ascii="黑体" w:hAnsi="黑体" w:eastAsia="黑体"/>
          <w:sz w:val="32"/>
          <w:szCs w:val="32"/>
        </w:rPr>
      </w:pPr>
    </w:p>
    <w:p>
      <w:pPr>
        <w:spacing w:line="600" w:lineRule="exact"/>
        <w:jc w:val="center"/>
        <w:rPr>
          <w:rFonts w:ascii="黑体" w:hAnsi="黑体" w:eastAsia="黑体"/>
          <w:sz w:val="32"/>
          <w:szCs w:val="32"/>
        </w:rPr>
      </w:pPr>
    </w:p>
    <w:p>
      <w:pPr>
        <w:spacing w:line="600" w:lineRule="exact"/>
        <w:jc w:val="center"/>
        <w:rPr>
          <w:rFonts w:ascii="黑体" w:hAnsi="黑体" w:eastAsia="黑体"/>
          <w:sz w:val="32"/>
          <w:szCs w:val="32"/>
        </w:rPr>
      </w:pPr>
      <w:r>
        <w:rPr>
          <w:rFonts w:hint="eastAsia" w:ascii="黑体" w:hAnsi="黑体" w:eastAsia="黑体"/>
          <w:sz w:val="32"/>
          <w:szCs w:val="32"/>
        </w:rPr>
        <w:t>第一部分高新区创业中心单位基本情况</w:t>
      </w:r>
    </w:p>
    <w:p>
      <w:pPr>
        <w:spacing w:line="600" w:lineRule="exact"/>
        <w:jc w:val="center"/>
        <w:rPr>
          <w:rFonts w:ascii="黑体" w:hAnsi="黑体" w:eastAsia="黑体"/>
          <w:sz w:val="32"/>
          <w:szCs w:val="32"/>
        </w:rPr>
      </w:pPr>
      <w:r>
        <w:rPr>
          <w:rFonts w:hint="eastAsia" w:ascii="黑体" w:hAnsi="黑体" w:eastAsia="黑体"/>
          <w:sz w:val="32"/>
          <w:szCs w:val="32"/>
        </w:rPr>
        <w:t xml:space="preserve"> </w:t>
      </w:r>
    </w:p>
    <w:p>
      <w:pPr>
        <w:numPr>
          <w:ilvl w:val="0"/>
          <w:numId w:val="2"/>
        </w:numPr>
        <w:spacing w:line="600" w:lineRule="exact"/>
        <w:ind w:firstLine="720" w:firstLineChars="200"/>
        <w:rPr>
          <w:rFonts w:ascii="仿宋_GB2312" w:eastAsia="仿宋_GB2312"/>
          <w:spacing w:val="20"/>
          <w:kern w:val="0"/>
          <w:sz w:val="32"/>
          <w:szCs w:val="32"/>
        </w:rPr>
      </w:pPr>
      <w:r>
        <w:rPr>
          <w:rFonts w:hint="eastAsia" w:ascii="仿宋_GB2312" w:eastAsia="仿宋_GB2312"/>
          <w:spacing w:val="20"/>
          <w:kern w:val="0"/>
          <w:sz w:val="32"/>
          <w:szCs w:val="32"/>
        </w:rPr>
        <w:t>机构设置情况：</w:t>
      </w:r>
    </w:p>
    <w:p>
      <w:pPr>
        <w:numPr>
          <w:ilvl w:val="0"/>
          <w:numId w:val="0"/>
        </w:numPr>
        <w:spacing w:line="600" w:lineRule="exact"/>
        <w:ind w:firstLine="720" w:firstLineChars="200"/>
        <w:rPr>
          <w:rFonts w:hint="eastAsia" w:ascii="仿宋_GB2312" w:eastAsia="仿宋_GB2312"/>
          <w:spacing w:val="20"/>
          <w:kern w:val="0"/>
          <w:sz w:val="32"/>
          <w:szCs w:val="32"/>
        </w:rPr>
      </w:pPr>
      <w:r>
        <w:rPr>
          <w:rFonts w:hint="eastAsia" w:ascii="仿宋_GB2312" w:eastAsia="仿宋_GB2312"/>
          <w:spacing w:val="20"/>
          <w:kern w:val="0"/>
          <w:sz w:val="32"/>
          <w:szCs w:val="32"/>
        </w:rPr>
        <w:t>南阳高新技术产业开发区创业服务中心预算为本级预算单位。南阳高新技术产业开发区创业服务中心无下设机构。</w:t>
      </w:r>
    </w:p>
    <w:p>
      <w:pPr>
        <w:widowControl w:val="0"/>
        <w:autoSpaceDE w:val="0"/>
        <w:autoSpaceDN w:val="0"/>
        <w:snapToGrid/>
        <w:spacing w:after="0" w:line="600" w:lineRule="atLeast"/>
        <w:ind w:firstLine="720"/>
        <w:rPr>
          <w:rFonts w:hint="eastAsia" w:ascii="仿宋_GB2312" w:eastAsia="仿宋_GB2312"/>
          <w:spacing w:val="20"/>
          <w:kern w:val="0"/>
          <w:sz w:val="32"/>
          <w:szCs w:val="32"/>
          <w:highlight w:val="none"/>
          <w:lang w:val="en-US" w:eastAsia="zh-CN"/>
        </w:rPr>
      </w:pPr>
      <w:r>
        <w:rPr>
          <w:rFonts w:hint="eastAsia" w:ascii="仿宋_GB2312" w:eastAsia="仿宋_GB2312"/>
          <w:spacing w:val="20"/>
          <w:kern w:val="0"/>
          <w:sz w:val="32"/>
          <w:szCs w:val="32"/>
        </w:rPr>
        <w:t>南阳高新技术产业开发区创业服务中心</w:t>
      </w:r>
      <w:r>
        <w:rPr>
          <w:rFonts w:hint="eastAsia" w:ascii="仿宋_GB2312" w:eastAsia="仿宋_GB2312"/>
          <w:spacing w:val="20"/>
          <w:kern w:val="0"/>
          <w:sz w:val="32"/>
          <w:szCs w:val="32"/>
          <w:highlight w:val="none"/>
          <w:lang w:val="zh-CN" w:eastAsia="zh-CN"/>
        </w:rPr>
        <w:t>部门预算单位构成：</w:t>
      </w:r>
      <w:r>
        <w:rPr>
          <w:rFonts w:hint="eastAsia" w:ascii="仿宋_GB2312" w:eastAsia="仿宋_GB2312"/>
          <w:spacing w:val="20"/>
          <w:kern w:val="0"/>
          <w:sz w:val="32"/>
          <w:szCs w:val="32"/>
        </w:rPr>
        <w:t>南阳高新技术产业开发区创业服务中心</w:t>
      </w:r>
      <w:r>
        <w:rPr>
          <w:rFonts w:hint="eastAsia" w:ascii="仿宋_GB2312" w:eastAsia="仿宋_GB2312"/>
          <w:spacing w:val="20"/>
          <w:kern w:val="0"/>
          <w:sz w:val="32"/>
          <w:szCs w:val="32"/>
          <w:highlight w:val="none"/>
          <w:lang w:val="zh-CN" w:eastAsia="zh-CN"/>
        </w:rPr>
        <w:t>部门预算包括</w:t>
      </w:r>
      <w:r>
        <w:rPr>
          <w:rFonts w:hint="eastAsia" w:ascii="仿宋_GB2312" w:eastAsia="仿宋_GB2312"/>
          <w:spacing w:val="20"/>
          <w:kern w:val="0"/>
          <w:sz w:val="32"/>
          <w:szCs w:val="32"/>
        </w:rPr>
        <w:t>南阳高新技术产业开发区创业服务中心</w:t>
      </w:r>
      <w:r>
        <w:rPr>
          <w:rFonts w:hint="eastAsia" w:ascii="仿宋_GB2312" w:eastAsia="仿宋_GB2312"/>
          <w:spacing w:val="20"/>
          <w:kern w:val="0"/>
          <w:sz w:val="32"/>
          <w:szCs w:val="32"/>
          <w:highlight w:val="none"/>
          <w:lang w:val="zh-CN" w:eastAsia="zh-CN"/>
        </w:rPr>
        <w:t>本级预算。</w:t>
      </w:r>
    </w:p>
    <w:p>
      <w:pPr>
        <w:numPr>
          <w:ilvl w:val="0"/>
          <w:numId w:val="0"/>
        </w:numPr>
        <w:spacing w:line="600" w:lineRule="exact"/>
        <w:ind w:firstLine="720" w:firstLineChars="200"/>
        <w:rPr>
          <w:rFonts w:hint="eastAsia" w:ascii="仿宋_GB2312" w:eastAsia="仿宋_GB2312"/>
          <w:spacing w:val="20"/>
          <w:kern w:val="0"/>
          <w:sz w:val="32"/>
          <w:szCs w:val="32"/>
        </w:rPr>
      </w:pPr>
    </w:p>
    <w:p>
      <w:pPr>
        <w:adjustRightInd w:val="0"/>
        <w:snapToGrid w:val="0"/>
        <w:spacing w:line="360" w:lineRule="auto"/>
        <w:ind w:firstLine="720" w:firstLineChars="200"/>
        <w:rPr>
          <w:rFonts w:ascii="仿宋_GB2312" w:eastAsia="仿宋_GB2312"/>
          <w:spacing w:val="20"/>
          <w:kern w:val="0"/>
          <w:sz w:val="32"/>
          <w:szCs w:val="32"/>
        </w:rPr>
      </w:pPr>
    </w:p>
    <w:p>
      <w:pPr>
        <w:adjustRightInd w:val="0"/>
        <w:snapToGrid w:val="0"/>
        <w:spacing w:line="360" w:lineRule="auto"/>
        <w:ind w:firstLine="360" w:firstLineChars="100"/>
        <w:rPr>
          <w:rFonts w:ascii="仿宋_GB2312" w:eastAsia="仿宋_GB2312"/>
          <w:spacing w:val="20"/>
          <w:kern w:val="0"/>
          <w:sz w:val="32"/>
          <w:szCs w:val="32"/>
        </w:rPr>
      </w:pPr>
      <w:r>
        <w:rPr>
          <w:rFonts w:hint="eastAsia" w:ascii="仿宋_GB2312" w:eastAsia="仿宋_GB2312"/>
          <w:spacing w:val="20"/>
          <w:kern w:val="0"/>
          <w:sz w:val="32"/>
          <w:szCs w:val="32"/>
        </w:rPr>
        <w:t>二、单位主要职责：负责引进、培育、孵化高新技术项目和高新技术企业，促进高新技术成果转化；负责完善创业服务中心基础设施建设，满足入孵企业要求；负责探索多元化融资、多渠道建设孵化器的新路子；负责为进驻创业中心的企业提供全方位服务。</w:t>
      </w:r>
    </w:p>
    <w:p>
      <w:pPr>
        <w:spacing w:line="600" w:lineRule="exact"/>
        <w:ind w:firstLine="720" w:firstLineChars="200"/>
        <w:jc w:val="left"/>
        <w:rPr>
          <w:rFonts w:ascii="仿宋_GB2312" w:eastAsia="仿宋_GB2312"/>
          <w:spacing w:val="20"/>
          <w:kern w:val="0"/>
          <w:sz w:val="32"/>
          <w:szCs w:val="32"/>
        </w:rPr>
      </w:pPr>
    </w:p>
    <w:p>
      <w:pPr>
        <w:spacing w:line="600" w:lineRule="exact"/>
        <w:ind w:firstLine="720" w:firstLineChars="200"/>
        <w:jc w:val="left"/>
        <w:rPr>
          <w:rFonts w:ascii="仿宋_GB2312" w:eastAsia="仿宋_GB2312"/>
          <w:spacing w:val="20"/>
          <w:kern w:val="0"/>
          <w:sz w:val="32"/>
          <w:szCs w:val="32"/>
        </w:rPr>
      </w:pPr>
    </w:p>
    <w:p>
      <w:pPr>
        <w:spacing w:line="600" w:lineRule="exact"/>
        <w:ind w:firstLine="720" w:firstLineChars="200"/>
        <w:jc w:val="left"/>
        <w:rPr>
          <w:rFonts w:ascii="仿宋_GB2312" w:eastAsia="仿宋_GB2312"/>
          <w:spacing w:val="20"/>
          <w:kern w:val="0"/>
          <w:sz w:val="32"/>
          <w:szCs w:val="32"/>
        </w:rPr>
      </w:pPr>
    </w:p>
    <w:p>
      <w:pPr>
        <w:spacing w:line="600" w:lineRule="exact"/>
        <w:ind w:firstLine="720" w:firstLineChars="200"/>
        <w:jc w:val="left"/>
        <w:rPr>
          <w:rFonts w:ascii="仿宋_GB2312" w:eastAsia="仿宋_GB2312"/>
          <w:spacing w:val="20"/>
          <w:kern w:val="0"/>
          <w:sz w:val="32"/>
          <w:szCs w:val="32"/>
        </w:rPr>
      </w:pPr>
    </w:p>
    <w:p>
      <w:pPr>
        <w:spacing w:line="600" w:lineRule="exact"/>
        <w:ind w:firstLine="360" w:firstLineChars="100"/>
        <w:rPr>
          <w:rFonts w:ascii="仿宋_GB2312" w:eastAsia="仿宋_GB2312"/>
          <w:spacing w:val="20"/>
          <w:kern w:val="0"/>
          <w:sz w:val="32"/>
          <w:szCs w:val="32"/>
        </w:rPr>
      </w:pPr>
      <w:r>
        <w:rPr>
          <w:rFonts w:hint="eastAsia" w:ascii="黑体" w:hAnsi="黑体" w:eastAsia="黑体"/>
          <w:spacing w:val="20"/>
          <w:kern w:val="0"/>
          <w:sz w:val="32"/>
          <w:szCs w:val="32"/>
        </w:rPr>
        <w:t>第二部分</w:t>
      </w:r>
      <w:r>
        <w:rPr>
          <w:rFonts w:hint="eastAsia" w:ascii="仿宋_GB2312" w:eastAsia="仿宋_GB2312"/>
          <w:spacing w:val="20"/>
          <w:kern w:val="0"/>
          <w:sz w:val="32"/>
          <w:szCs w:val="32"/>
        </w:rPr>
        <w:t xml:space="preserve"> </w:t>
      </w:r>
      <w:r>
        <w:rPr>
          <w:rFonts w:hint="eastAsia" w:ascii="黑体" w:hAnsi="黑体" w:eastAsia="黑体"/>
          <w:kern w:val="0"/>
          <w:sz w:val="32"/>
          <w:szCs w:val="32"/>
        </w:rPr>
        <w:t>部门预算情况说明</w:t>
      </w:r>
    </w:p>
    <w:p>
      <w:pPr>
        <w:spacing w:line="600" w:lineRule="exact"/>
        <w:ind w:firstLine="640" w:firstLineChars="200"/>
        <w:jc w:val="left"/>
        <w:rPr>
          <w:rFonts w:ascii="华文仿宋" w:hAnsi="华文仿宋" w:eastAsia="华文仿宋"/>
          <w:kern w:val="0"/>
          <w:sz w:val="32"/>
          <w:szCs w:val="32"/>
        </w:rPr>
      </w:pPr>
      <w:r>
        <w:rPr>
          <w:rFonts w:hint="eastAsia" w:ascii="华文仿宋" w:hAnsi="华文仿宋" w:eastAsia="华文仿宋"/>
          <w:kern w:val="0"/>
          <w:sz w:val="32"/>
          <w:szCs w:val="32"/>
        </w:rPr>
        <w:t>一、收支预算总体情况说明</w:t>
      </w:r>
    </w:p>
    <w:p>
      <w:pPr>
        <w:spacing w:line="600" w:lineRule="exact"/>
        <w:ind w:firstLine="360" w:firstLineChars="100"/>
        <w:jc w:val="left"/>
        <w:rPr>
          <w:rFonts w:ascii="仿宋_GB2312" w:eastAsia="仿宋_GB2312"/>
          <w:spacing w:val="20"/>
          <w:kern w:val="0"/>
          <w:sz w:val="32"/>
          <w:szCs w:val="32"/>
        </w:rPr>
      </w:pPr>
      <w:r>
        <w:rPr>
          <w:rFonts w:hint="eastAsia" w:ascii="仿宋_GB2312" w:eastAsia="仿宋_GB2312"/>
          <w:spacing w:val="20"/>
          <w:kern w:val="0"/>
          <w:sz w:val="32"/>
          <w:szCs w:val="32"/>
        </w:rPr>
        <w:t>2019年收入总计1898.53万元，支出总计1898.53万元。与上年相比，收、支总计各增加814.96万元，增长75%，主要原因是：</w:t>
      </w:r>
    </w:p>
    <w:p>
      <w:pPr>
        <w:spacing w:line="600" w:lineRule="exact"/>
        <w:ind w:firstLine="360" w:firstLineChars="100"/>
        <w:jc w:val="left"/>
        <w:rPr>
          <w:rFonts w:ascii="仿宋_GB2312" w:eastAsia="仿宋_GB2312"/>
          <w:spacing w:val="20"/>
          <w:kern w:val="0"/>
          <w:sz w:val="32"/>
          <w:szCs w:val="32"/>
        </w:rPr>
      </w:pPr>
      <w:r>
        <w:rPr>
          <w:rFonts w:hint="eastAsia" w:ascii="仿宋_GB2312" w:eastAsia="仿宋_GB2312"/>
          <w:spacing w:val="20"/>
          <w:kern w:val="0"/>
          <w:sz w:val="32"/>
          <w:szCs w:val="32"/>
        </w:rPr>
        <w:t>1、一般性支出减少2.89万元。</w:t>
      </w:r>
    </w:p>
    <w:p>
      <w:pPr>
        <w:spacing w:line="600" w:lineRule="exact"/>
        <w:ind w:firstLine="360" w:firstLineChars="100"/>
        <w:jc w:val="left"/>
        <w:rPr>
          <w:rFonts w:ascii="仿宋_GB2312" w:eastAsia="仿宋_GB2312"/>
          <w:spacing w:val="20"/>
          <w:kern w:val="0"/>
          <w:sz w:val="32"/>
          <w:szCs w:val="32"/>
        </w:rPr>
      </w:pPr>
      <w:r>
        <w:rPr>
          <w:rFonts w:hint="eastAsia" w:ascii="仿宋_GB2312" w:eastAsia="仿宋_GB2312"/>
          <w:spacing w:val="20"/>
          <w:kern w:val="0"/>
          <w:sz w:val="32"/>
          <w:szCs w:val="32"/>
        </w:rPr>
        <w:t>2、项目支出增加798.53万元</w:t>
      </w:r>
    </w:p>
    <w:p>
      <w:pPr>
        <w:spacing w:line="600" w:lineRule="exact"/>
        <w:ind w:firstLine="720" w:firstLineChars="200"/>
        <w:jc w:val="left"/>
        <w:rPr>
          <w:rFonts w:ascii="仿宋_GB2312" w:eastAsia="仿宋_GB2312"/>
          <w:spacing w:val="20"/>
          <w:kern w:val="0"/>
          <w:sz w:val="32"/>
          <w:szCs w:val="32"/>
        </w:rPr>
      </w:pPr>
      <w:r>
        <w:rPr>
          <w:rFonts w:hint="eastAsia" w:ascii="仿宋_GB2312" w:eastAsia="仿宋_GB2312"/>
          <w:spacing w:val="20"/>
          <w:kern w:val="0"/>
          <w:sz w:val="32"/>
          <w:szCs w:val="32"/>
        </w:rPr>
        <w:t>二、收入预算总体情况说明</w:t>
      </w:r>
    </w:p>
    <w:p>
      <w:pPr>
        <w:spacing w:line="600" w:lineRule="exact"/>
        <w:ind w:firstLine="720" w:firstLineChars="200"/>
        <w:jc w:val="left"/>
        <w:rPr>
          <w:rFonts w:ascii="仿宋_GB2312" w:eastAsia="仿宋_GB2312"/>
          <w:spacing w:val="20"/>
          <w:kern w:val="0"/>
          <w:sz w:val="32"/>
          <w:szCs w:val="32"/>
        </w:rPr>
      </w:pPr>
      <w:r>
        <w:rPr>
          <w:rFonts w:hint="eastAsia" w:ascii="仿宋_GB2312" w:eastAsia="仿宋_GB2312"/>
          <w:spacing w:val="20"/>
          <w:kern w:val="0"/>
          <w:sz w:val="32"/>
          <w:szCs w:val="32"/>
        </w:rPr>
        <w:t>2019年收入合计1898.53万元，其中：一般公共预算104.99万元；结转收入0万元。</w:t>
      </w:r>
    </w:p>
    <w:p>
      <w:pPr>
        <w:spacing w:line="600" w:lineRule="exact"/>
        <w:ind w:firstLine="720" w:firstLineChars="200"/>
        <w:jc w:val="left"/>
        <w:rPr>
          <w:rFonts w:ascii="仿宋_GB2312" w:eastAsia="仿宋_GB2312"/>
          <w:spacing w:val="20"/>
          <w:kern w:val="0"/>
          <w:sz w:val="32"/>
          <w:szCs w:val="32"/>
        </w:rPr>
      </w:pPr>
      <w:r>
        <w:rPr>
          <w:rFonts w:hint="eastAsia" w:ascii="仿宋_GB2312" w:eastAsia="仿宋_GB2312"/>
          <w:spacing w:val="20"/>
          <w:kern w:val="0"/>
          <w:sz w:val="32"/>
          <w:szCs w:val="32"/>
        </w:rPr>
        <w:t>一般性项目支出1793.53万元。结转收入 0万元</w:t>
      </w:r>
    </w:p>
    <w:p>
      <w:pPr>
        <w:spacing w:line="600" w:lineRule="exact"/>
        <w:ind w:firstLine="720" w:firstLineChars="200"/>
        <w:jc w:val="left"/>
        <w:rPr>
          <w:rFonts w:ascii="仿宋_GB2312" w:eastAsia="仿宋_GB2312"/>
          <w:spacing w:val="20"/>
          <w:kern w:val="0"/>
          <w:sz w:val="32"/>
          <w:szCs w:val="32"/>
        </w:rPr>
      </w:pPr>
      <w:r>
        <w:rPr>
          <w:rFonts w:hint="eastAsia" w:ascii="仿宋_GB2312" w:eastAsia="仿宋_GB2312"/>
          <w:spacing w:val="20"/>
          <w:kern w:val="0"/>
          <w:sz w:val="32"/>
          <w:szCs w:val="32"/>
        </w:rPr>
        <w:t>三、支出预算总体情况说明</w:t>
      </w:r>
    </w:p>
    <w:p>
      <w:pPr>
        <w:spacing w:line="600" w:lineRule="exact"/>
        <w:ind w:firstLine="720" w:firstLineChars="200"/>
        <w:jc w:val="left"/>
        <w:rPr>
          <w:rFonts w:ascii="仿宋_GB2312" w:eastAsia="仿宋_GB2312"/>
          <w:spacing w:val="20"/>
          <w:kern w:val="0"/>
          <w:sz w:val="32"/>
          <w:szCs w:val="32"/>
        </w:rPr>
      </w:pPr>
      <w:r>
        <w:rPr>
          <w:rFonts w:hint="eastAsia" w:ascii="仿宋_GB2312" w:eastAsia="仿宋_GB2312"/>
          <w:spacing w:val="20"/>
          <w:kern w:val="0"/>
          <w:sz w:val="32"/>
          <w:szCs w:val="32"/>
        </w:rPr>
        <w:t>2019年支出合计1898.53万元，其中：基本支出104.99万元，占5%；项目支出1793.53万元，占95%。</w:t>
      </w:r>
    </w:p>
    <w:p>
      <w:pPr>
        <w:spacing w:line="600" w:lineRule="exact"/>
        <w:ind w:firstLine="720" w:firstLineChars="200"/>
        <w:jc w:val="left"/>
        <w:rPr>
          <w:rFonts w:ascii="仿宋_GB2312" w:eastAsia="仿宋_GB2312"/>
          <w:spacing w:val="20"/>
          <w:kern w:val="0"/>
          <w:sz w:val="32"/>
          <w:szCs w:val="32"/>
        </w:rPr>
      </w:pPr>
      <w:r>
        <w:rPr>
          <w:rFonts w:hint="eastAsia" w:ascii="仿宋_GB2312" w:eastAsia="仿宋_GB2312"/>
          <w:spacing w:val="20"/>
          <w:kern w:val="0"/>
          <w:sz w:val="32"/>
          <w:szCs w:val="32"/>
        </w:rPr>
        <w:t>四、财政拨款收支预算总体情况说明</w:t>
      </w:r>
    </w:p>
    <w:p>
      <w:pPr>
        <w:spacing w:line="600" w:lineRule="exact"/>
        <w:ind w:firstLine="720" w:firstLineChars="200"/>
        <w:jc w:val="left"/>
        <w:rPr>
          <w:rFonts w:ascii="仿宋_GB2312" w:eastAsia="仿宋_GB2312"/>
          <w:spacing w:val="20"/>
          <w:kern w:val="0"/>
          <w:sz w:val="32"/>
          <w:szCs w:val="32"/>
        </w:rPr>
      </w:pPr>
      <w:r>
        <w:rPr>
          <w:rFonts w:hint="eastAsia" w:ascii="仿宋_GB2312" w:eastAsia="仿宋_GB2312"/>
          <w:spacing w:val="20"/>
          <w:kern w:val="0"/>
          <w:sz w:val="32"/>
          <w:szCs w:val="32"/>
        </w:rPr>
        <w:t>2019年一般公共预算收支预算1898.53万元、政府性基金收支预算0万元。与上年相比，一般公共预算收支预算增加814.96万元，增长75%，主要原因是：项目支出增加；政府性基金收支预算未变化。</w:t>
      </w:r>
    </w:p>
    <w:p>
      <w:pPr>
        <w:spacing w:line="600" w:lineRule="exact"/>
        <w:ind w:firstLine="720" w:firstLineChars="200"/>
        <w:jc w:val="left"/>
        <w:rPr>
          <w:rFonts w:ascii="仿宋_GB2312" w:eastAsia="仿宋_GB2312"/>
          <w:spacing w:val="20"/>
          <w:kern w:val="0"/>
          <w:sz w:val="32"/>
          <w:szCs w:val="32"/>
        </w:rPr>
      </w:pPr>
      <w:r>
        <w:rPr>
          <w:rFonts w:hint="eastAsia" w:ascii="仿宋_GB2312" w:eastAsia="仿宋_GB2312"/>
          <w:spacing w:val="20"/>
          <w:kern w:val="0"/>
          <w:sz w:val="32"/>
          <w:szCs w:val="32"/>
        </w:rPr>
        <w:t>五、一般公共预算支出预算情况说明</w:t>
      </w:r>
    </w:p>
    <w:p>
      <w:pPr>
        <w:spacing w:line="600" w:lineRule="exact"/>
        <w:ind w:firstLine="720" w:firstLineChars="200"/>
        <w:jc w:val="left"/>
        <w:rPr>
          <w:rFonts w:hint="eastAsia" w:ascii="仿宋_GB2312" w:eastAsia="仿宋_GB2312"/>
          <w:spacing w:val="20"/>
          <w:kern w:val="0"/>
          <w:sz w:val="32"/>
          <w:szCs w:val="32"/>
        </w:rPr>
      </w:pPr>
      <w:r>
        <w:rPr>
          <w:rFonts w:hint="eastAsia" w:ascii="仿宋_GB2312" w:eastAsia="仿宋_GB2312"/>
          <w:spacing w:val="20"/>
          <w:kern w:val="0"/>
          <w:sz w:val="32"/>
          <w:szCs w:val="32"/>
        </w:rPr>
        <w:t>2019年一般公共预算支出预算为1898.53万元。主要用于以下方面：科学技术（类）支出1216.7万元，占64%；社会保障和就业（类）支出13.02万元，占0.6%；卫生健康支出（类）3.2万元，0.1%：社会保障（类）支出5.59万元，占0.3%。资源勘探信息等（类）（其他支持中小企业发展管理类支出）660万元 ，占35% 。</w:t>
      </w:r>
    </w:p>
    <w:p>
      <w:pPr>
        <w:spacing w:line="560" w:lineRule="exact"/>
        <w:ind w:firstLine="720" w:firstLineChars="200"/>
        <w:rPr>
          <w:rFonts w:ascii="仿宋_GB2312" w:hAnsi="仿宋_GB2312" w:eastAsia="仿宋_GB2312" w:cs="仿宋_GB2312"/>
          <w:b w:val="0"/>
          <w:bCs/>
          <w:spacing w:val="20"/>
          <w:kern w:val="0"/>
          <w:sz w:val="32"/>
          <w:szCs w:val="32"/>
          <w:highlight w:val="none"/>
        </w:rPr>
      </w:pPr>
      <w:r>
        <w:rPr>
          <w:rFonts w:hint="eastAsia" w:ascii="仿宋_GB2312" w:hAnsi="仿宋_GB2312" w:eastAsia="仿宋_GB2312" w:cs="仿宋_GB2312"/>
          <w:b w:val="0"/>
          <w:bCs/>
          <w:spacing w:val="20"/>
          <w:kern w:val="0"/>
          <w:sz w:val="32"/>
          <w:szCs w:val="32"/>
          <w:highlight w:val="none"/>
        </w:rPr>
        <w:t>六、支出预算经济分类情况说明</w:t>
      </w:r>
    </w:p>
    <w:p>
      <w:pPr>
        <w:adjustRightInd w:val="0"/>
        <w:snapToGrid w:val="0"/>
        <w:spacing w:line="60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按照《财政部关于印发〈支出经济分类科目改革方案〉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部门《支出经济分类汇总表》由上年仅反映一般公共预算基本支出经济分类科目预算，调整为按两套经济分类科目分别反映不同资金来源的全部预算支出。</w:t>
      </w:r>
    </w:p>
    <w:p>
      <w:pPr>
        <w:spacing w:line="600" w:lineRule="exact"/>
        <w:ind w:firstLine="640" w:firstLineChars="200"/>
        <w:jc w:val="left"/>
        <w:rPr>
          <w:rFonts w:hint="eastAsia" w:ascii="仿宋_GB2312" w:eastAsia="仿宋_GB2312"/>
          <w:spacing w:val="20"/>
          <w:kern w:val="0"/>
          <w:sz w:val="32"/>
          <w:szCs w:val="32"/>
          <w:highlight w:val="none"/>
        </w:rPr>
      </w:pPr>
      <w:r>
        <w:rPr>
          <w:rFonts w:hint="eastAsia" w:ascii="仿宋_GB2312" w:eastAsia="仿宋_GB2312"/>
          <w:sz w:val="32"/>
          <w:szCs w:val="32"/>
          <w:highlight w:val="none"/>
        </w:rPr>
        <w:t>单位具体情况：</w:t>
      </w:r>
      <w:r>
        <w:rPr>
          <w:rFonts w:hint="eastAsia" w:ascii="仿宋_GB2312" w:eastAsia="仿宋_GB2312"/>
          <w:spacing w:val="20"/>
          <w:kern w:val="0"/>
          <w:sz w:val="32"/>
          <w:szCs w:val="32"/>
          <w:highlight w:val="none"/>
        </w:rPr>
        <w:t>南阳高新技术产业开发区创业服务中心</w:t>
      </w:r>
      <w:r>
        <w:rPr>
          <w:rFonts w:hint="eastAsia" w:ascii="仿宋_GB2312" w:eastAsia="仿宋_GB2312"/>
          <w:sz w:val="32"/>
          <w:szCs w:val="32"/>
          <w:highlight w:val="none"/>
        </w:rPr>
        <w:t>20</w:t>
      </w:r>
      <w:r>
        <w:rPr>
          <w:rFonts w:hint="eastAsia" w:ascii="仿宋_GB2312" w:eastAsia="仿宋_GB2312"/>
          <w:sz w:val="32"/>
          <w:szCs w:val="32"/>
          <w:highlight w:val="none"/>
          <w:lang w:val="en-US" w:eastAsia="zh-CN"/>
        </w:rPr>
        <w:t>19</w:t>
      </w:r>
      <w:r>
        <w:rPr>
          <w:rFonts w:hint="eastAsia" w:ascii="仿宋_GB2312" w:eastAsia="仿宋_GB2312"/>
          <w:sz w:val="32"/>
          <w:szCs w:val="32"/>
          <w:highlight w:val="none"/>
        </w:rPr>
        <w:t>年一般公共预算</w:t>
      </w:r>
      <w:r>
        <w:rPr>
          <w:rFonts w:hint="eastAsia" w:ascii="仿宋_GB2312" w:eastAsia="仿宋_GB2312"/>
          <w:sz w:val="32"/>
          <w:szCs w:val="32"/>
          <w:highlight w:val="none"/>
          <w:lang w:val="en-US" w:eastAsia="zh-CN"/>
        </w:rPr>
        <w:t>基本</w:t>
      </w:r>
      <w:r>
        <w:rPr>
          <w:rFonts w:hint="eastAsia" w:ascii="仿宋_GB2312" w:eastAsia="仿宋_GB2312"/>
          <w:sz w:val="32"/>
          <w:szCs w:val="32"/>
          <w:highlight w:val="none"/>
        </w:rPr>
        <w:t>支出</w:t>
      </w:r>
      <w:r>
        <w:rPr>
          <w:rFonts w:hint="eastAsia" w:ascii="仿宋_GB2312" w:eastAsia="仿宋_GB2312"/>
          <w:sz w:val="32"/>
          <w:szCs w:val="32"/>
          <w:highlight w:val="none"/>
          <w:lang w:val="en-US" w:eastAsia="zh-CN"/>
        </w:rPr>
        <w:t>105</w:t>
      </w:r>
      <w:r>
        <w:rPr>
          <w:rFonts w:hint="eastAsia" w:ascii="仿宋_GB2312" w:eastAsia="仿宋_GB2312"/>
          <w:sz w:val="32"/>
          <w:szCs w:val="32"/>
          <w:highlight w:val="none"/>
        </w:rPr>
        <w:t>万元，其中：人员经费</w:t>
      </w:r>
      <w:r>
        <w:rPr>
          <w:rFonts w:hint="eastAsia" w:ascii="仿宋_GB2312" w:eastAsia="仿宋_GB2312"/>
          <w:sz w:val="32"/>
          <w:szCs w:val="32"/>
          <w:highlight w:val="none"/>
          <w:lang w:val="en-US" w:eastAsia="zh-CN"/>
        </w:rPr>
        <w:t>100.78</w:t>
      </w:r>
      <w:r>
        <w:rPr>
          <w:rFonts w:hint="eastAsia" w:ascii="仿宋_GB2312" w:eastAsia="仿宋_GB2312"/>
          <w:sz w:val="32"/>
          <w:szCs w:val="32"/>
          <w:highlight w:val="none"/>
        </w:rPr>
        <w:t>万元，主要包括：基本工资、津贴补贴、奖金、其他工资福利支出、离休费、退休费、等各项经费；公用经费</w:t>
      </w:r>
      <w:r>
        <w:rPr>
          <w:rFonts w:hint="eastAsia" w:ascii="仿宋_GB2312" w:eastAsia="仿宋_GB2312"/>
          <w:sz w:val="32"/>
          <w:szCs w:val="32"/>
          <w:highlight w:val="none"/>
          <w:lang w:val="en-US" w:eastAsia="zh-CN"/>
        </w:rPr>
        <w:t>4.22</w:t>
      </w:r>
      <w:r>
        <w:rPr>
          <w:rFonts w:hint="eastAsia" w:ascii="仿宋_GB2312" w:eastAsia="仿宋_GB2312"/>
          <w:sz w:val="32"/>
          <w:szCs w:val="32"/>
          <w:highlight w:val="none"/>
        </w:rPr>
        <w:t>万元，主要包括：办公费、印刷费、邮电费、差旅费、会议费、培训费、公务接待费、委托业务费等支出。</w:t>
      </w:r>
    </w:p>
    <w:p>
      <w:pPr>
        <w:spacing w:line="60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lang w:val="en-US" w:eastAsia="zh-CN"/>
        </w:rPr>
        <w:t>七</w:t>
      </w:r>
      <w:r>
        <w:rPr>
          <w:rFonts w:hint="eastAsia" w:ascii="仿宋_GB2312" w:eastAsia="仿宋_GB2312"/>
          <w:kern w:val="0"/>
          <w:sz w:val="32"/>
          <w:szCs w:val="32"/>
        </w:rPr>
        <w:t>、一般公共预算“三公”经费支出预算情况说明</w:t>
      </w:r>
    </w:p>
    <w:p>
      <w:pPr>
        <w:adjustRightInd w:val="0"/>
        <w:snapToGrid w:val="0"/>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2019年一般公共预算“三公”经费支出预算为0.1万元，较上年减少0.01万元，</w:t>
      </w:r>
      <w:r>
        <w:rPr>
          <w:rFonts w:hint="eastAsia" w:ascii="仿宋_GB2312" w:eastAsia="仿宋_GB2312"/>
          <w:kern w:val="0"/>
          <w:sz w:val="32"/>
          <w:szCs w:val="32"/>
          <w:lang w:val="en-US" w:eastAsia="zh-CN"/>
        </w:rPr>
        <w:t>下降</w:t>
      </w:r>
      <w:r>
        <w:rPr>
          <w:rFonts w:hint="eastAsia" w:ascii="仿宋_GB2312" w:eastAsia="仿宋_GB2312"/>
          <w:kern w:val="0"/>
          <w:sz w:val="32"/>
          <w:szCs w:val="32"/>
        </w:rPr>
        <w:t>50%，原因为：本单位将认真执行中央八项规定以及党政机关厉行节约反对浪费条例等文件精神，减少公务接待费用取消公务用车。具体支出情况如下：</w:t>
      </w:r>
    </w:p>
    <w:p>
      <w:pPr>
        <w:numPr>
          <w:ilvl w:val="0"/>
          <w:numId w:val="3"/>
        </w:numPr>
        <w:adjustRightInd w:val="0"/>
        <w:snapToGrid w:val="0"/>
        <w:spacing w:line="60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因公出国（境）费</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lang w:eastAsia="zh-CN"/>
        </w:rPr>
        <w:t>万元，主要用于单位工作人员公务出国（境）的住宿费、旅费、伙食补助费、杂费、培训费等支出，与上年0万元持平，主要原因是本年未安排因公出国费用。</w:t>
      </w:r>
    </w:p>
    <w:p>
      <w:pPr>
        <w:ind w:firstLine="641"/>
        <w:rPr>
          <w:rFonts w:ascii="仿宋_GB2312" w:eastAsia="仿宋_GB2312"/>
          <w:kern w:val="0"/>
          <w:sz w:val="32"/>
          <w:szCs w:val="32"/>
        </w:rPr>
      </w:pPr>
      <w:r>
        <w:rPr>
          <w:rFonts w:hint="eastAsia" w:ascii="仿宋_GB2312" w:eastAsia="仿宋_GB2312"/>
          <w:kern w:val="0"/>
          <w:sz w:val="32"/>
          <w:szCs w:val="32"/>
        </w:rPr>
        <w:t>2、</w:t>
      </w:r>
      <w:r>
        <w:rPr>
          <w:rFonts w:hint="eastAsia" w:ascii="仿宋_GB2312" w:hAnsi="仿宋_GB2312" w:eastAsia="仿宋_GB2312" w:cs="仿宋_GB2312"/>
          <w:b w:val="0"/>
          <w:bCs w:val="0"/>
          <w:sz w:val="32"/>
          <w:szCs w:val="32"/>
          <w:lang w:eastAsia="zh-CN"/>
        </w:rPr>
        <w:t>公务接待费</w:t>
      </w:r>
      <w:r>
        <w:rPr>
          <w:rFonts w:hint="eastAsia" w:ascii="仿宋_GB2312" w:hAnsi="仿宋_GB2312" w:eastAsia="仿宋_GB2312" w:cs="仿宋_GB2312"/>
          <w:b w:val="0"/>
          <w:bCs w:val="0"/>
          <w:sz w:val="32"/>
          <w:szCs w:val="32"/>
          <w:lang w:val="en-US" w:eastAsia="zh-CN"/>
        </w:rPr>
        <w:t>0.10</w:t>
      </w:r>
      <w:r>
        <w:rPr>
          <w:rFonts w:hint="eastAsia" w:ascii="仿宋_GB2312" w:hAnsi="仿宋_GB2312" w:eastAsia="仿宋_GB2312" w:cs="仿宋_GB2312"/>
          <w:b w:val="0"/>
          <w:bCs w:val="0"/>
          <w:sz w:val="32"/>
          <w:szCs w:val="32"/>
          <w:lang w:eastAsia="zh-CN"/>
        </w:rPr>
        <w:t>万元，主要用于按规定开支的各类公务接待（含外宾接待）支出。预算数与</w:t>
      </w:r>
      <w:r>
        <w:rPr>
          <w:rFonts w:hint="eastAsia" w:ascii="仿宋_GB2312" w:eastAsia="仿宋_GB2312"/>
          <w:kern w:val="0"/>
          <w:sz w:val="32"/>
          <w:szCs w:val="32"/>
        </w:rPr>
        <w:t>较上年减少0.1</w:t>
      </w:r>
      <w:r>
        <w:rPr>
          <w:rFonts w:hint="eastAsia" w:ascii="仿宋_GB2312" w:eastAsia="仿宋_GB2312"/>
          <w:kern w:val="0"/>
          <w:sz w:val="32"/>
          <w:szCs w:val="32"/>
          <w:lang w:val="en-US" w:eastAsia="zh-CN"/>
        </w:rPr>
        <w:t>0</w:t>
      </w:r>
      <w:r>
        <w:rPr>
          <w:rFonts w:hint="eastAsia" w:ascii="仿宋_GB2312" w:eastAsia="仿宋_GB2312"/>
          <w:kern w:val="0"/>
          <w:sz w:val="32"/>
          <w:szCs w:val="32"/>
        </w:rPr>
        <w:t>万元，降低50%，原因为：本单位将认真执行中央八项规定以及党政机</w:t>
      </w:r>
      <w:bookmarkStart w:id="0" w:name="_GoBack"/>
      <w:bookmarkEnd w:id="0"/>
      <w:r>
        <w:rPr>
          <w:rFonts w:hint="eastAsia" w:ascii="仿宋_GB2312" w:eastAsia="仿宋_GB2312"/>
          <w:kern w:val="0"/>
          <w:sz w:val="32"/>
          <w:szCs w:val="32"/>
        </w:rPr>
        <w:t>关厉行节约反对浪费条例等文件精神，减少公务接待费用。</w:t>
      </w:r>
    </w:p>
    <w:p>
      <w:pPr>
        <w:ind w:firstLine="641"/>
        <w:rPr>
          <w:rFonts w:hint="eastAsia" w:ascii="仿宋_GB2312" w:hAnsi="仿宋_GB2312" w:eastAsia="仿宋_GB2312" w:cs="仿宋_GB2312"/>
          <w:b w:val="0"/>
          <w:bCs w:val="0"/>
          <w:sz w:val="32"/>
          <w:szCs w:val="32"/>
          <w:lang w:eastAsia="zh-CN"/>
        </w:rPr>
      </w:pPr>
      <w:r>
        <w:rPr>
          <w:rFonts w:hint="eastAsia" w:ascii="仿宋_GB2312" w:eastAsia="仿宋_GB2312"/>
          <w:kern w:val="0"/>
          <w:sz w:val="32"/>
          <w:szCs w:val="32"/>
        </w:rPr>
        <w:t>3、</w:t>
      </w:r>
      <w:r>
        <w:rPr>
          <w:rFonts w:hint="eastAsia" w:ascii="仿宋_GB2312" w:hAnsi="仿宋_GB2312" w:eastAsia="仿宋_GB2312" w:cs="仿宋_GB2312"/>
          <w:b w:val="0"/>
          <w:bCs w:val="0"/>
          <w:sz w:val="32"/>
          <w:szCs w:val="32"/>
          <w:lang w:eastAsia="zh-CN"/>
        </w:rPr>
        <w:t>公务用车购置及运行费</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lang w:eastAsia="zh-CN"/>
        </w:rPr>
        <w:t>万元，主要用于开展工作所需公务用车的燃料费、维修费、过路过桥费、保险费、安全奖励费用等支出。公务用车购置及运行费预算数与上年0万元持平，主要原因是本年未安排公务用车购置及运行费。其中，公务用车购置费</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lang w:eastAsia="zh-CN"/>
        </w:rPr>
        <w:t>万元，公务用车购置费预算数与上年0万元持平，主要原因是本年未安排公务用车购置费；公务用车运行维护费</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lang w:eastAsia="zh-CN"/>
        </w:rPr>
        <w:t>万元，公务用车运行维护费预算数与上年0万元持平，主要原因是本年未安排公务用车运行维护费。</w:t>
      </w:r>
    </w:p>
    <w:p>
      <w:pPr>
        <w:adjustRightInd w:val="0"/>
        <w:snapToGrid w:val="0"/>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lang w:val="en-US" w:eastAsia="zh-CN"/>
        </w:rPr>
        <w:t>八</w:t>
      </w:r>
      <w:r>
        <w:rPr>
          <w:rFonts w:hint="eastAsia" w:ascii="仿宋_GB2312" w:eastAsia="仿宋_GB2312"/>
          <w:kern w:val="0"/>
          <w:sz w:val="32"/>
          <w:szCs w:val="32"/>
        </w:rPr>
        <w:t>、政府性基金预算支出情况说明</w:t>
      </w:r>
    </w:p>
    <w:p>
      <w:pPr>
        <w:adjustRightInd w:val="0"/>
        <w:snapToGrid w:val="0"/>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2019年我单位没有政府性基金收入，也没有使用政府性基金安排的支出。</w:t>
      </w:r>
    </w:p>
    <w:p>
      <w:pPr>
        <w:adjustRightInd w:val="0"/>
        <w:snapToGrid w:val="0"/>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lang w:val="en-US" w:eastAsia="zh-CN"/>
        </w:rPr>
        <w:t>九</w:t>
      </w:r>
      <w:r>
        <w:rPr>
          <w:rFonts w:hint="eastAsia" w:ascii="仿宋_GB2312" w:eastAsia="仿宋_GB2312"/>
          <w:kern w:val="0"/>
          <w:sz w:val="32"/>
          <w:szCs w:val="32"/>
        </w:rPr>
        <w:t>、其他重要事项的情况说明</w:t>
      </w:r>
    </w:p>
    <w:p>
      <w:pPr>
        <w:adjustRightInd w:val="0"/>
        <w:snapToGrid w:val="0"/>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1、机关运行经费支出情况</w:t>
      </w:r>
    </w:p>
    <w:p>
      <w:pPr>
        <w:kinsoku w:val="0"/>
        <w:overflowPunct w:val="0"/>
        <w:autoSpaceDE w:val="0"/>
        <w:autoSpaceDN w:val="0"/>
        <w:adjustRightInd w:val="0"/>
        <w:snapToGrid w:val="0"/>
        <w:spacing w:line="600" w:lineRule="exact"/>
        <w:ind w:firstLine="640" w:firstLineChars="200"/>
        <w:rPr>
          <w:rFonts w:ascii="华文仿宋" w:hAnsi="华文仿宋" w:eastAsia="华文仿宋" w:cs="Courier New"/>
          <w:kern w:val="0"/>
          <w:sz w:val="32"/>
          <w:szCs w:val="32"/>
        </w:rPr>
      </w:pPr>
      <w:r>
        <w:rPr>
          <w:rFonts w:hint="eastAsia" w:ascii="华文仿宋" w:hAnsi="华文仿宋" w:eastAsia="华文仿宋"/>
          <w:kern w:val="0"/>
          <w:sz w:val="32"/>
          <w:szCs w:val="32"/>
        </w:rPr>
        <w:t>2019</w:t>
      </w:r>
      <w:r>
        <w:rPr>
          <w:rFonts w:hint="eastAsia" w:ascii="华文仿宋" w:hAnsi="华文仿宋" w:eastAsia="华文仿宋"/>
          <w:kern w:val="0"/>
          <w:sz w:val="32"/>
          <w:szCs w:val="32"/>
          <w:lang w:val="en-US" w:eastAsia="zh-CN"/>
        </w:rPr>
        <w:t>年</w:t>
      </w:r>
      <w:r>
        <w:rPr>
          <w:rFonts w:hint="eastAsia" w:ascii="华文仿宋" w:hAnsi="华文仿宋" w:eastAsia="华文仿宋"/>
          <w:kern w:val="0"/>
          <w:sz w:val="32"/>
          <w:szCs w:val="32"/>
        </w:rPr>
        <w:t>机关运行经费安排4.22万元，主要保障机构正常运转及正常履职需要</w:t>
      </w:r>
      <w:r>
        <w:rPr>
          <w:rFonts w:hint="eastAsia" w:ascii="华文仿宋" w:hAnsi="华文仿宋" w:eastAsia="华文仿宋" w:cs="Courier New"/>
          <w:kern w:val="0"/>
          <w:sz w:val="32"/>
          <w:szCs w:val="32"/>
        </w:rPr>
        <w:t>。</w:t>
      </w:r>
    </w:p>
    <w:p>
      <w:pPr>
        <w:kinsoku w:val="0"/>
        <w:overflowPunct w:val="0"/>
        <w:autoSpaceDE w:val="0"/>
        <w:autoSpaceDN w:val="0"/>
        <w:adjustRightInd w:val="0"/>
        <w:snapToGrid w:val="0"/>
        <w:spacing w:line="600" w:lineRule="exact"/>
        <w:ind w:firstLine="640" w:firstLineChars="200"/>
        <w:rPr>
          <w:rFonts w:hint="eastAsia" w:ascii="华文仿宋" w:hAnsi="华文仿宋" w:eastAsia="华文仿宋"/>
          <w:kern w:val="0"/>
          <w:sz w:val="32"/>
          <w:szCs w:val="32"/>
        </w:rPr>
      </w:pPr>
      <w:r>
        <w:rPr>
          <w:rFonts w:hint="eastAsia" w:ascii="华文仿宋" w:hAnsi="华文仿宋" w:eastAsia="华文仿宋"/>
          <w:kern w:val="0"/>
          <w:sz w:val="32"/>
          <w:szCs w:val="32"/>
        </w:rPr>
        <w:t>2、政府采购支出情况</w:t>
      </w:r>
    </w:p>
    <w:p>
      <w:pPr>
        <w:kinsoku w:val="0"/>
        <w:overflowPunct w:val="0"/>
        <w:autoSpaceDE w:val="0"/>
        <w:autoSpaceDN w:val="0"/>
        <w:adjustRightInd w:val="0"/>
        <w:snapToGrid w:val="0"/>
        <w:spacing w:line="600" w:lineRule="exact"/>
        <w:ind w:firstLine="640" w:firstLineChars="200"/>
        <w:rPr>
          <w:rFonts w:ascii="华文仿宋" w:hAnsi="华文仿宋" w:eastAsia="华文仿宋" w:cs="Courier New"/>
          <w:kern w:val="0"/>
          <w:sz w:val="32"/>
          <w:szCs w:val="32"/>
        </w:rPr>
      </w:pPr>
      <w:r>
        <w:rPr>
          <w:rFonts w:hint="eastAsia" w:ascii="华文仿宋" w:hAnsi="华文仿宋" w:eastAsia="华文仿宋"/>
          <w:kern w:val="0"/>
          <w:sz w:val="32"/>
          <w:szCs w:val="32"/>
        </w:rPr>
        <w:t>2019年未安排政府采购项目。</w:t>
      </w:r>
    </w:p>
    <w:p>
      <w:pPr>
        <w:kinsoku w:val="0"/>
        <w:overflowPunct w:val="0"/>
        <w:autoSpaceDE w:val="0"/>
        <w:autoSpaceDN w:val="0"/>
        <w:adjustRightInd w:val="0"/>
        <w:snapToGrid w:val="0"/>
        <w:spacing w:line="600" w:lineRule="exact"/>
        <w:ind w:firstLine="640" w:firstLineChars="200"/>
        <w:rPr>
          <w:rFonts w:ascii="华文仿宋" w:hAnsi="华文仿宋" w:eastAsia="华文仿宋"/>
          <w:kern w:val="0"/>
          <w:sz w:val="32"/>
          <w:szCs w:val="32"/>
        </w:rPr>
      </w:pPr>
      <w:r>
        <w:rPr>
          <w:rFonts w:hint="eastAsia" w:ascii="华文仿宋" w:hAnsi="华文仿宋" w:eastAsia="华文仿宋"/>
          <w:kern w:val="0"/>
          <w:sz w:val="32"/>
          <w:szCs w:val="32"/>
          <w:lang w:val="en-US" w:eastAsia="zh-CN"/>
        </w:rPr>
        <w:t>3、</w:t>
      </w:r>
      <w:r>
        <w:rPr>
          <w:rFonts w:hint="eastAsia" w:ascii="华文仿宋" w:hAnsi="华文仿宋" w:eastAsia="华文仿宋"/>
          <w:kern w:val="0"/>
          <w:sz w:val="32"/>
          <w:szCs w:val="32"/>
        </w:rPr>
        <w:t>国有资产占用情况</w:t>
      </w:r>
    </w:p>
    <w:p>
      <w:pPr>
        <w:kinsoku w:val="0"/>
        <w:overflowPunct w:val="0"/>
        <w:autoSpaceDE w:val="0"/>
        <w:autoSpaceDN w:val="0"/>
        <w:adjustRightInd w:val="0"/>
        <w:snapToGrid w:val="0"/>
        <w:spacing w:line="600" w:lineRule="exact"/>
        <w:ind w:firstLine="480" w:firstLineChars="150"/>
        <w:rPr>
          <w:rFonts w:hint="eastAsia" w:ascii="华文仿宋" w:hAnsi="华文仿宋" w:eastAsia="华文仿宋"/>
          <w:kern w:val="0"/>
          <w:sz w:val="32"/>
          <w:szCs w:val="32"/>
          <w:highlight w:val="none"/>
        </w:rPr>
      </w:pPr>
      <w:r>
        <w:rPr>
          <w:rFonts w:hint="eastAsia" w:ascii="华文仿宋" w:hAnsi="华文仿宋" w:eastAsia="华文仿宋"/>
          <w:kern w:val="0"/>
          <w:sz w:val="32"/>
          <w:szCs w:val="32"/>
          <w:highlight w:val="none"/>
        </w:rPr>
        <w:t>截止201</w:t>
      </w:r>
      <w:r>
        <w:rPr>
          <w:rFonts w:hint="eastAsia" w:ascii="华文仿宋" w:hAnsi="华文仿宋" w:eastAsia="华文仿宋"/>
          <w:kern w:val="0"/>
          <w:sz w:val="32"/>
          <w:szCs w:val="32"/>
          <w:highlight w:val="none"/>
          <w:lang w:val="en-US" w:eastAsia="zh-CN"/>
        </w:rPr>
        <w:t>8</w:t>
      </w:r>
      <w:r>
        <w:rPr>
          <w:rFonts w:hint="eastAsia" w:ascii="华文仿宋" w:hAnsi="华文仿宋" w:eastAsia="华文仿宋"/>
          <w:kern w:val="0"/>
          <w:sz w:val="32"/>
          <w:szCs w:val="32"/>
          <w:highlight w:val="none"/>
        </w:rPr>
        <w:t>年期末，</w:t>
      </w:r>
      <w:r>
        <w:rPr>
          <w:rFonts w:hint="eastAsia" w:ascii="仿宋_GB2312" w:eastAsia="仿宋_GB2312"/>
          <w:spacing w:val="20"/>
          <w:kern w:val="0"/>
          <w:sz w:val="32"/>
          <w:szCs w:val="32"/>
          <w:highlight w:val="none"/>
          <w:lang w:val="en-US" w:eastAsia="zh-CN"/>
        </w:rPr>
        <w:t>我单位</w:t>
      </w:r>
      <w:r>
        <w:rPr>
          <w:rFonts w:hint="eastAsia" w:ascii="华文仿宋" w:hAnsi="华文仿宋" w:eastAsia="华文仿宋"/>
          <w:kern w:val="0"/>
          <w:sz w:val="32"/>
          <w:szCs w:val="32"/>
          <w:highlight w:val="none"/>
        </w:rPr>
        <w:t>共有车辆</w:t>
      </w:r>
      <w:r>
        <w:rPr>
          <w:rFonts w:hint="eastAsia" w:ascii="华文仿宋" w:hAnsi="华文仿宋" w:eastAsia="华文仿宋"/>
          <w:kern w:val="0"/>
          <w:sz w:val="32"/>
          <w:szCs w:val="32"/>
          <w:highlight w:val="none"/>
          <w:lang w:val="en-US" w:eastAsia="zh-CN"/>
        </w:rPr>
        <w:t>0</w:t>
      </w:r>
      <w:r>
        <w:rPr>
          <w:rFonts w:hint="eastAsia" w:ascii="华文仿宋" w:hAnsi="华文仿宋" w:eastAsia="华文仿宋"/>
          <w:kern w:val="0"/>
          <w:sz w:val="32"/>
          <w:szCs w:val="32"/>
          <w:highlight w:val="none"/>
        </w:rPr>
        <w:t>辆，其中：一般公务用车</w:t>
      </w:r>
      <w:r>
        <w:rPr>
          <w:rFonts w:hint="eastAsia" w:ascii="华文仿宋" w:hAnsi="华文仿宋" w:eastAsia="华文仿宋"/>
          <w:kern w:val="0"/>
          <w:sz w:val="32"/>
          <w:szCs w:val="32"/>
          <w:highlight w:val="none"/>
          <w:lang w:val="en-US" w:eastAsia="zh-CN"/>
        </w:rPr>
        <w:t>0</w:t>
      </w:r>
      <w:r>
        <w:rPr>
          <w:rFonts w:hint="eastAsia" w:ascii="华文仿宋" w:hAnsi="华文仿宋" w:eastAsia="华文仿宋"/>
          <w:kern w:val="0"/>
          <w:sz w:val="32"/>
          <w:szCs w:val="32"/>
          <w:highlight w:val="none"/>
        </w:rPr>
        <w:t>辆、一般执法执勤用车</w:t>
      </w:r>
      <w:r>
        <w:rPr>
          <w:rFonts w:hint="eastAsia" w:ascii="华文仿宋" w:hAnsi="华文仿宋" w:eastAsia="华文仿宋"/>
          <w:kern w:val="0"/>
          <w:sz w:val="32"/>
          <w:szCs w:val="32"/>
          <w:highlight w:val="none"/>
          <w:lang w:val="en-US" w:eastAsia="zh-CN"/>
        </w:rPr>
        <w:t>0</w:t>
      </w:r>
      <w:r>
        <w:rPr>
          <w:rFonts w:hint="eastAsia" w:ascii="华文仿宋" w:hAnsi="华文仿宋" w:eastAsia="华文仿宋"/>
          <w:kern w:val="0"/>
          <w:sz w:val="32"/>
          <w:szCs w:val="32"/>
          <w:highlight w:val="none"/>
        </w:rPr>
        <w:t>辆、特种专业技术用车0辆，其他用车0辆；单位价值50万元以上通用设备</w:t>
      </w:r>
      <w:r>
        <w:rPr>
          <w:rFonts w:hint="eastAsia" w:ascii="华文仿宋" w:hAnsi="华文仿宋" w:eastAsia="华文仿宋"/>
          <w:kern w:val="0"/>
          <w:sz w:val="32"/>
          <w:szCs w:val="32"/>
          <w:highlight w:val="none"/>
          <w:lang w:val="en-US" w:eastAsia="zh-CN"/>
        </w:rPr>
        <w:t>0</w:t>
      </w:r>
      <w:r>
        <w:rPr>
          <w:rFonts w:hint="eastAsia" w:ascii="华文仿宋" w:hAnsi="华文仿宋" w:eastAsia="华文仿宋"/>
          <w:kern w:val="0"/>
          <w:sz w:val="32"/>
          <w:szCs w:val="32"/>
          <w:highlight w:val="none"/>
        </w:rPr>
        <w:t>台（套），单位价值100万元以上专用设备0台（套）。</w:t>
      </w:r>
    </w:p>
    <w:p>
      <w:pPr>
        <w:numPr>
          <w:ilvl w:val="0"/>
          <w:numId w:val="0"/>
        </w:numPr>
        <w:kinsoku w:val="0"/>
        <w:overflowPunct w:val="0"/>
        <w:autoSpaceDE w:val="0"/>
        <w:autoSpaceDN w:val="0"/>
        <w:adjustRightInd w:val="0"/>
        <w:snapToGrid w:val="0"/>
        <w:spacing w:line="600" w:lineRule="exact"/>
        <w:ind w:firstLine="640" w:firstLineChars="200"/>
        <w:rPr>
          <w:rFonts w:ascii="华文仿宋" w:hAnsi="华文仿宋" w:eastAsia="华文仿宋"/>
          <w:kern w:val="0"/>
          <w:sz w:val="32"/>
          <w:szCs w:val="32"/>
        </w:rPr>
      </w:pPr>
      <w:r>
        <w:rPr>
          <w:rFonts w:hint="eastAsia" w:ascii="华文仿宋" w:hAnsi="华文仿宋" w:eastAsia="华文仿宋"/>
          <w:kern w:val="0"/>
          <w:sz w:val="32"/>
          <w:szCs w:val="32"/>
          <w:lang w:val="en-US" w:eastAsia="zh-CN"/>
        </w:rPr>
        <w:t>4、</w:t>
      </w:r>
      <w:r>
        <w:rPr>
          <w:rFonts w:hint="eastAsia" w:ascii="华文仿宋" w:hAnsi="华文仿宋" w:eastAsia="华文仿宋"/>
          <w:kern w:val="0"/>
          <w:sz w:val="32"/>
          <w:szCs w:val="32"/>
        </w:rPr>
        <w:t xml:space="preserve">重点项目预算绩效目标情况 </w:t>
      </w:r>
    </w:p>
    <w:p>
      <w:pPr>
        <w:kinsoku w:val="0"/>
        <w:overflowPunct w:val="0"/>
        <w:autoSpaceDE w:val="0"/>
        <w:autoSpaceDN w:val="0"/>
        <w:adjustRightInd w:val="0"/>
        <w:snapToGrid w:val="0"/>
        <w:spacing w:line="600" w:lineRule="exact"/>
        <w:ind w:left="0" w:leftChars="0" w:firstLine="640" w:firstLineChars="200"/>
        <w:rPr>
          <w:rFonts w:hint="eastAsia" w:ascii="仿宋_GB2312" w:eastAsia="仿宋_GB2312"/>
          <w:kern w:val="0"/>
          <w:sz w:val="32"/>
          <w:szCs w:val="32"/>
        </w:rPr>
      </w:pPr>
      <w:r>
        <w:rPr>
          <w:rFonts w:hint="eastAsia" w:ascii="仿宋_GB2312" w:eastAsia="仿宋_GB2312"/>
          <w:kern w:val="0"/>
          <w:sz w:val="32"/>
          <w:szCs w:val="32"/>
        </w:rPr>
        <w:t>我单位2018年未开展重点项目预算绩效工作。</w:t>
      </w:r>
    </w:p>
    <w:p>
      <w:pPr>
        <w:kinsoku w:val="0"/>
        <w:overflowPunct w:val="0"/>
        <w:autoSpaceDE w:val="0"/>
        <w:autoSpaceDN w:val="0"/>
        <w:adjustRightInd w:val="0"/>
        <w:snapToGrid w:val="0"/>
        <w:spacing w:line="600" w:lineRule="exact"/>
        <w:ind w:firstLine="640" w:firstLineChars="200"/>
        <w:rPr>
          <w:rFonts w:ascii="华文仿宋" w:hAnsi="华文仿宋" w:eastAsia="华文仿宋"/>
          <w:kern w:val="0"/>
          <w:sz w:val="32"/>
          <w:szCs w:val="32"/>
        </w:rPr>
      </w:pPr>
      <w:r>
        <w:rPr>
          <w:rFonts w:hint="eastAsia" w:ascii="华文仿宋" w:hAnsi="华文仿宋" w:eastAsia="华文仿宋"/>
          <w:kern w:val="0"/>
          <w:sz w:val="32"/>
          <w:szCs w:val="32"/>
        </w:rPr>
        <w:t>2019年我单位拟组织对一般性项目支出中污水处理、孵化园企业第二批阻燃隔断升级、孵化园公用设施维护中停车场项目等列入重点项目预算绩效考核。涉及总金额：  653.5万元。</w:t>
      </w:r>
    </w:p>
    <w:p>
      <w:pPr>
        <w:numPr>
          <w:ilvl w:val="0"/>
          <w:numId w:val="0"/>
        </w:numPr>
        <w:kinsoku w:val="0"/>
        <w:overflowPunct w:val="0"/>
        <w:autoSpaceDE w:val="0"/>
        <w:autoSpaceDN w:val="0"/>
        <w:adjustRightInd w:val="0"/>
        <w:snapToGrid w:val="0"/>
        <w:spacing w:line="600" w:lineRule="exact"/>
        <w:ind w:firstLine="640" w:firstLineChars="200"/>
        <w:rPr>
          <w:rFonts w:ascii="华文仿宋" w:hAnsi="华文仿宋" w:eastAsia="华文仿宋"/>
          <w:kern w:val="0"/>
          <w:sz w:val="32"/>
          <w:szCs w:val="32"/>
        </w:rPr>
      </w:pPr>
      <w:r>
        <w:rPr>
          <w:rFonts w:hint="eastAsia" w:ascii="华文仿宋" w:hAnsi="华文仿宋" w:eastAsia="华文仿宋"/>
          <w:kern w:val="0"/>
          <w:sz w:val="32"/>
          <w:szCs w:val="32"/>
          <w:lang w:val="en-US" w:eastAsia="zh-CN"/>
        </w:rPr>
        <w:t>5、</w:t>
      </w:r>
      <w:r>
        <w:rPr>
          <w:rFonts w:hint="eastAsia" w:ascii="华文仿宋" w:hAnsi="华文仿宋" w:eastAsia="华文仿宋"/>
          <w:kern w:val="0"/>
          <w:sz w:val="32"/>
          <w:szCs w:val="32"/>
        </w:rPr>
        <w:t>专项转移支付</w:t>
      </w:r>
    </w:p>
    <w:p>
      <w:pPr>
        <w:kinsoku w:val="0"/>
        <w:overflowPunct w:val="0"/>
        <w:autoSpaceDE w:val="0"/>
        <w:autoSpaceDN w:val="0"/>
        <w:adjustRightInd w:val="0"/>
        <w:snapToGrid w:val="0"/>
        <w:spacing w:line="600" w:lineRule="exact"/>
        <w:ind w:firstLine="640" w:firstLineChars="200"/>
        <w:rPr>
          <w:rFonts w:ascii="华文仿宋" w:hAnsi="华文仿宋" w:eastAsia="华文仿宋"/>
          <w:kern w:val="0"/>
          <w:sz w:val="32"/>
          <w:szCs w:val="32"/>
        </w:rPr>
      </w:pPr>
      <w:r>
        <w:rPr>
          <w:rFonts w:hint="eastAsia" w:ascii="华文仿宋" w:hAnsi="华文仿宋" w:eastAsia="华文仿宋"/>
          <w:kern w:val="0"/>
          <w:sz w:val="32"/>
          <w:szCs w:val="32"/>
        </w:rPr>
        <w:t>我单位没有专项转移支付项目情况。</w:t>
      </w:r>
    </w:p>
    <w:p>
      <w:pPr>
        <w:rPr>
          <w:rFonts w:hint="eastAsia" w:ascii="黑体" w:hAnsi="黑体" w:eastAsia="黑体"/>
          <w:kern w:val="0"/>
          <w:sz w:val="32"/>
          <w:szCs w:val="32"/>
        </w:rPr>
      </w:pPr>
      <w:r>
        <w:rPr>
          <w:rFonts w:hint="eastAsia" w:ascii="黑体" w:hAnsi="黑体" w:eastAsia="黑体"/>
          <w:kern w:val="0"/>
          <w:sz w:val="32"/>
          <w:szCs w:val="32"/>
        </w:rPr>
        <w:br w:type="page"/>
      </w:r>
    </w:p>
    <w:p>
      <w:pPr>
        <w:spacing w:line="600" w:lineRule="exact"/>
        <w:jc w:val="center"/>
        <w:rPr>
          <w:rFonts w:ascii="黑体" w:hAnsi="黑体" w:eastAsia="黑体"/>
          <w:kern w:val="0"/>
          <w:sz w:val="32"/>
          <w:szCs w:val="32"/>
        </w:rPr>
      </w:pPr>
      <w:r>
        <w:rPr>
          <w:rFonts w:hint="eastAsia" w:ascii="黑体" w:hAnsi="黑体" w:eastAsia="黑体"/>
          <w:kern w:val="0"/>
          <w:sz w:val="32"/>
          <w:szCs w:val="32"/>
        </w:rPr>
        <w:t>第三部分 名词解释</w:t>
      </w:r>
    </w:p>
    <w:p>
      <w:pPr>
        <w:kinsoku w:val="0"/>
        <w:overflowPunct w:val="0"/>
        <w:autoSpaceDE w:val="0"/>
        <w:autoSpaceDN w:val="0"/>
        <w:adjustRightInd w:val="0"/>
        <w:snapToGrid w:val="0"/>
        <w:spacing w:line="600" w:lineRule="exact"/>
        <w:ind w:firstLine="640" w:firstLineChars="200"/>
        <w:rPr>
          <w:rFonts w:ascii="华文仿宋" w:hAnsi="华文仿宋" w:eastAsia="华文仿宋" w:cs="Courier New"/>
          <w:kern w:val="0"/>
          <w:sz w:val="32"/>
          <w:szCs w:val="32"/>
        </w:rPr>
      </w:pPr>
      <w:r>
        <w:rPr>
          <w:rFonts w:hint="eastAsia" w:ascii="华文仿宋" w:hAnsi="华文仿宋" w:eastAsia="华文仿宋" w:cs="Courier New"/>
          <w:kern w:val="0"/>
          <w:sz w:val="32"/>
          <w:szCs w:val="32"/>
        </w:rPr>
        <w:t>一、财政拨款收入：是指区级财政当年拨付的资金。</w:t>
      </w:r>
    </w:p>
    <w:p>
      <w:pPr>
        <w:kinsoku w:val="0"/>
        <w:overflowPunct w:val="0"/>
        <w:autoSpaceDE w:val="0"/>
        <w:autoSpaceDN w:val="0"/>
        <w:adjustRightInd w:val="0"/>
        <w:snapToGrid w:val="0"/>
        <w:spacing w:line="600" w:lineRule="exact"/>
        <w:ind w:firstLine="640" w:firstLineChars="200"/>
        <w:rPr>
          <w:rFonts w:ascii="华文仿宋" w:hAnsi="华文仿宋" w:eastAsia="华文仿宋" w:cs="Courier New"/>
          <w:kern w:val="0"/>
          <w:sz w:val="32"/>
          <w:szCs w:val="32"/>
        </w:rPr>
      </w:pPr>
      <w:r>
        <w:rPr>
          <w:rFonts w:hint="eastAsia" w:ascii="华文仿宋" w:hAnsi="华文仿宋" w:eastAsia="华文仿宋" w:cs="Courier New"/>
          <w:kern w:val="0"/>
          <w:sz w:val="32"/>
          <w:szCs w:val="32"/>
        </w:rPr>
        <w:t>二、事业收入：是指事业单位开展专业活动及辅助活动所取得的收入。</w:t>
      </w:r>
    </w:p>
    <w:p>
      <w:pPr>
        <w:kinsoku w:val="0"/>
        <w:overflowPunct w:val="0"/>
        <w:autoSpaceDE w:val="0"/>
        <w:autoSpaceDN w:val="0"/>
        <w:adjustRightInd w:val="0"/>
        <w:snapToGrid w:val="0"/>
        <w:spacing w:line="600" w:lineRule="exact"/>
        <w:ind w:firstLine="640" w:firstLineChars="200"/>
        <w:rPr>
          <w:rFonts w:ascii="华文仿宋" w:hAnsi="华文仿宋" w:eastAsia="华文仿宋" w:cs="Courier New"/>
          <w:kern w:val="0"/>
          <w:sz w:val="32"/>
          <w:szCs w:val="32"/>
        </w:rPr>
      </w:pPr>
      <w:r>
        <w:rPr>
          <w:rFonts w:hint="eastAsia" w:ascii="华文仿宋" w:hAnsi="华文仿宋" w:eastAsia="华文仿宋" w:cs="Courier New"/>
          <w:kern w:val="0"/>
          <w:sz w:val="32"/>
          <w:szCs w:val="32"/>
        </w:rPr>
        <w:t>三、其他收入：是指部门取得的除“财政拨款”、“事业收入”、“事业单位经营收入”等以外的收入。</w:t>
      </w:r>
    </w:p>
    <w:p>
      <w:pPr>
        <w:kinsoku w:val="0"/>
        <w:overflowPunct w:val="0"/>
        <w:autoSpaceDE w:val="0"/>
        <w:autoSpaceDN w:val="0"/>
        <w:adjustRightInd w:val="0"/>
        <w:snapToGrid w:val="0"/>
        <w:spacing w:line="600" w:lineRule="exact"/>
        <w:ind w:firstLine="640" w:firstLineChars="200"/>
        <w:rPr>
          <w:rFonts w:ascii="华文仿宋" w:hAnsi="华文仿宋" w:eastAsia="华文仿宋" w:cs="Courier New"/>
          <w:kern w:val="0"/>
          <w:sz w:val="32"/>
          <w:szCs w:val="32"/>
        </w:rPr>
      </w:pPr>
      <w:r>
        <w:rPr>
          <w:rFonts w:hint="eastAsia" w:ascii="华文仿宋" w:hAnsi="华文仿宋" w:eastAsia="华文仿宋" w:cs="Courier New"/>
          <w:kern w:val="0"/>
          <w:sz w:val="32"/>
          <w:szCs w:val="32"/>
        </w:rPr>
        <w:t>四、基本支出：是指为保障机构正常运转、完成日常工作任务所必需的开支，其内容包括人员经费和日常公用经费两部分。</w:t>
      </w:r>
    </w:p>
    <w:p>
      <w:pPr>
        <w:kinsoku w:val="0"/>
        <w:overflowPunct w:val="0"/>
        <w:autoSpaceDE w:val="0"/>
        <w:autoSpaceDN w:val="0"/>
        <w:adjustRightInd w:val="0"/>
        <w:snapToGrid w:val="0"/>
        <w:spacing w:line="600" w:lineRule="exact"/>
        <w:ind w:firstLine="640" w:firstLineChars="200"/>
        <w:rPr>
          <w:rFonts w:ascii="华文仿宋" w:hAnsi="华文仿宋" w:eastAsia="华文仿宋" w:cs="Courier New"/>
          <w:kern w:val="0"/>
          <w:sz w:val="32"/>
          <w:szCs w:val="32"/>
        </w:rPr>
      </w:pPr>
      <w:r>
        <w:rPr>
          <w:rFonts w:hint="eastAsia" w:ascii="华文仿宋" w:hAnsi="华文仿宋" w:eastAsia="华文仿宋" w:cs="Courier New"/>
          <w:kern w:val="0"/>
          <w:sz w:val="32"/>
          <w:szCs w:val="32"/>
        </w:rPr>
        <w:t>五、项目支出：是指在基本支出之外，为完成特定的行政工作任务或事业发展目标所发生的支出。</w:t>
      </w:r>
    </w:p>
    <w:p>
      <w:pPr>
        <w:kinsoku w:val="0"/>
        <w:overflowPunct w:val="0"/>
        <w:autoSpaceDE w:val="0"/>
        <w:autoSpaceDN w:val="0"/>
        <w:adjustRightInd w:val="0"/>
        <w:snapToGrid w:val="0"/>
        <w:spacing w:line="600" w:lineRule="exact"/>
        <w:ind w:firstLine="640" w:firstLineChars="200"/>
        <w:rPr>
          <w:rFonts w:ascii="华文仿宋" w:hAnsi="华文仿宋" w:eastAsia="华文仿宋" w:cs="Courier New"/>
          <w:kern w:val="0"/>
          <w:sz w:val="32"/>
          <w:szCs w:val="32"/>
        </w:rPr>
      </w:pPr>
      <w:r>
        <w:rPr>
          <w:rFonts w:hint="eastAsia" w:ascii="华文仿宋" w:hAnsi="华文仿宋" w:eastAsia="华文仿宋" w:cs="Courier New"/>
          <w:kern w:val="0"/>
          <w:sz w:val="32"/>
          <w:szCs w:val="32"/>
        </w:rPr>
        <w:t>六、 “三公”经费：是指纳入区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600" w:lineRule="exact"/>
        <w:ind w:firstLine="640" w:firstLineChars="200"/>
        <w:rPr>
          <w:rFonts w:ascii="华文仿宋" w:hAnsi="华文仿宋" w:eastAsia="华文仿宋" w:cs="Courier New"/>
          <w:kern w:val="0"/>
          <w:sz w:val="32"/>
          <w:szCs w:val="32"/>
        </w:rPr>
      </w:pPr>
      <w:r>
        <w:rPr>
          <w:rFonts w:hint="eastAsia" w:ascii="华文仿宋" w:hAnsi="华文仿宋" w:eastAsia="华文仿宋" w:cs="Courier New"/>
          <w:kern w:val="0"/>
          <w:sz w:val="32"/>
          <w:szCs w:val="32"/>
        </w:rPr>
        <w:t>七、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90"/>
        <w:rPr>
          <w:rFonts w:ascii="宋体" w:hAnsi="宋体"/>
          <w:b/>
          <w:sz w:val="36"/>
          <w:szCs w:val="36"/>
        </w:rPr>
      </w:pPr>
    </w:p>
    <w:p>
      <w:pPr>
        <w:spacing w:line="360" w:lineRule="auto"/>
        <w:ind w:firstLine="643" w:firstLineChars="200"/>
        <w:rPr>
          <w:rFonts w:ascii="仿宋_GB2312" w:hAnsi="黑体" w:eastAsia="仿宋_GB2312"/>
          <w:b/>
          <w:sz w:val="32"/>
          <w:szCs w:val="32"/>
        </w:rPr>
      </w:pPr>
    </w:p>
    <w:p>
      <w:pPr>
        <w:ind w:firstLine="360" w:firstLineChars="100"/>
        <w:jc w:val="left"/>
        <w:rPr>
          <w:rFonts w:ascii="仿宋_GB2312" w:eastAsia="仿宋_GB2312"/>
          <w:spacing w:val="20"/>
          <w:sz w:val="32"/>
          <w:szCs w:val="32"/>
        </w:rPr>
      </w:pPr>
    </w:p>
    <w:p>
      <w:pPr>
        <w:jc w:val="center"/>
        <w:rPr>
          <w:rFonts w:ascii="仿宋_GB2312" w:eastAsia="仿宋_GB2312"/>
          <w:spacing w:val="20"/>
          <w:sz w:val="32"/>
          <w:szCs w:val="32"/>
        </w:rPr>
      </w:pPr>
    </w:p>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59D677"/>
    <w:multiLevelType w:val="singleLevel"/>
    <w:tmpl w:val="F259D677"/>
    <w:lvl w:ilvl="0" w:tentative="0">
      <w:start w:val="2"/>
      <w:numFmt w:val="chineseCounting"/>
      <w:suff w:val="space"/>
      <w:lvlText w:val="第%1部分"/>
      <w:lvlJc w:val="left"/>
      <w:rPr>
        <w:rFonts w:hint="eastAsia"/>
      </w:rPr>
    </w:lvl>
  </w:abstractNum>
  <w:abstractNum w:abstractNumId="1">
    <w:nsid w:val="1CCBFAD7"/>
    <w:multiLevelType w:val="singleLevel"/>
    <w:tmpl w:val="1CCBFAD7"/>
    <w:lvl w:ilvl="0" w:tentative="0">
      <w:start w:val="1"/>
      <w:numFmt w:val="chineseCounting"/>
      <w:suff w:val="nothing"/>
      <w:lvlText w:val="%1、"/>
      <w:lvlJc w:val="left"/>
      <w:rPr>
        <w:rFonts w:hint="eastAsia"/>
      </w:rPr>
    </w:lvl>
  </w:abstractNum>
  <w:abstractNum w:abstractNumId="2">
    <w:nsid w:val="3AC84D70"/>
    <w:multiLevelType w:val="singleLevel"/>
    <w:tmpl w:val="3AC84D70"/>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cumentProtection w:enforcement="0"/>
  <w:defaultTabStop w:val="72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CD9"/>
    <w:rsid w:val="00000994"/>
    <w:rsid w:val="00072CD9"/>
    <w:rsid w:val="00323B43"/>
    <w:rsid w:val="003329BA"/>
    <w:rsid w:val="003D37D8"/>
    <w:rsid w:val="004358AB"/>
    <w:rsid w:val="00456F06"/>
    <w:rsid w:val="00476CAA"/>
    <w:rsid w:val="005D6F67"/>
    <w:rsid w:val="006561EE"/>
    <w:rsid w:val="00667F7B"/>
    <w:rsid w:val="00846C88"/>
    <w:rsid w:val="008B7726"/>
    <w:rsid w:val="00A514E0"/>
    <w:rsid w:val="00EB781B"/>
    <w:rsid w:val="00F5546C"/>
    <w:rsid w:val="00FE08F6"/>
    <w:rsid w:val="07212C2D"/>
    <w:rsid w:val="09AD016A"/>
    <w:rsid w:val="09D508A5"/>
    <w:rsid w:val="0EF83B5D"/>
    <w:rsid w:val="172337A0"/>
    <w:rsid w:val="17393675"/>
    <w:rsid w:val="1ECD3FE9"/>
    <w:rsid w:val="1F8E1C7D"/>
    <w:rsid w:val="21D54A8B"/>
    <w:rsid w:val="26BB05E5"/>
    <w:rsid w:val="2E346616"/>
    <w:rsid w:val="2E5725C2"/>
    <w:rsid w:val="2E9D463C"/>
    <w:rsid w:val="31D571DB"/>
    <w:rsid w:val="338C3A40"/>
    <w:rsid w:val="341F26C1"/>
    <w:rsid w:val="36D643F8"/>
    <w:rsid w:val="39F85E0B"/>
    <w:rsid w:val="3EBA2791"/>
    <w:rsid w:val="3FC1431A"/>
    <w:rsid w:val="40C16F49"/>
    <w:rsid w:val="40E04EBA"/>
    <w:rsid w:val="4DC05B7B"/>
    <w:rsid w:val="50756D93"/>
    <w:rsid w:val="50ED4C60"/>
    <w:rsid w:val="510F50AA"/>
    <w:rsid w:val="548C444F"/>
    <w:rsid w:val="566A4F57"/>
    <w:rsid w:val="59275D35"/>
    <w:rsid w:val="5E7174BB"/>
    <w:rsid w:val="5EC71A34"/>
    <w:rsid w:val="5FAB0967"/>
    <w:rsid w:val="60D7245E"/>
    <w:rsid w:val="63064B86"/>
    <w:rsid w:val="68835A80"/>
    <w:rsid w:val="69D60B93"/>
    <w:rsid w:val="6A137F4B"/>
    <w:rsid w:val="6DCE3944"/>
    <w:rsid w:val="6EA16EF0"/>
    <w:rsid w:val="760F0608"/>
    <w:rsid w:val="78131EBF"/>
    <w:rsid w:val="7F5278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Light" w:hAnsi="Calibri Light"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ind w:left="761"/>
      <w:jc w:val="left"/>
    </w:pPr>
    <w:rPr>
      <w:rFonts w:ascii="仿宋_GB2312"/>
      <w:kern w:val="0"/>
      <w:szCs w:val="32"/>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kern w:val="2"/>
      <w:sz w:val="18"/>
      <w:szCs w:val="18"/>
    </w:rPr>
  </w:style>
  <w:style w:type="character" w:customStyle="1" w:styleId="8">
    <w:name w:val="页脚 Char"/>
    <w:basedOn w:val="6"/>
    <w:link w:val="3"/>
    <w:qFormat/>
    <w:uiPriority w:val="99"/>
    <w:rPr>
      <w:rFonts w:ascii="Times New Roman" w:hAnsi="Times New Roman" w:eastAsia="宋体" w:cs="Times New Roman"/>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320</Words>
  <Characters>1827</Characters>
  <Lines>15</Lines>
  <Paragraphs>4</Paragraphs>
  <TotalTime>1</TotalTime>
  <ScaleCrop>false</ScaleCrop>
  <LinksUpToDate>false</LinksUpToDate>
  <CharactersWithSpaces>2143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2019-01-24T03:20:00Z</dcterms:created>
  <dc:creator>User</dc:creator>
  <cp:lastModifiedBy>Administrator</cp:lastModifiedBy>
  <dcterms:modified xsi:type="dcterms:W3CDTF">2021-06-11T07:56:21Z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447A2233BC794731989547FDE154B18D</vt:lpwstr>
  </property>
</Properties>
</file>