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2018年度</w:t>
      </w:r>
    </w:p>
    <w:p>
      <w:pPr>
        <w:jc w:val="center"/>
        <w:rPr>
          <w:rFonts w:ascii="黑体" w:hAnsi="黑体" w:eastAsia="黑体" w:cs="黑体"/>
          <w:sz w:val="52"/>
          <w:szCs w:val="52"/>
        </w:rPr>
      </w:pPr>
      <w:r>
        <w:rPr>
          <w:rFonts w:hint="eastAsia" w:ascii="黑体" w:hAnsi="黑体" w:eastAsia="黑体" w:cs="黑体"/>
          <w:sz w:val="52"/>
          <w:szCs w:val="52"/>
        </w:rPr>
        <w:t>南阳高新区建设环保局部门决算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pPr>
      <w:r>
        <w:rPr>
          <w:rFonts w:hint="eastAsia" w:ascii="黑体" w:hAnsi="黑体" w:eastAsia="黑体" w:cs="黑体"/>
          <w:sz w:val="32"/>
          <w:szCs w:val="32"/>
        </w:rPr>
        <w:t>二〇一九年九月</w:t>
      </w:r>
    </w:p>
    <w:p/>
    <w:p/>
    <w:p/>
    <w:p/>
    <w:p>
      <w:pPr>
        <w:jc w:val="center"/>
        <w:rPr>
          <w:rFonts w:ascii="黑体" w:hAnsi="黑体" w:eastAsia="黑体" w:cs="黑体"/>
          <w:sz w:val="36"/>
          <w:szCs w:val="36"/>
        </w:rPr>
        <w:sectPr>
          <w:pgSz w:w="11906" w:h="16838"/>
          <w:pgMar w:top="1440" w:right="1800" w:bottom="1440" w:left="1800" w:header="720" w:footer="720" w:gutter="0"/>
          <w:pgNumType w:fmt="numberInDash"/>
          <w:cols w:space="720" w:num="1"/>
          <w:docGrid w:type="lines" w:linePitch="312" w:charSpace="0"/>
        </w:sect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高新区建设环保局概况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2018年度部门决算表（附件）</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黑体" w:hAnsi="黑体" w:eastAsia="黑体" w:cs="黑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2018年度部门决算情况说明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宋体" w:hAnsi="宋体" w:cs="宋体"/>
          <w:sz w:val="32"/>
          <w:szCs w:val="32"/>
        </w:rPr>
      </w:pPr>
      <w:r>
        <w:rPr>
          <w:rFonts w:hint="eastAsia" w:ascii="黑体" w:hAnsi="黑体" w:eastAsia="黑体" w:cs="黑体"/>
          <w:sz w:val="32"/>
          <w:szCs w:val="32"/>
        </w:rPr>
        <w:t>第四部分　　名词解释</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pPr>
      <w:r>
        <w:rPr>
          <w:rFonts w:hint="eastAsia" w:ascii="黑体" w:hAnsi="黑体" w:eastAsia="黑体" w:cs="黑体"/>
          <w:sz w:val="48"/>
          <w:szCs w:val="48"/>
        </w:rPr>
        <w:t>第一部分  高新区建设环保局概况</w:t>
      </w:r>
    </w:p>
    <w:p>
      <w:pPr>
        <w:widowControl/>
        <w:ind w:firstLine="640" w:firstLineChars="200"/>
        <w:jc w:val="left"/>
        <w:outlineLvl w:val="1"/>
        <w:rPr>
          <w:rFonts w:ascii="黑体" w:hAnsi="黑体" w:eastAsia="黑体" w:cs="黑体"/>
          <w:kern w:val="0"/>
          <w:sz w:val="32"/>
          <w:szCs w:val="32"/>
        </w:r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一、部门职责</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负责核发建筑业《工程建设许可证》，接收工程竣工验收备案，建筑工地施工安全管理，牵头农民工工资清欠，燃气管理，环境保护工作。</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黑体" w:hAnsi="黑体" w:eastAsia="黑体" w:cs="黑体"/>
          <w:sz w:val="32"/>
          <w:szCs w:val="32"/>
        </w:rPr>
        <w:t>二、机构设置</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南阳高新技术产业开发区建设环保局无内设机构。</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从决算单位构成看，南阳高新技术产业开发区建设环保局决算包括局机关本级决算。</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纳入本部门2018年度部门决算编制范围的单位共1个，具体是：</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1.南阳高新技术产业开发区建设环保局本级</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2018年度部门决算表</w:t>
      </w:r>
    </w:p>
    <w:p>
      <w:pPr>
        <w:spacing w:line="600" w:lineRule="exact"/>
        <w:ind w:firstLine="720" w:firstLineChars="200"/>
        <w:jc w:val="center"/>
        <w:rPr>
          <w:rFonts w:ascii="仿宋" w:hAnsi="仿宋" w:eastAsia="仿宋"/>
          <w:spacing w:val="20"/>
          <w:kern w:val="0"/>
          <w:sz w:val="32"/>
          <w:szCs w:val="32"/>
        </w:rPr>
      </w:pPr>
    </w:p>
    <w:p>
      <w:pPr>
        <w:spacing w:line="600" w:lineRule="exact"/>
        <w:ind w:firstLine="960" w:firstLineChars="200"/>
        <w:jc w:val="center"/>
        <w:rPr>
          <w:rFonts w:ascii="仿宋" w:hAnsi="仿宋" w:eastAsia="仿宋"/>
          <w:spacing w:val="20"/>
          <w:kern w:val="0"/>
          <w:sz w:val="44"/>
          <w:szCs w:val="44"/>
        </w:rPr>
      </w:pPr>
      <w:r>
        <w:rPr>
          <w:rFonts w:hint="eastAsia" w:ascii="仿宋" w:hAnsi="仿宋" w:eastAsia="仿宋"/>
          <w:spacing w:val="20"/>
          <w:kern w:val="0"/>
          <w:sz w:val="44"/>
          <w:szCs w:val="44"/>
        </w:rPr>
        <w:t>见附件</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2018年度部门决算情况说明</w:t>
      </w:r>
    </w:p>
    <w:p>
      <w:pPr>
        <w:widowControl/>
        <w:jc w:val="left"/>
        <w:rPr>
          <w:rFonts w:ascii="黑体" w:hAnsi="黑体" w:eastAsia="黑体" w:cs="黑体"/>
          <w:sz w:val="48"/>
          <w:szCs w:val="48"/>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2018年度收、支总计均为1984.81万元。与上年度相比，收、支总计各增加904.28万元，增长83.69%。主要原因是政府性基金拨款用于城市建设、其他国有土地使用权出让收入安排的支出。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2018年度收入合计1982.77万元，其中：财政拨款收入1978.77万元，占99.8%；其他收入4万元，占0.2%。</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2018年度支出合计1968.16万元，其中：基本支出203.77万元，占10.35%；项目支出1764.39万元，占89.65%。</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2018年度财政拨款收、支总计均为1980.81万元。与上年度相比，财政拨款收、支总计各增加902.28万元，增长83.66%。主要原因是政府性基金拨款用于城市建设、其他国有土地使用权出让收入安排的支出。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2018年度一般公共预算财政拨款支出1226.08万元，占本年支出合计的62.30%。与上年度相比，一般公共预算财政拨款支出增加160.7万元，增长15.08%。主要原因是环境保护管理事务、环境监测与监察工作支出增加。</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1226.08万元，主要用于以下方面：社会保障和就业（类）支出22.49万元，占1.83%；医疗卫生和计划生育（类）支出4.77万元，占0.39%；节能环保（类）支出484.88万元，占39.55%；城乡社区（类）支出704.36万元，占57.45%；住房保障（类）支出9.58万元，占0.78%。</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2018年度一般公共预算财政拨款支出年初预算为812.24万元，支出决算为1226.08万元，完成年初预算的150.95%。其中：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1．社会保障和就业（类）行政事业单位离退休（款） 机关事业单位基本养老保险缴费支出（项），</w:t>
      </w:r>
      <w:r>
        <w:rPr>
          <w:rFonts w:hint="eastAsia" w:ascii="仿宋_GB2312" w:hAnsi="仿宋_GB2312" w:eastAsia="仿宋_GB2312" w:cs="仿宋_GB2312"/>
          <w:sz w:val="32"/>
          <w:szCs w:val="32"/>
        </w:rPr>
        <w:t>年初预算为18.13万元，支出决算为16.07万元，完成年初预算的88.64%。决算数与年初预算数存在差异的主要原因是根据社保要求调整了年度养老保险金数据。</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2．社会保障和就业（类）行政事业单位离退休（款） 机关事业单位职业年金缴费支出（项），</w:t>
      </w:r>
      <w:r>
        <w:rPr>
          <w:rFonts w:hint="eastAsia" w:ascii="仿宋_GB2312" w:hAnsi="仿宋_GB2312" w:eastAsia="仿宋_GB2312" w:cs="仿宋_GB2312"/>
          <w:sz w:val="32"/>
          <w:szCs w:val="32"/>
        </w:rPr>
        <w:t>年初预算为7.25万元，支出决算为6.43万元，完成年初预算的88.69%。决算数与年初预算数存在差异的主要原因是根据社保要求调整了年度职业年金的数据。</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3．医疗卫生和计划生育（类）行政事业单位医疗（款）行政单位医疗（项）。</w:t>
      </w:r>
      <w:r>
        <w:rPr>
          <w:rFonts w:hint="eastAsia" w:ascii="仿宋_GB2312" w:hAnsi="仿宋_GB2312" w:eastAsia="仿宋_GB2312" w:cs="仿宋_GB2312"/>
          <w:sz w:val="32"/>
          <w:szCs w:val="32"/>
        </w:rPr>
        <w:t>年初预算为5.77万元，支出决算为4.77万元，完成年初预算的82.67%。决算数与年初预算数存在差异的主要原因是根据社保要求调整了行政单位医疗的数据。</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4.节能环保（类）环境保护管理事务（款）一般行政管理事务（项），</w:t>
      </w:r>
      <w:r>
        <w:rPr>
          <w:rFonts w:hint="eastAsia" w:ascii="仿宋_GB2312" w:hAnsi="仿宋_GB2312" w:eastAsia="仿宋_GB2312" w:cs="仿宋_GB2312"/>
          <w:sz w:val="32"/>
          <w:szCs w:val="32"/>
        </w:rPr>
        <w:t>年初预算为200万元，支出决算为154.18万元，完成年初预算的77.09%。决算数与年初预算数存在差异的主要原因是项目资金节约。</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5.节能环保（类）环境监测与监察（款）建设项目环评审查与监督（项），</w:t>
      </w:r>
      <w:r>
        <w:rPr>
          <w:rFonts w:hint="eastAsia" w:ascii="仿宋_GB2312" w:hAnsi="仿宋_GB2312" w:eastAsia="仿宋_GB2312" w:cs="仿宋_GB2312"/>
          <w:sz w:val="32"/>
          <w:szCs w:val="32"/>
        </w:rPr>
        <w:t>年初预算为31.65万元，支出决算为31.55万元，完成年初预算的99.68%。决算数与预算数基本持平。</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6.节能环保（类）污染防治（款）大气（项），</w:t>
      </w:r>
      <w:r>
        <w:rPr>
          <w:rFonts w:hint="eastAsia" w:ascii="仿宋_GB2312" w:hAnsi="仿宋_GB2312" w:eastAsia="仿宋_GB2312" w:cs="仿宋_GB2312"/>
          <w:sz w:val="32"/>
          <w:szCs w:val="32"/>
        </w:rPr>
        <w:t>年初预算为130万元，支出决算为189.25万元，完成年初预算的145.58%。决算数与年初预算数存在差异的主要原因是上级下达专项资金。</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7.节能环保（类）污染防治（款）水体（项）</w:t>
      </w:r>
      <w:r>
        <w:rPr>
          <w:rFonts w:hint="eastAsia" w:ascii="仿宋_GB2312" w:hAnsi="仿宋_GB2312" w:eastAsia="仿宋_GB2312" w:cs="仿宋_GB2312"/>
          <w:sz w:val="32"/>
          <w:szCs w:val="32"/>
        </w:rPr>
        <w:t>年初预算为100万元，支出决算为64.49万元，完成年初预算的64.49%。决算数与年初预算数存在差异的主要原因是该项工作资金支出按工作进度支付，相关工作正在进行中。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8.节能环保（类）污染防治（款）其他污染防治支出（项）</w:t>
      </w:r>
      <w:r>
        <w:rPr>
          <w:rFonts w:hint="eastAsia" w:ascii="仿宋_GB2312" w:hAnsi="仿宋_GB2312" w:eastAsia="仿宋_GB2312" w:cs="仿宋_GB2312"/>
          <w:sz w:val="32"/>
          <w:szCs w:val="32"/>
        </w:rPr>
        <w:t>年初预算为0万元，支出决算为35.40万元。决算数与年初预算数存在差异的主要原因是上年结转资金。</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9.节能环保（类）自然生态保护（款）农村环境保护（项），</w:t>
      </w:r>
      <w:r>
        <w:rPr>
          <w:rFonts w:hint="eastAsia" w:ascii="仿宋_GB2312" w:hAnsi="仿宋_GB2312" w:eastAsia="仿宋_GB2312" w:cs="仿宋_GB2312"/>
          <w:sz w:val="32"/>
          <w:szCs w:val="32"/>
        </w:rPr>
        <w:t>年初预算为10万元，支出决算为10万元，完成年初预算的100%。决算数与预算数不存在差异。</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10.城乡社区（类）城乡社区管理事务（款）行政运行（项），</w:t>
      </w:r>
      <w:r>
        <w:rPr>
          <w:rFonts w:hint="eastAsia" w:ascii="仿宋_GB2312" w:hAnsi="仿宋_GB2312" w:eastAsia="仿宋_GB2312" w:cs="仿宋_GB2312"/>
          <w:sz w:val="32"/>
          <w:szCs w:val="32"/>
        </w:rPr>
        <w:t>年初预算为112.34万元，支出决算为162.93万元，完成年初预算的145.03%。决算数与年初预算数存在差异的主要原因是人员工资调增。</w:t>
      </w:r>
    </w:p>
    <w:p>
      <w:pPr>
        <w:widowControl/>
        <w:spacing w:line="59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11.城乡社区（类）城乡社区管理事务（款）一般行政管理事务（项），</w:t>
      </w:r>
      <w:r>
        <w:rPr>
          <w:rFonts w:hint="eastAsia" w:ascii="仿宋_GB2312" w:hAnsi="仿宋_GB2312" w:eastAsia="仿宋_GB2312" w:cs="仿宋_GB2312"/>
          <w:sz w:val="32"/>
          <w:szCs w:val="32"/>
        </w:rPr>
        <w:t>年初预算为130.76万元，支出决算为127.38万元，完成年初预算的97.42%。决算数与年初预算数存在差异的主要原因是减少费用开支</w:t>
      </w:r>
      <w:r>
        <w:rPr>
          <w:rFonts w:hint="eastAsia" w:ascii="仿宋_GB2312" w:hAnsi="仿宋_GB2312" w:eastAsia="仿宋_GB2312" w:cs="仿宋_GB2312"/>
          <w:b/>
          <w:bCs/>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12.城乡社区（类）城乡社区公共设施（款）其他城乡社区公共设施支出（项），</w:t>
      </w:r>
      <w:r>
        <w:rPr>
          <w:rFonts w:hint="eastAsia" w:ascii="仿宋_GB2312" w:hAnsi="仿宋_GB2312" w:eastAsia="仿宋_GB2312" w:cs="仿宋_GB2312"/>
          <w:sz w:val="32"/>
          <w:szCs w:val="32"/>
        </w:rPr>
        <w:t>年初预算为0万元，支出决算为414.05万元。决算数与年初预算数存在差异的主要原因是上级下达专项资金</w:t>
      </w:r>
      <w:r>
        <w:rPr>
          <w:rFonts w:hint="eastAsia" w:ascii="仿宋_GB2312" w:hAnsi="仿宋_GB2312" w:eastAsia="仿宋_GB2312" w:cs="仿宋_GB2312"/>
          <w:b/>
          <w:bCs/>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13.住房保障（类）住房改革支出（款）住房公积金（项），</w:t>
      </w:r>
      <w:r>
        <w:rPr>
          <w:rFonts w:hint="eastAsia" w:ascii="仿宋_GB2312" w:hAnsi="仿宋_GB2312" w:eastAsia="仿宋_GB2312" w:cs="仿宋_GB2312"/>
          <w:sz w:val="32"/>
          <w:szCs w:val="32"/>
        </w:rPr>
        <w:t>年初预算为10.88万元，支出决算为9.58万元，完成年初预算的88.05%。决算数与年初预算数存在差异的主要原因是根据社保要求调整了住房公积金的数据。</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199.77万元。其中：人员经费190.82万元，主要包括：基本工资、津贴补贴、奖金、机关事业单位基本养老保险缴费、职业年金缴费、职工基本医疗保险缴费、住房公积金、其他工资福利支出、对个人和家庭的补助、奖励金；公用经费8.95万元，主要包括：办公费、印刷费、咨询费、邮电费、维修（护）费、工会经费、其他交通费用、其他商品和服务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2.5万元，支出决算为1.68万元，完成预算的67.2%。2018年度“三公”经费支出决算数与预算数存在差异的主要原因是行政单位公车改革进一步深化，压减公务用车运行费开支。</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因公出国（境）费支出决算0万元，完成预算的0%，占0%；公务用车购置及运行费支出决算1.68万元，完成预算的67.2%，占100%；公务接待费支出决算0万元，完成预算的0%，占0%。具体情况如下：</w:t>
      </w:r>
    </w:p>
    <w:p>
      <w:pPr>
        <w:widowControl/>
        <w:numPr>
          <w:ilvl w:val="0"/>
          <w:numId w:val="2"/>
        </w:numPr>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因公出国（境）费</w:t>
      </w:r>
      <w:r>
        <w:rPr>
          <w:rFonts w:hint="eastAsia" w:ascii="仿宋_GB2312" w:hAnsi="仿宋_GB2312" w:eastAsia="仿宋_GB2312" w:cs="仿宋_GB2312"/>
          <w:sz w:val="32"/>
          <w:szCs w:val="32"/>
          <w:highlight w:val="none"/>
        </w:rPr>
        <w:t>年初预算为0万元，支出决算为0万元。全年因公出国（境）团组0个，累计0人次。</w:t>
      </w:r>
    </w:p>
    <w:p>
      <w:pPr>
        <w:widowControl/>
        <w:numPr>
          <w:ilvl w:val="0"/>
          <w:numId w:val="0"/>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年初预算为2.5万元，支出决算为1.68万元，完成年初预算的67.2%。决算数与年初预算数存在差异的主要原因是行政单位公车改革进一步深化，压减公务用车运行费开支。其中：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1.68万元。主要用于</w:t>
      </w:r>
      <w:r>
        <w:rPr>
          <w:rFonts w:hint="eastAsia" w:ascii="仿宋_GB2312" w:hAnsi="仿宋_GB2312" w:eastAsia="仿宋_GB2312" w:cs="仿宋_GB2312"/>
          <w:sz w:val="32"/>
          <w:szCs w:val="32"/>
          <w:lang w:val="en-US" w:eastAsia="zh-CN"/>
        </w:rPr>
        <w:t>公务用车的燃油费、维修费、保险费等</w:t>
      </w:r>
      <w:r>
        <w:rPr>
          <w:rFonts w:hint="eastAsia" w:ascii="仿宋_GB2312" w:hAnsi="仿宋_GB2312" w:eastAsia="仿宋_GB2312" w:cs="仿宋_GB2312"/>
          <w:sz w:val="32"/>
          <w:szCs w:val="32"/>
        </w:rPr>
        <w:t>。2018年期</w:t>
      </w:r>
      <w:bookmarkStart w:id="0" w:name="_GoBack"/>
      <w:bookmarkEnd w:id="0"/>
      <w:r>
        <w:rPr>
          <w:rFonts w:hint="eastAsia" w:ascii="仿宋_GB2312" w:hAnsi="仿宋_GB2312" w:eastAsia="仿宋_GB2312" w:cs="仿宋_GB2312"/>
          <w:sz w:val="32"/>
          <w:szCs w:val="32"/>
        </w:rPr>
        <w:t>末，部门开支财政拨款的公务用车保有量为1辆。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年初预算为0万元，支出决算为0万元，决算数与预算数不存在差异。其中：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0万元。2018年共接待国（境）外来访团组0个、来访外宾0人次（不包括陪同人员）。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0万元。2018年共接待国内来访团组0个、来宾0人次（不包括陪同人员）。</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2018年我单位未开展预算绩效管理工作。</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2018年我单位未开展预算绩效评价管理工作。</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2018年我单位未开展重点绩效评价管理工作。</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2018年度政府性基金预算财政拨款支出年初预算为0万元，支出决算为738.09万元。主要用于城市建设、其他国有土地使用权出让收入安排的支出等。</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2018年度机关运行经费年初预算为9.24万元，支出决算为8.23万元，完成年初预算的89.07%。决算数与年初预算数存在差异的主要原因是压减一般性支出。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162.3万元，其中：政府采购货物支出0万元、政府采购工程支出0万元、政府采购服务支出162.3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2018年期末，我部门共有车辆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辆，其中：省级领导干部用车0辆、主要领导干部用车0辆、机要通信用车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辆、应急保障车0辆、执法执勤用车1辆、特种专业技术用车0辆、离退休干部用车0辆、其他用车0辆；单位价值50万元以上通用设备1台（套），单位价值100万元以上专用设备0台（套）。</w:t>
      </w:r>
    </w:p>
    <w:p>
      <w:pPr>
        <w:widowControl/>
        <w:spacing w:line="590" w:lineRule="exact"/>
        <w:outlineLvl w:val="1"/>
        <w:rPr>
          <w:rFonts w:ascii="仿宋_GB2312" w:hAnsi="仿宋_GB2312" w:eastAsia="仿宋_GB2312" w:cs="仿宋_GB2312"/>
          <w:sz w:val="32"/>
          <w:szCs w:val="32"/>
        </w:rPr>
      </w:pPr>
    </w:p>
    <w:p>
      <w:pPr>
        <w:widowControl/>
        <w:spacing w:line="590" w:lineRule="exact"/>
        <w:outlineLvl w:val="1"/>
        <w:rPr>
          <w:rFonts w:ascii="仿宋_GB2312" w:hAnsi="仿宋_GB2312" w:eastAsia="仿宋_GB2312" w:cs="仿宋_GB2312"/>
          <w:sz w:val="32"/>
          <w:szCs w:val="32"/>
        </w:rPr>
      </w:pPr>
    </w:p>
    <w:p>
      <w:pPr>
        <w:widowControl/>
        <w:spacing w:line="590" w:lineRule="exact"/>
        <w:outlineLvl w:val="1"/>
        <w:rPr>
          <w:rFonts w:ascii="仿宋_GB2312" w:hAnsi="仿宋_GB2312" w:eastAsia="仿宋_GB2312" w:cs="仿宋_GB2312"/>
          <w:sz w:val="32"/>
          <w:szCs w:val="32"/>
        </w:rPr>
      </w:pPr>
    </w:p>
    <w:p>
      <w:pPr>
        <w:widowControl/>
        <w:spacing w:line="590" w:lineRule="exact"/>
        <w:outlineLvl w:val="1"/>
        <w:rPr>
          <w:rFonts w:ascii="仿宋_GB2312" w:hAnsi="仿宋_GB2312" w:eastAsia="仿宋_GB2312" w:cs="仿宋_GB2312"/>
          <w:sz w:val="32"/>
          <w:szCs w:val="32"/>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r>
        <w:rPr>
          <w:rFonts w:hint="eastAsia" w:ascii="黑体" w:hAnsi="黑体" w:eastAsia="黑体" w:cs="黑体"/>
          <w:sz w:val="48"/>
          <w:szCs w:val="48"/>
        </w:rPr>
        <w:t>第四部分  名词解释</w:t>
      </w: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960" w:firstLineChars="200"/>
        <w:jc w:val="center"/>
        <w:outlineLvl w:val="1"/>
        <w:rPr>
          <w:rFonts w:ascii="黑体" w:hAnsi="黑体" w:eastAsia="黑体" w:cs="黑体"/>
          <w:sz w:val="48"/>
          <w:szCs w:val="48"/>
        </w:rPr>
      </w:pPr>
    </w:p>
    <w:p>
      <w:pPr>
        <w:widowControl/>
        <w:spacing w:line="590" w:lineRule="exact"/>
        <w:ind w:firstLine="640" w:firstLineChars="200"/>
        <w:jc w:val="center"/>
        <w:outlineLvl w:val="1"/>
        <w:rPr>
          <w:rFonts w:ascii="仿宋_GB2312" w:hAnsi="仿宋_GB2312" w:eastAsia="黑体" w:cs="仿宋_GB2312"/>
          <w:sz w:val="32"/>
          <w:szCs w:val="32"/>
        </w:r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8FEB8"/>
    <w:multiLevelType w:val="singleLevel"/>
    <w:tmpl w:val="DEE8FEB8"/>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9A02E7"/>
    <w:rsid w:val="000328FE"/>
    <w:rsid w:val="000D2890"/>
    <w:rsid w:val="001227E6"/>
    <w:rsid w:val="001736D0"/>
    <w:rsid w:val="002234F5"/>
    <w:rsid w:val="004B28E0"/>
    <w:rsid w:val="004C1001"/>
    <w:rsid w:val="00543D00"/>
    <w:rsid w:val="00633886"/>
    <w:rsid w:val="00750B88"/>
    <w:rsid w:val="007C1292"/>
    <w:rsid w:val="007D0FDF"/>
    <w:rsid w:val="008C2796"/>
    <w:rsid w:val="00AF18AE"/>
    <w:rsid w:val="00B465DE"/>
    <w:rsid w:val="00B46BCA"/>
    <w:rsid w:val="00C11398"/>
    <w:rsid w:val="00E01F17"/>
    <w:rsid w:val="00E148BC"/>
    <w:rsid w:val="00F95CAE"/>
    <w:rsid w:val="00FF2FB8"/>
    <w:rsid w:val="03B8080A"/>
    <w:rsid w:val="06451B45"/>
    <w:rsid w:val="0EAB5B84"/>
    <w:rsid w:val="100A3998"/>
    <w:rsid w:val="10AC700D"/>
    <w:rsid w:val="113629DC"/>
    <w:rsid w:val="12CE550A"/>
    <w:rsid w:val="143336A4"/>
    <w:rsid w:val="14751603"/>
    <w:rsid w:val="152D58CE"/>
    <w:rsid w:val="1F461EA1"/>
    <w:rsid w:val="22117954"/>
    <w:rsid w:val="28BC5427"/>
    <w:rsid w:val="29691064"/>
    <w:rsid w:val="2C203486"/>
    <w:rsid w:val="32760B74"/>
    <w:rsid w:val="33310EBF"/>
    <w:rsid w:val="35895392"/>
    <w:rsid w:val="3DEF22BB"/>
    <w:rsid w:val="3E1B5F37"/>
    <w:rsid w:val="44492612"/>
    <w:rsid w:val="47033FB1"/>
    <w:rsid w:val="48894852"/>
    <w:rsid w:val="49B843C1"/>
    <w:rsid w:val="49FC76A4"/>
    <w:rsid w:val="4ED10D17"/>
    <w:rsid w:val="507E6053"/>
    <w:rsid w:val="52E458E9"/>
    <w:rsid w:val="559770E7"/>
    <w:rsid w:val="55B85ED0"/>
    <w:rsid w:val="57F617FC"/>
    <w:rsid w:val="580E77BD"/>
    <w:rsid w:val="58827127"/>
    <w:rsid w:val="5C303ED9"/>
    <w:rsid w:val="5C7104AC"/>
    <w:rsid w:val="5E247EEF"/>
    <w:rsid w:val="637D5C00"/>
    <w:rsid w:val="65BF3DFC"/>
    <w:rsid w:val="65D742AB"/>
    <w:rsid w:val="675366F7"/>
    <w:rsid w:val="6A2E00C7"/>
    <w:rsid w:val="6B333801"/>
    <w:rsid w:val="6CEF69B7"/>
    <w:rsid w:val="6E675C65"/>
    <w:rsid w:val="6E946CB2"/>
    <w:rsid w:val="702415C5"/>
    <w:rsid w:val="70BD621C"/>
    <w:rsid w:val="70E40B02"/>
    <w:rsid w:val="72F642D2"/>
    <w:rsid w:val="78046669"/>
    <w:rsid w:val="78D15606"/>
    <w:rsid w:val="799A02E7"/>
    <w:rsid w:val="7DB54D99"/>
    <w:rsid w:val="7F30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character" w:customStyle="1" w:styleId="10">
    <w:name w:val="y-active"/>
    <w:basedOn w:val="7"/>
    <w:qFormat/>
    <w:uiPriority w:val="0"/>
    <w:rPr>
      <w:color w:val="FFFFFF"/>
    </w:rPr>
  </w:style>
  <w:style w:type="character" w:customStyle="1" w:styleId="11">
    <w:name w:val="li-tm"/>
    <w:basedOn w:val="7"/>
    <w:qFormat/>
    <w:uiPriority w:val="0"/>
    <w:rPr>
      <w:color w:val="A7A7A7"/>
      <w:sz w:val="14"/>
      <w:szCs w:val="14"/>
    </w:rPr>
  </w:style>
  <w:style w:type="character" w:customStyle="1" w:styleId="12">
    <w:name w:val="icon"/>
    <w:basedOn w:val="7"/>
    <w:qFormat/>
    <w:uiPriority w:val="0"/>
  </w:style>
  <w:style w:type="character" w:customStyle="1" w:styleId="13">
    <w:name w:val="icon1"/>
    <w:basedOn w:val="7"/>
    <w:qFormat/>
    <w:uiPriority w:val="0"/>
  </w:style>
  <w:style w:type="character" w:customStyle="1" w:styleId="14">
    <w:name w:val="pos"/>
    <w:basedOn w:val="7"/>
    <w:qFormat/>
    <w:uiPriority w:val="0"/>
    <w:rPr>
      <w:color w:val="666666"/>
      <w:sz w:val="14"/>
      <w:szCs w:val="14"/>
    </w:rPr>
  </w:style>
  <w:style w:type="character" w:customStyle="1" w:styleId="15">
    <w:name w:val="working"/>
    <w:basedOn w:val="7"/>
    <w:qFormat/>
    <w:uiPriority w:val="0"/>
    <w:rPr>
      <w:color w:val="959595"/>
    </w:rPr>
  </w:style>
  <w:style w:type="character" w:customStyle="1" w:styleId="16">
    <w:name w:val="name"/>
    <w:basedOn w:val="7"/>
    <w:qFormat/>
    <w:uiPriority w:val="0"/>
    <w:rPr>
      <w:color w:val="333333"/>
      <w:sz w:val="19"/>
      <w:szCs w:val="19"/>
    </w:rPr>
  </w:style>
  <w:style w:type="character" w:customStyle="1" w:styleId="17">
    <w:name w:val="small-tit"/>
    <w:basedOn w:val="7"/>
    <w:qFormat/>
    <w:uiPriority w:val="0"/>
    <w:rPr>
      <w:color w:val="898989"/>
    </w:rPr>
  </w:style>
  <w:style w:type="character" w:customStyle="1" w:styleId="18">
    <w:name w:val="gwds_nopic"/>
    <w:basedOn w:val="7"/>
    <w:qFormat/>
    <w:uiPriority w:val="0"/>
  </w:style>
  <w:style w:type="character" w:customStyle="1" w:styleId="19">
    <w:name w:val="gwds_nopic1"/>
    <w:basedOn w:val="7"/>
    <w:qFormat/>
    <w:uiPriority w:val="0"/>
  </w:style>
  <w:style w:type="character" w:customStyle="1" w:styleId="20">
    <w:name w:val="gwds_nopic2"/>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4749</Words>
  <Characters>727</Characters>
  <Lines>6</Lines>
  <Paragraphs>10</Paragraphs>
  <TotalTime>0</TotalTime>
  <ScaleCrop>false</ScaleCrop>
  <LinksUpToDate>false</LinksUpToDate>
  <CharactersWithSpaces>5466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2019-09-03T09:32:00Z</dcterms:created>
  <dc:creator>夏日阳光</dc:creator>
  <cp:lastModifiedBy>Lenovo</cp:lastModifiedBy>
  <cp:lastPrinted>2019-09-04T09:15:00Z</cp:lastPrinted>
  <dcterms:modified xsi:type="dcterms:W3CDTF">2021-05-31T03:15:10Z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E9FB4191C69441E6A9E29058811D5873</vt:lpwstr>
  </property>
</Properties>
</file>