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FF669D">
      <w:pPr>
        <w:jc w:val="center"/>
        <w:rPr>
          <w:rFonts w:ascii="黑体" w:eastAsia="黑体" w:hAnsi="黑体" w:cs="黑体"/>
          <w:sz w:val="52"/>
          <w:szCs w:val="52"/>
        </w:rPr>
      </w:pPr>
      <w:r>
        <w:rPr>
          <w:rFonts w:ascii="黑体" w:eastAsia="黑体" w:hAnsi="黑体" w:cs="黑体"/>
          <w:sz w:val="52"/>
          <w:szCs w:val="52"/>
        </w:rPr>
        <w:t>201</w:t>
      </w:r>
      <w:r>
        <w:rPr>
          <w:rFonts w:ascii="黑体" w:eastAsia="黑体" w:hAnsi="黑体" w:cs="黑体" w:hint="eastAsia"/>
          <w:sz w:val="52"/>
          <w:szCs w:val="52"/>
        </w:rPr>
        <w:t>9年度</w:t>
      </w:r>
    </w:p>
    <w:p w:rsidR="00365161" w:rsidRDefault="00FF669D">
      <w:pPr>
        <w:jc w:val="center"/>
        <w:rPr>
          <w:rFonts w:ascii="黑体" w:eastAsia="黑体" w:hAnsi="黑体" w:cs="黑体"/>
          <w:sz w:val="52"/>
          <w:szCs w:val="52"/>
        </w:rPr>
      </w:pPr>
      <w:r>
        <w:rPr>
          <w:rFonts w:ascii="黑体" w:eastAsia="黑体" w:hAnsi="黑体" w:cs="黑体" w:hint="eastAsia"/>
          <w:sz w:val="52"/>
          <w:szCs w:val="52"/>
        </w:rPr>
        <w:t>南阳高新区城改综合办公室</w:t>
      </w:r>
    </w:p>
    <w:p w:rsidR="00365161" w:rsidRDefault="00FF669D">
      <w:pPr>
        <w:jc w:val="center"/>
        <w:rPr>
          <w:rFonts w:ascii="黑体" w:eastAsia="黑体" w:hAnsi="黑体" w:cs="黑体"/>
          <w:sz w:val="52"/>
          <w:szCs w:val="52"/>
        </w:rPr>
      </w:pPr>
      <w:r>
        <w:rPr>
          <w:rFonts w:ascii="黑体" w:eastAsia="黑体" w:hAnsi="黑体" w:cs="黑体" w:hint="eastAsia"/>
          <w:sz w:val="52"/>
          <w:szCs w:val="52"/>
        </w:rPr>
        <w:t>部门决算</w:t>
      </w:r>
    </w:p>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365161">
      <w:pPr>
        <w:jc w:val="center"/>
        <w:rPr>
          <w:rFonts w:ascii="黑体" w:eastAsia="黑体" w:hAnsi="黑体" w:cs="黑体"/>
          <w:sz w:val="52"/>
          <w:szCs w:val="52"/>
        </w:rPr>
      </w:pPr>
    </w:p>
    <w:p w:rsidR="00365161" w:rsidRDefault="00365161">
      <w:pPr>
        <w:rPr>
          <w:rFonts w:ascii="黑体" w:eastAsia="黑体" w:hAnsi="黑体" w:cs="黑体"/>
          <w:sz w:val="52"/>
          <w:szCs w:val="52"/>
        </w:rPr>
      </w:pPr>
    </w:p>
    <w:p w:rsidR="00365161" w:rsidRDefault="00FF669D">
      <w:pPr>
        <w:jc w:val="center"/>
        <w:rPr>
          <w:rFonts w:ascii="黑体" w:eastAsia="黑体" w:hAnsi="黑体" w:cs="黑体"/>
          <w:sz w:val="32"/>
          <w:szCs w:val="32"/>
        </w:rPr>
      </w:pPr>
      <w:r>
        <w:rPr>
          <w:rFonts w:ascii="黑体" w:eastAsia="黑体" w:hAnsi="黑体" w:cs="黑体" w:hint="eastAsia"/>
          <w:sz w:val="32"/>
          <w:szCs w:val="32"/>
        </w:rPr>
        <w:t>二〇二〇年九月</w:t>
      </w:r>
    </w:p>
    <w:p w:rsidR="00365161" w:rsidRDefault="00365161">
      <w:pPr>
        <w:jc w:val="center"/>
        <w:rPr>
          <w:rFonts w:ascii="黑体" w:eastAsia="黑体" w:hAnsi="黑体" w:cs="黑体"/>
          <w:sz w:val="32"/>
          <w:szCs w:val="32"/>
        </w:rPr>
      </w:pPr>
    </w:p>
    <w:p w:rsidR="00365161" w:rsidRDefault="00365161">
      <w:pPr>
        <w:jc w:val="center"/>
        <w:rPr>
          <w:rFonts w:ascii="黑体" w:eastAsia="黑体" w:hAnsi="黑体" w:cs="黑体"/>
          <w:sz w:val="32"/>
          <w:szCs w:val="32"/>
        </w:rPr>
      </w:pPr>
    </w:p>
    <w:p w:rsidR="00365161" w:rsidRDefault="00FF669D">
      <w:pPr>
        <w:jc w:val="center"/>
        <w:rPr>
          <w:rFonts w:ascii="黑体" w:eastAsia="黑体" w:hAnsi="黑体" w:cs="黑体"/>
          <w:sz w:val="36"/>
          <w:szCs w:val="36"/>
        </w:rPr>
      </w:pPr>
      <w:r>
        <w:rPr>
          <w:rFonts w:ascii="黑体" w:eastAsia="黑体" w:hAnsi="黑体" w:cs="黑体" w:hint="eastAsia"/>
          <w:sz w:val="36"/>
          <w:szCs w:val="36"/>
        </w:rPr>
        <w:lastRenderedPageBreak/>
        <w:t>目　　录</w:t>
      </w:r>
    </w:p>
    <w:p w:rsidR="00365161" w:rsidRDefault="00FF669D">
      <w:pPr>
        <w:jc w:val="left"/>
        <w:rPr>
          <w:rFonts w:ascii="黑体" w:eastAsia="黑体" w:hAnsi="黑体" w:cs="黑体"/>
          <w:sz w:val="32"/>
          <w:szCs w:val="32"/>
        </w:rPr>
      </w:pPr>
      <w:r>
        <w:rPr>
          <w:rFonts w:ascii="黑体" w:eastAsia="黑体" w:hAnsi="黑体" w:cs="黑体" w:hint="eastAsia"/>
          <w:sz w:val="32"/>
          <w:szCs w:val="32"/>
        </w:rPr>
        <w:t>第一部分　　南阳高新区城改综合办公室概况</w:t>
      </w:r>
    </w:p>
    <w:p w:rsidR="00365161" w:rsidRDefault="00FF669D">
      <w:pPr>
        <w:numPr>
          <w:ilvl w:val="0"/>
          <w:numId w:val="1"/>
        </w:numPr>
        <w:ind w:firstLineChars="200" w:firstLine="640"/>
        <w:jc w:val="left"/>
        <w:rPr>
          <w:rFonts w:ascii="宋体" w:cs="宋体"/>
          <w:sz w:val="32"/>
          <w:szCs w:val="32"/>
        </w:rPr>
      </w:pPr>
      <w:r>
        <w:rPr>
          <w:rFonts w:ascii="宋体" w:hAnsi="宋体" w:cs="宋体" w:hint="eastAsia"/>
          <w:sz w:val="32"/>
          <w:szCs w:val="32"/>
        </w:rPr>
        <w:t>部门职责</w:t>
      </w:r>
    </w:p>
    <w:p w:rsidR="00365161" w:rsidRDefault="00FF669D">
      <w:pPr>
        <w:numPr>
          <w:ilvl w:val="0"/>
          <w:numId w:val="1"/>
        </w:numPr>
        <w:ind w:firstLineChars="200" w:firstLine="640"/>
        <w:jc w:val="left"/>
        <w:rPr>
          <w:rFonts w:ascii="宋体" w:cs="宋体"/>
          <w:sz w:val="32"/>
          <w:szCs w:val="32"/>
        </w:rPr>
      </w:pPr>
      <w:r>
        <w:rPr>
          <w:rFonts w:ascii="宋体" w:hAnsi="宋体" w:cs="宋体" w:hint="eastAsia"/>
          <w:sz w:val="32"/>
          <w:szCs w:val="32"/>
        </w:rPr>
        <w:t>机构设置</w:t>
      </w:r>
    </w:p>
    <w:p w:rsidR="00365161" w:rsidRDefault="00FF669D">
      <w:pPr>
        <w:jc w:val="left"/>
        <w:rPr>
          <w:rFonts w:ascii="黑体" w:eastAsia="黑体" w:hAnsi="黑体" w:cs="黑体"/>
          <w:sz w:val="32"/>
          <w:szCs w:val="32"/>
        </w:rPr>
      </w:pPr>
      <w:r>
        <w:rPr>
          <w:rFonts w:ascii="黑体" w:eastAsia="黑体" w:hAnsi="黑体" w:cs="黑体" w:hint="eastAsia"/>
          <w:sz w:val="32"/>
          <w:szCs w:val="32"/>
        </w:rPr>
        <w:t xml:space="preserve">第二部分　　</w:t>
      </w:r>
      <w:r>
        <w:rPr>
          <w:rFonts w:ascii="黑体" w:eastAsia="黑体" w:hAnsi="黑体" w:cs="黑体"/>
          <w:sz w:val="32"/>
          <w:szCs w:val="32"/>
        </w:rPr>
        <w:t>201</w:t>
      </w:r>
      <w:r>
        <w:rPr>
          <w:rFonts w:ascii="黑体" w:eastAsia="黑体" w:hAnsi="黑体" w:cs="黑体" w:hint="eastAsia"/>
          <w:sz w:val="32"/>
          <w:szCs w:val="32"/>
        </w:rPr>
        <w:t>9年度部门决算表</w:t>
      </w:r>
    </w:p>
    <w:p w:rsidR="00365161" w:rsidRDefault="00FF669D">
      <w:pPr>
        <w:ind w:firstLineChars="200" w:firstLine="640"/>
        <w:jc w:val="left"/>
        <w:rPr>
          <w:rFonts w:ascii="宋体" w:cs="宋体"/>
          <w:sz w:val="32"/>
          <w:szCs w:val="32"/>
        </w:rPr>
      </w:pPr>
      <w:r>
        <w:rPr>
          <w:rFonts w:ascii="宋体" w:hAnsi="宋体" w:cs="宋体" w:hint="eastAsia"/>
          <w:sz w:val="32"/>
          <w:szCs w:val="32"/>
        </w:rPr>
        <w:t>一、收入支出决算总表</w:t>
      </w:r>
    </w:p>
    <w:p w:rsidR="00365161" w:rsidRDefault="00FF669D">
      <w:pPr>
        <w:ind w:firstLineChars="200" w:firstLine="640"/>
        <w:jc w:val="left"/>
        <w:rPr>
          <w:rFonts w:ascii="宋体" w:cs="宋体"/>
          <w:sz w:val="32"/>
          <w:szCs w:val="32"/>
        </w:rPr>
      </w:pPr>
      <w:r>
        <w:rPr>
          <w:rFonts w:ascii="宋体" w:hAnsi="宋体" w:cs="宋体" w:hint="eastAsia"/>
          <w:sz w:val="32"/>
          <w:szCs w:val="32"/>
        </w:rPr>
        <w:t>二、收入决算表</w:t>
      </w:r>
    </w:p>
    <w:p w:rsidR="00365161" w:rsidRDefault="00FF669D">
      <w:pPr>
        <w:ind w:firstLineChars="200" w:firstLine="640"/>
        <w:jc w:val="left"/>
        <w:rPr>
          <w:rFonts w:ascii="宋体" w:cs="宋体"/>
          <w:sz w:val="32"/>
          <w:szCs w:val="32"/>
        </w:rPr>
      </w:pPr>
      <w:r>
        <w:rPr>
          <w:rFonts w:ascii="宋体" w:hAnsi="宋体" w:cs="宋体" w:hint="eastAsia"/>
          <w:sz w:val="32"/>
          <w:szCs w:val="32"/>
        </w:rPr>
        <w:t>三、支出决算表</w:t>
      </w:r>
    </w:p>
    <w:p w:rsidR="00365161" w:rsidRDefault="00FF669D">
      <w:pPr>
        <w:ind w:firstLineChars="200" w:firstLine="640"/>
        <w:jc w:val="left"/>
        <w:rPr>
          <w:rFonts w:ascii="宋体" w:cs="宋体"/>
          <w:sz w:val="32"/>
          <w:szCs w:val="32"/>
        </w:rPr>
      </w:pPr>
      <w:r>
        <w:rPr>
          <w:rFonts w:ascii="宋体" w:hAnsi="宋体" w:cs="宋体" w:hint="eastAsia"/>
          <w:sz w:val="32"/>
          <w:szCs w:val="32"/>
        </w:rPr>
        <w:t>四、财政拨款收入支出决算总表</w:t>
      </w:r>
    </w:p>
    <w:p w:rsidR="00365161" w:rsidRDefault="00FF669D">
      <w:pPr>
        <w:ind w:firstLineChars="200" w:firstLine="640"/>
        <w:jc w:val="left"/>
        <w:rPr>
          <w:rFonts w:ascii="宋体" w:cs="宋体"/>
          <w:sz w:val="32"/>
          <w:szCs w:val="32"/>
        </w:rPr>
      </w:pPr>
      <w:r>
        <w:rPr>
          <w:rFonts w:ascii="宋体" w:hAnsi="宋体" w:cs="宋体" w:hint="eastAsia"/>
          <w:sz w:val="32"/>
          <w:szCs w:val="32"/>
        </w:rPr>
        <w:t>五、一般公共预算财政拨款支出决算表</w:t>
      </w:r>
    </w:p>
    <w:p w:rsidR="00365161" w:rsidRDefault="00FF669D">
      <w:pPr>
        <w:ind w:firstLineChars="200" w:firstLine="640"/>
        <w:jc w:val="left"/>
        <w:rPr>
          <w:rFonts w:ascii="宋体" w:cs="宋体"/>
          <w:sz w:val="32"/>
          <w:szCs w:val="32"/>
        </w:rPr>
      </w:pPr>
      <w:r>
        <w:rPr>
          <w:rFonts w:ascii="宋体" w:hAnsi="宋体" w:cs="宋体" w:hint="eastAsia"/>
          <w:sz w:val="32"/>
          <w:szCs w:val="32"/>
        </w:rPr>
        <w:t>六、一般公共预算财政拨款基本支出决算表</w:t>
      </w:r>
    </w:p>
    <w:p w:rsidR="00365161" w:rsidRDefault="00FF669D">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七、一般公共预算财政拨款“三公”经费支出决算表</w:t>
      </w:r>
    </w:p>
    <w:p w:rsidR="00365161" w:rsidRDefault="00FF669D">
      <w:pPr>
        <w:ind w:firstLineChars="200" w:firstLine="640"/>
        <w:jc w:val="left"/>
        <w:rPr>
          <w:rFonts w:ascii="宋体" w:cs="宋体"/>
          <w:sz w:val="32"/>
          <w:szCs w:val="32"/>
        </w:rPr>
      </w:pPr>
      <w:r>
        <w:rPr>
          <w:rFonts w:ascii="宋体" w:hAnsi="宋体" w:cs="宋体" w:hint="eastAsia"/>
          <w:sz w:val="32"/>
          <w:szCs w:val="32"/>
        </w:rPr>
        <w:t>八、政府性基金预算财政拨款收入支出决算表</w:t>
      </w:r>
    </w:p>
    <w:p w:rsidR="00365161" w:rsidRDefault="00FF669D">
      <w:pPr>
        <w:jc w:val="left"/>
        <w:rPr>
          <w:rFonts w:ascii="黑体" w:eastAsia="黑体" w:hAnsi="黑体" w:cs="黑体"/>
          <w:sz w:val="32"/>
          <w:szCs w:val="32"/>
        </w:rPr>
      </w:pPr>
      <w:r>
        <w:rPr>
          <w:rFonts w:ascii="黑体" w:eastAsia="黑体" w:hAnsi="黑体" w:cs="黑体" w:hint="eastAsia"/>
          <w:sz w:val="32"/>
          <w:szCs w:val="32"/>
        </w:rPr>
        <w:t xml:space="preserve">第三部分　　</w:t>
      </w:r>
      <w:r>
        <w:rPr>
          <w:rFonts w:ascii="黑体" w:eastAsia="黑体" w:hAnsi="黑体" w:cs="黑体"/>
          <w:sz w:val="32"/>
          <w:szCs w:val="32"/>
        </w:rPr>
        <w:t>201</w:t>
      </w:r>
      <w:r>
        <w:rPr>
          <w:rFonts w:ascii="黑体" w:eastAsia="黑体" w:hAnsi="黑体" w:cs="黑体" w:hint="eastAsia"/>
          <w:sz w:val="32"/>
          <w:szCs w:val="32"/>
        </w:rPr>
        <w:t>9年度部门决算情况说明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一、收入支出决算总体情况说明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二、收入决算情况说明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三、支出决算情况说明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四、财政拨款收入支出决算总体情况说明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五、一般公共预算财政拨款支出决算情况说明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六、一般公共预算财政拨款基本支出决算情况说明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七、一般公共预算财政拨款“三公”经费支出决算情况说明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lastRenderedPageBreak/>
        <w:t>八、预算绩效情况说明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九、政府性基金预算财政拨款支出决算情况说明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十、机关运行经费支出情况说明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十一、政府采购支出情况说明</w:t>
      </w:r>
    </w:p>
    <w:p w:rsidR="00365161" w:rsidRDefault="00FF669D">
      <w:pPr>
        <w:ind w:firstLineChars="200" w:firstLine="640"/>
        <w:jc w:val="left"/>
        <w:rPr>
          <w:rFonts w:ascii="宋体" w:cs="宋体"/>
          <w:sz w:val="32"/>
          <w:szCs w:val="32"/>
        </w:rPr>
      </w:pPr>
      <w:r>
        <w:rPr>
          <w:rFonts w:ascii="宋体" w:hAnsi="宋体" w:cs="宋体" w:hint="eastAsia"/>
          <w:sz w:val="32"/>
          <w:szCs w:val="32"/>
        </w:rPr>
        <w:t>十二、国有资产占用情况说明</w:t>
      </w:r>
    </w:p>
    <w:p w:rsidR="00365161" w:rsidRDefault="00FF669D">
      <w:pPr>
        <w:jc w:val="left"/>
        <w:rPr>
          <w:rFonts w:ascii="黑体" w:eastAsia="黑体" w:hAnsi="黑体" w:cs="黑体"/>
          <w:sz w:val="32"/>
          <w:szCs w:val="32"/>
        </w:rPr>
        <w:sectPr w:rsidR="00365161">
          <w:pgSz w:w="11906" w:h="16838"/>
          <w:pgMar w:top="1440" w:right="1800" w:bottom="1440" w:left="1800" w:header="851" w:footer="992" w:gutter="0"/>
          <w:cols w:space="425"/>
          <w:docGrid w:type="lines" w:linePitch="312"/>
        </w:sectPr>
      </w:pPr>
      <w:r>
        <w:rPr>
          <w:rFonts w:ascii="黑体" w:eastAsia="黑体" w:hAnsi="黑体" w:cs="黑体" w:hint="eastAsia"/>
          <w:sz w:val="32"/>
          <w:szCs w:val="32"/>
        </w:rPr>
        <w:t>第四部分　　名词解释</w:t>
      </w:r>
    </w:p>
    <w:p w:rsidR="00365161" w:rsidRDefault="00365161">
      <w:pPr>
        <w:jc w:val="left"/>
        <w:rPr>
          <w:rFonts w:ascii="黑体" w:eastAsia="黑体" w:hAnsi="黑体" w:cs="黑体"/>
          <w:sz w:val="32"/>
          <w:szCs w:val="32"/>
        </w:rPr>
      </w:pPr>
    </w:p>
    <w:p w:rsidR="00365161" w:rsidRDefault="00365161">
      <w:pPr>
        <w:jc w:val="left"/>
        <w:rPr>
          <w:rFonts w:ascii="黑体" w:eastAsia="黑体" w:hAnsi="黑体" w:cs="黑体"/>
          <w:sz w:val="32"/>
          <w:szCs w:val="32"/>
        </w:rPr>
      </w:pPr>
    </w:p>
    <w:p w:rsidR="00365161" w:rsidRDefault="00365161">
      <w:pPr>
        <w:jc w:val="left"/>
        <w:rPr>
          <w:rFonts w:ascii="黑体" w:eastAsia="黑体" w:hAnsi="黑体" w:cs="黑体"/>
          <w:sz w:val="32"/>
          <w:szCs w:val="32"/>
        </w:rPr>
      </w:pPr>
    </w:p>
    <w:p w:rsidR="00365161" w:rsidRDefault="00365161">
      <w:pPr>
        <w:jc w:val="left"/>
        <w:rPr>
          <w:rFonts w:ascii="黑体" w:eastAsia="黑体" w:hAnsi="黑体" w:cs="黑体"/>
          <w:sz w:val="32"/>
          <w:szCs w:val="32"/>
        </w:rPr>
      </w:pPr>
    </w:p>
    <w:p w:rsidR="00365161" w:rsidRDefault="00365161">
      <w:pPr>
        <w:jc w:val="left"/>
        <w:rPr>
          <w:rFonts w:ascii="黑体" w:eastAsia="黑体" w:hAnsi="黑体" w:cs="黑体"/>
          <w:sz w:val="32"/>
          <w:szCs w:val="32"/>
        </w:rPr>
      </w:pPr>
    </w:p>
    <w:p w:rsidR="00365161" w:rsidRDefault="00365161">
      <w:pPr>
        <w:jc w:val="left"/>
        <w:rPr>
          <w:rFonts w:ascii="黑体" w:eastAsia="黑体" w:hAnsi="黑体" w:cs="黑体"/>
          <w:sz w:val="32"/>
          <w:szCs w:val="32"/>
        </w:rPr>
      </w:pPr>
    </w:p>
    <w:p w:rsidR="00365161" w:rsidRDefault="00365161">
      <w:pPr>
        <w:jc w:val="center"/>
        <w:rPr>
          <w:rFonts w:ascii="黑体" w:eastAsia="黑体" w:hAnsi="黑体" w:cs="黑体"/>
          <w:sz w:val="48"/>
          <w:szCs w:val="48"/>
        </w:rPr>
      </w:pPr>
    </w:p>
    <w:p w:rsidR="00365161" w:rsidRDefault="00365161">
      <w:pPr>
        <w:jc w:val="center"/>
        <w:rPr>
          <w:rFonts w:ascii="黑体" w:eastAsia="黑体" w:hAnsi="黑体" w:cs="黑体"/>
          <w:sz w:val="48"/>
          <w:szCs w:val="48"/>
        </w:rPr>
      </w:pPr>
    </w:p>
    <w:p w:rsidR="00365161" w:rsidRDefault="00365161">
      <w:pPr>
        <w:jc w:val="center"/>
        <w:rPr>
          <w:rFonts w:ascii="黑体" w:eastAsia="黑体" w:hAnsi="黑体" w:cs="黑体"/>
          <w:sz w:val="48"/>
          <w:szCs w:val="48"/>
        </w:rPr>
      </w:pPr>
    </w:p>
    <w:p w:rsidR="00365161" w:rsidRDefault="00FF669D">
      <w:pPr>
        <w:jc w:val="center"/>
        <w:rPr>
          <w:rFonts w:ascii="黑体" w:eastAsia="黑体" w:hAnsi="黑体" w:cs="黑体"/>
          <w:sz w:val="48"/>
          <w:szCs w:val="48"/>
        </w:rPr>
        <w:sectPr w:rsidR="00365161">
          <w:pgSz w:w="11906" w:h="16838"/>
          <w:pgMar w:top="1440" w:right="1800" w:bottom="1440" w:left="1800" w:header="851" w:footer="992" w:gutter="0"/>
          <w:cols w:space="425"/>
          <w:docGrid w:type="lines" w:linePitch="312"/>
        </w:sectPr>
      </w:pPr>
      <w:r>
        <w:rPr>
          <w:rFonts w:ascii="黑体" w:eastAsia="黑体" w:hAnsi="黑体" w:cs="黑体" w:hint="eastAsia"/>
          <w:sz w:val="48"/>
          <w:szCs w:val="48"/>
        </w:rPr>
        <w:t>第一部分</w:t>
      </w:r>
      <w:r>
        <w:rPr>
          <w:rFonts w:ascii="黑体" w:eastAsia="黑体" w:hAnsi="黑体" w:cs="黑体"/>
          <w:sz w:val="48"/>
          <w:szCs w:val="48"/>
        </w:rPr>
        <w:t xml:space="preserve">  </w:t>
      </w:r>
      <w:r>
        <w:rPr>
          <w:rFonts w:ascii="黑体" w:eastAsia="黑体" w:hAnsi="黑体" w:cs="黑体" w:hint="eastAsia"/>
          <w:sz w:val="48"/>
          <w:szCs w:val="48"/>
        </w:rPr>
        <w:t>南阳高新区城改综合办公室概况</w:t>
      </w:r>
    </w:p>
    <w:p w:rsidR="00365161" w:rsidRDefault="00FF669D">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365161" w:rsidRDefault="00FF669D">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高新区城改综合办公室成立于</w:t>
      </w:r>
      <w:r>
        <w:rPr>
          <w:rFonts w:ascii="仿宋_GB2312" w:eastAsia="仿宋_GB2312" w:hAnsi="宋体" w:cs="宋体"/>
          <w:kern w:val="0"/>
          <w:sz w:val="32"/>
          <w:szCs w:val="32"/>
        </w:rPr>
        <w:t>2015</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月，主要负责城中村（棚户区）改造、房屋征收、保障房建设与管理等方面工作。</w:t>
      </w:r>
      <w:r>
        <w:rPr>
          <w:rFonts w:ascii="仿宋_GB2312" w:eastAsia="仿宋_GB2312" w:hAnsi="宋体" w:cs="宋体"/>
          <w:kern w:val="0"/>
          <w:sz w:val="32"/>
          <w:szCs w:val="32"/>
        </w:rPr>
        <w:t xml:space="preserve"> </w:t>
      </w:r>
    </w:p>
    <w:p w:rsidR="00365161" w:rsidRDefault="00FF669D">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365161" w:rsidRDefault="00FF669D">
      <w:pPr>
        <w:widowControl/>
        <w:ind w:firstLineChars="200" w:firstLine="720"/>
        <w:jc w:val="left"/>
        <w:rPr>
          <w:rFonts w:ascii="仿宋_GB2312" w:eastAsia="仿宋_GB2312"/>
          <w:spacing w:val="20"/>
          <w:kern w:val="0"/>
          <w:sz w:val="32"/>
          <w:szCs w:val="32"/>
        </w:rPr>
      </w:pPr>
      <w:r>
        <w:rPr>
          <w:rFonts w:ascii="仿宋_GB2312" w:eastAsia="仿宋_GB2312" w:hint="eastAsia"/>
          <w:spacing w:val="20"/>
          <w:kern w:val="0"/>
          <w:sz w:val="32"/>
          <w:szCs w:val="32"/>
        </w:rPr>
        <w:t>南阳高新技术产业开发区城改综合办公室无内设机构。</w:t>
      </w:r>
    </w:p>
    <w:p w:rsidR="00365161" w:rsidRDefault="00FF669D">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w:t>
      </w:r>
      <w:r>
        <w:rPr>
          <w:rFonts w:ascii="仿宋_GB2312" w:eastAsia="仿宋_GB2312" w:hint="eastAsia"/>
          <w:spacing w:val="20"/>
          <w:kern w:val="0"/>
          <w:sz w:val="32"/>
          <w:szCs w:val="32"/>
        </w:rPr>
        <w:t>南阳高新技术产业开发区城改综合办公室部门</w:t>
      </w:r>
      <w:r>
        <w:rPr>
          <w:rFonts w:ascii="仿宋_GB2312" w:eastAsia="仿宋_GB2312" w:hAnsi="仿宋_GB2312" w:cs="仿宋_GB2312" w:hint="eastAsia"/>
          <w:kern w:val="0"/>
          <w:sz w:val="32"/>
          <w:szCs w:val="32"/>
        </w:rPr>
        <w:t>决算包括：本级决算。</w:t>
      </w:r>
    </w:p>
    <w:p w:rsidR="00365161" w:rsidRDefault="00FF669D">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w:t>
      </w:r>
      <w:r>
        <w:rPr>
          <w:rFonts w:ascii="仿宋_GB2312" w:eastAsia="仿宋_GB2312" w:hAnsi="仿宋_GB2312" w:cs="仿宋_GB2312"/>
          <w:kern w:val="0"/>
          <w:sz w:val="32"/>
          <w:szCs w:val="32"/>
        </w:rPr>
        <w:t>201</w:t>
      </w:r>
      <w:r>
        <w:rPr>
          <w:rFonts w:ascii="仿宋_GB2312" w:eastAsia="仿宋_GB2312" w:hAnsi="仿宋_GB2312" w:cs="仿宋_GB2312" w:hint="eastAsia"/>
          <w:kern w:val="0"/>
          <w:sz w:val="32"/>
          <w:szCs w:val="32"/>
        </w:rPr>
        <w:t>9年度部门决算编制范围的单位共</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个，具体是：</w:t>
      </w:r>
    </w:p>
    <w:p w:rsidR="00365161" w:rsidRDefault="00FF669D">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华文仿宋" w:eastAsia="华文仿宋" w:hAnsi="华文仿宋"/>
          <w:kern w:val="0"/>
          <w:sz w:val="32"/>
          <w:szCs w:val="32"/>
        </w:rPr>
        <w:t xml:space="preserve"> </w:t>
      </w:r>
      <w:r>
        <w:rPr>
          <w:rFonts w:ascii="仿宋_GB2312" w:eastAsia="仿宋_GB2312" w:hint="eastAsia"/>
          <w:spacing w:val="20"/>
          <w:kern w:val="0"/>
          <w:sz w:val="32"/>
          <w:szCs w:val="32"/>
        </w:rPr>
        <w:t>南阳高新技术产业开发区城改综合办公室本级</w:t>
      </w: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365161">
      <w:pPr>
        <w:widowControl/>
        <w:jc w:val="left"/>
        <w:rPr>
          <w:rFonts w:ascii="黑体" w:eastAsia="黑体" w:hAnsi="宋体" w:cs="宋体"/>
          <w:kern w:val="0"/>
          <w:sz w:val="28"/>
          <w:szCs w:val="28"/>
        </w:rPr>
      </w:pPr>
    </w:p>
    <w:p w:rsidR="00365161" w:rsidRDefault="00FF669D">
      <w:pPr>
        <w:jc w:val="center"/>
        <w:outlineLvl w:val="0"/>
        <w:rPr>
          <w:rFonts w:ascii="黑体" w:eastAsia="黑体" w:hAnsi="黑体" w:cs="黑体"/>
          <w:sz w:val="48"/>
          <w:szCs w:val="48"/>
        </w:rPr>
      </w:pPr>
      <w:r>
        <w:rPr>
          <w:rFonts w:ascii="黑体" w:eastAsia="黑体" w:hAnsi="黑体" w:cs="黑体" w:hint="eastAsia"/>
          <w:sz w:val="48"/>
          <w:szCs w:val="48"/>
        </w:rPr>
        <w:t>第二部分</w:t>
      </w:r>
      <w:r>
        <w:rPr>
          <w:rFonts w:ascii="黑体" w:eastAsia="黑体" w:hAnsi="黑体" w:cs="黑体"/>
          <w:sz w:val="48"/>
          <w:szCs w:val="48"/>
        </w:rPr>
        <w:t xml:space="preserve">  201</w:t>
      </w:r>
      <w:r>
        <w:rPr>
          <w:rFonts w:ascii="黑体" w:eastAsia="黑体" w:hAnsi="黑体" w:cs="黑体" w:hint="eastAsia"/>
          <w:sz w:val="48"/>
          <w:szCs w:val="48"/>
        </w:rPr>
        <w:t>9年度部门决算表</w:t>
      </w:r>
    </w:p>
    <w:p w:rsidR="00365161" w:rsidRDefault="00365161">
      <w:pPr>
        <w:spacing w:line="600" w:lineRule="exact"/>
        <w:ind w:firstLineChars="200" w:firstLine="1040"/>
        <w:jc w:val="center"/>
        <w:rPr>
          <w:rFonts w:ascii="仿宋_GB2312" w:eastAsia="仿宋_GB2312"/>
          <w:spacing w:val="20"/>
          <w:kern w:val="0"/>
          <w:sz w:val="48"/>
          <w:szCs w:val="48"/>
        </w:rPr>
      </w:pPr>
    </w:p>
    <w:p w:rsidR="00365161" w:rsidRDefault="00FF669D">
      <w:pPr>
        <w:spacing w:line="600" w:lineRule="exact"/>
        <w:ind w:firstLineChars="200" w:firstLine="960"/>
        <w:jc w:val="center"/>
        <w:rPr>
          <w:rFonts w:ascii="仿宋" w:eastAsia="仿宋" w:hAnsi="仿宋"/>
          <w:spacing w:val="20"/>
          <w:kern w:val="0"/>
          <w:sz w:val="44"/>
          <w:szCs w:val="44"/>
        </w:rPr>
        <w:sectPr w:rsidR="00365161">
          <w:pgSz w:w="11906" w:h="16838"/>
          <w:pgMar w:top="1440" w:right="1800" w:bottom="1440" w:left="1800" w:header="720" w:footer="720" w:gutter="0"/>
          <w:pgNumType w:fmt="numberInDash"/>
          <w:cols w:space="720"/>
          <w:docGrid w:type="lines" w:linePitch="312"/>
        </w:sectPr>
      </w:pPr>
      <w:r>
        <w:rPr>
          <w:rFonts w:ascii="仿宋" w:eastAsia="仿宋" w:hAnsi="仿宋" w:hint="eastAsia"/>
          <w:spacing w:val="20"/>
          <w:kern w:val="0"/>
          <w:sz w:val="44"/>
          <w:szCs w:val="44"/>
        </w:rPr>
        <w:t>见附件</w:t>
      </w: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pPr>
    </w:p>
    <w:p w:rsidR="00365161" w:rsidRDefault="00FF669D">
      <w:pPr>
        <w:outlineLvl w:val="0"/>
        <w:rPr>
          <w:rFonts w:ascii="黑体" w:eastAsia="黑体" w:hAnsi="黑体" w:cs="黑体"/>
          <w:sz w:val="48"/>
          <w:szCs w:val="48"/>
        </w:rPr>
      </w:pPr>
      <w:r>
        <w:rPr>
          <w:rFonts w:ascii="黑体" w:eastAsia="黑体" w:hAnsi="黑体" w:cs="黑体" w:hint="eastAsia"/>
          <w:sz w:val="48"/>
          <w:szCs w:val="48"/>
        </w:rPr>
        <w:t>第三部分</w:t>
      </w:r>
      <w:r>
        <w:rPr>
          <w:rFonts w:ascii="黑体" w:eastAsia="黑体" w:hAnsi="黑体" w:cs="黑体"/>
          <w:sz w:val="48"/>
          <w:szCs w:val="48"/>
        </w:rPr>
        <w:t xml:space="preserve">  201</w:t>
      </w:r>
      <w:r>
        <w:rPr>
          <w:rFonts w:ascii="黑体" w:eastAsia="黑体" w:hAnsi="黑体" w:cs="黑体" w:hint="eastAsia"/>
          <w:sz w:val="48"/>
          <w:szCs w:val="48"/>
        </w:rPr>
        <w:t>9年度部门决算情况说明</w:t>
      </w: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365161">
      <w:pPr>
        <w:widowControl/>
        <w:spacing w:line="590" w:lineRule="exact"/>
        <w:ind w:firstLineChars="200" w:firstLine="640"/>
        <w:outlineLvl w:val="1"/>
        <w:rPr>
          <w:rFonts w:ascii="黑体" w:eastAsia="黑体" w:hAnsi="黑体" w:cs="黑体"/>
          <w:sz w:val="32"/>
          <w:szCs w:val="32"/>
        </w:rPr>
      </w:pP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w:t>
      </w:r>
      <w:r>
        <w:rPr>
          <w:rFonts w:ascii="仿宋_GB2312" w:eastAsia="仿宋_GB2312" w:hAnsi="仿宋_GB2312" w:cs="仿宋_GB2312" w:hint="eastAsia"/>
          <w:sz w:val="32"/>
          <w:szCs w:val="32"/>
        </w:rPr>
        <w:t>9年度收、支总计均为408.34万元。与上年度相比，收、支总计各增加213.31万元，增加109.37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spacing w:val="20"/>
          <w:kern w:val="0"/>
          <w:sz w:val="32"/>
          <w:szCs w:val="32"/>
        </w:rPr>
        <w:t>201</w:t>
      </w:r>
      <w:r>
        <w:rPr>
          <w:rFonts w:ascii="仿宋_GB2312" w:eastAsia="仿宋_GB2312" w:hint="eastAsia"/>
          <w:spacing w:val="20"/>
          <w:kern w:val="0"/>
          <w:sz w:val="32"/>
          <w:szCs w:val="32"/>
        </w:rPr>
        <w:t>9年新街社区过渡费纳入政府性基金。</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365161" w:rsidRDefault="00FF669D">
      <w:pPr>
        <w:widowControl/>
        <w:spacing w:line="590" w:lineRule="exact"/>
        <w:ind w:firstLineChars="200" w:firstLine="640"/>
        <w:rPr>
          <w:rFonts w:ascii="黑体" w:eastAsia="仿宋_GB2312" w:hAnsi="黑体" w:cs="黑体"/>
          <w:sz w:val="32"/>
          <w:szCs w:val="32"/>
        </w:rPr>
      </w:pPr>
      <w:r>
        <w:rPr>
          <w:rFonts w:ascii="仿宋_GB2312" w:eastAsia="仿宋_GB2312" w:hAnsi="仿宋_GB2312" w:cs="仿宋_GB2312" w:hint="eastAsia"/>
          <w:sz w:val="32"/>
          <w:szCs w:val="32"/>
        </w:rPr>
        <w:t>2019年度收入合计299.04万元，其中：财政拨款收入297万元，占99.32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；其他收入2.04万元，占0.68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2019年度支出合计232.05万元，其中：基本支出3.44万元，占1.48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；项目支出228.61万元，占98.52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2019年度财政拨款收、支总计均为403.13万元。与上年度相比，财政拨款收、支总计各增加211.3万元，增加110.14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w:t>
      </w:r>
      <w:r>
        <w:rPr>
          <w:rFonts w:ascii="仿宋_GB2312" w:eastAsia="仿宋_GB2312" w:hint="eastAsia"/>
          <w:spacing w:val="20"/>
          <w:kern w:val="0"/>
          <w:sz w:val="32"/>
          <w:szCs w:val="32"/>
        </w:rPr>
        <w:t>新街社区过渡费纳入政府性基金。</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365161" w:rsidRDefault="00FF669D" w:rsidP="005376A0">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2019年度一般公共预算财政拨款支出7万元，占本年支出合计的3.02</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。与上年度相比，一般公共预算财政拨款支出减少34.98万元，下降83.33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。主要原因是保障性住房支出减少。</w:t>
      </w:r>
    </w:p>
    <w:p w:rsidR="00365161" w:rsidRDefault="00FF669D" w:rsidP="005376A0">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365161" w:rsidRDefault="00FF669D">
      <w:pPr>
        <w:widowControl/>
        <w:spacing w:line="590" w:lineRule="exact"/>
        <w:ind w:firstLineChars="200" w:firstLine="640"/>
        <w:rPr>
          <w:rFonts w:ascii="楷体_GB2312" w:eastAsia="楷体_GB2312" w:hAnsi="楷体_GB2312" w:cs="楷体_GB2312"/>
          <w:b/>
          <w:bCs/>
          <w:sz w:val="32"/>
          <w:szCs w:val="32"/>
        </w:rPr>
      </w:pPr>
      <w:r>
        <w:rPr>
          <w:rFonts w:ascii="仿宋_GB2312" w:eastAsia="仿宋_GB2312" w:hAnsi="仿宋_GB2312" w:cs="仿宋_GB2312" w:hint="eastAsia"/>
          <w:sz w:val="32"/>
          <w:szCs w:val="32"/>
        </w:rPr>
        <w:t>2019年度一般公共预算财政拨款支出7万元，主要用于以下方面：城乡社区支出（类）5.29万元，占75.57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；住房保障支出（类）1</w:t>
      </w:r>
      <w:r>
        <w:rPr>
          <w:rFonts w:ascii="仿宋_GB2312" w:eastAsia="仿宋_GB2312" w:hAnsi="仿宋_GB2312" w:cs="仿宋_GB2312"/>
          <w:sz w:val="32"/>
          <w:szCs w:val="32"/>
        </w:rPr>
        <w:t>.71</w:t>
      </w:r>
      <w:r>
        <w:rPr>
          <w:rFonts w:ascii="仿宋_GB2312" w:eastAsia="仿宋_GB2312" w:hAnsi="仿宋_GB2312" w:cs="仿宋_GB2312" w:hint="eastAsia"/>
          <w:sz w:val="32"/>
          <w:szCs w:val="32"/>
        </w:rPr>
        <w:t>万元，占24.43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p>
    <w:p w:rsidR="00365161" w:rsidRDefault="00FF669D" w:rsidP="005376A0">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（三）具体情况。</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2019年度一般公共预算财政拨款支出年初预算为24.44万元，支出决算为7万元，完成年初预算的28.64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。其中：</w:t>
      </w:r>
    </w:p>
    <w:p w:rsidR="00365161" w:rsidRDefault="00FF669D" w:rsidP="005376A0">
      <w:pPr>
        <w:widowControl/>
        <w:numPr>
          <w:ilvl w:val="0"/>
          <w:numId w:val="2"/>
        </w:num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城乡社区支出（类）城乡社区管理事务（款）行政运行（项）。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3.44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3.44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365161" w:rsidRDefault="00FF669D" w:rsidP="005376A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 xml:space="preserve">2. </w:t>
      </w:r>
      <w:r>
        <w:rPr>
          <w:rFonts w:ascii="仿宋_GB2312" w:eastAsia="仿宋_GB2312" w:hAnsi="仿宋_GB2312" w:cs="仿宋_GB2312" w:hint="eastAsia"/>
          <w:b/>
          <w:bCs/>
          <w:sz w:val="32"/>
          <w:szCs w:val="32"/>
        </w:rPr>
        <w:t>城乡社区支出（类）城乡社区管理事务（款）一般行政管理事务（项）。</w:t>
      </w:r>
      <w:r>
        <w:rPr>
          <w:rFonts w:ascii="仿宋_GB2312" w:eastAsia="仿宋_GB2312" w:hAnsi="仿宋_GB2312" w:cs="仿宋_GB2312" w:hint="eastAsia"/>
          <w:sz w:val="32"/>
          <w:szCs w:val="32"/>
        </w:rPr>
        <w:t>年初预算为20</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万元，支出决算为1.85万元，完成年初预算的9.25</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，决算数与年初预算数存在差异的主要原因是2019年开展了“经转商”工作，没有进行保障房审计工作。</w:t>
      </w:r>
    </w:p>
    <w:p w:rsidR="00365161" w:rsidRDefault="00FF669D" w:rsidP="005376A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 xml:space="preserve">3. </w:t>
      </w:r>
      <w:r>
        <w:rPr>
          <w:rFonts w:ascii="仿宋_GB2312" w:eastAsia="仿宋_GB2312" w:hAnsi="仿宋_GB2312" w:cs="仿宋_GB2312" w:hint="eastAsia"/>
          <w:b/>
          <w:bCs/>
          <w:sz w:val="32"/>
          <w:szCs w:val="32"/>
        </w:rPr>
        <w:t>住房保障支出（类）保障性安居工程支出（款）廉租住房（项）。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.00万元，支出决算为</w:t>
      </w:r>
      <w:r>
        <w:rPr>
          <w:rFonts w:ascii="仿宋_GB2312" w:eastAsia="仿宋_GB2312" w:hAnsi="仿宋_GB2312" w:cs="仿宋_GB2312"/>
          <w:sz w:val="32"/>
          <w:szCs w:val="32"/>
        </w:rPr>
        <w:t>1.71</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71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，决算数与年初预算数存在差异的主要原因是市财局拨付了城镇保障性安居工程补助资金。</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2019年度一般公共预算财政拨款基本支出</w:t>
      </w:r>
      <w:r>
        <w:rPr>
          <w:rFonts w:ascii="仿宋_GB2312" w:eastAsia="仿宋_GB2312" w:hAnsi="仿宋_GB2312" w:cs="仿宋_GB2312"/>
          <w:sz w:val="32"/>
          <w:szCs w:val="32"/>
        </w:rPr>
        <w:t>3.44</w:t>
      </w:r>
      <w:r>
        <w:rPr>
          <w:rFonts w:ascii="仿宋_GB2312" w:eastAsia="仿宋_GB2312" w:hAnsi="仿宋_GB2312" w:cs="仿宋_GB2312" w:hint="eastAsia"/>
          <w:sz w:val="32"/>
          <w:szCs w:val="32"/>
        </w:rPr>
        <w:t>万元。其中：公用经费</w:t>
      </w:r>
      <w:r>
        <w:rPr>
          <w:rFonts w:ascii="仿宋_GB2312" w:eastAsia="仿宋_GB2312" w:hAnsi="仿宋_GB2312" w:cs="仿宋_GB2312"/>
          <w:sz w:val="32"/>
          <w:szCs w:val="32"/>
        </w:rPr>
        <w:t>3.44</w:t>
      </w:r>
      <w:r>
        <w:rPr>
          <w:rFonts w:ascii="仿宋_GB2312" w:eastAsia="仿宋_GB2312" w:hAnsi="仿宋_GB2312" w:cs="仿宋_GB2312" w:hint="eastAsia"/>
          <w:sz w:val="32"/>
          <w:szCs w:val="32"/>
        </w:rPr>
        <w:t>万元，主要包括：办公费1.59万元、印刷费</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53万元、邮电费0.15万元、维修（护）费0.13万元、其他商品和服务支出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40万元、办公设备购置0.63万元。</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365161" w:rsidRDefault="00FF669D" w:rsidP="005376A0">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2019年度“三公”经费财政拨款支出预算为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00813B11">
        <w:rPr>
          <w:rFonts w:ascii="仿宋_GB2312" w:eastAsia="仿宋_GB2312" w:hAnsi="仿宋_GB2312" w:cs="仿宋_GB2312" w:hint="eastAsia"/>
          <w:sz w:val="32"/>
          <w:szCs w:val="32"/>
        </w:rPr>
        <w:t>完成预算的0%，</w:t>
      </w:r>
      <w:r>
        <w:rPr>
          <w:rFonts w:ascii="仿宋_GB2312" w:eastAsia="仿宋_GB2312" w:hAnsi="仿宋_GB2312" w:cs="仿宋_GB2312" w:hint="eastAsia"/>
          <w:sz w:val="32"/>
          <w:szCs w:val="32"/>
        </w:rPr>
        <w:t>2019年度“三公”经费决算数与2018年决算数相比不存在差异。</w:t>
      </w:r>
    </w:p>
    <w:p w:rsidR="00365161" w:rsidRDefault="00FF669D" w:rsidP="005376A0">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2019年度“三公”经费财政拨款支出决算中，因公出国（境）费支出决算</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00813B11">
        <w:rPr>
          <w:rFonts w:ascii="仿宋_GB2312" w:eastAsia="仿宋_GB2312" w:hAnsi="仿宋_GB2312" w:cs="仿宋_GB2312" w:hint="eastAsia"/>
          <w:sz w:val="32"/>
          <w:szCs w:val="32"/>
        </w:rPr>
        <w:t>完成年初预算的0%。</w:t>
      </w:r>
      <w:r>
        <w:rPr>
          <w:rFonts w:ascii="仿宋_GB2312" w:eastAsia="仿宋_GB2312" w:hAnsi="仿宋_GB2312" w:cs="仿宋_GB2312" w:hint="eastAsia"/>
          <w:sz w:val="32"/>
          <w:szCs w:val="32"/>
        </w:rPr>
        <w:t>与2018年决算数相比不存在差异。具体情况如下：</w:t>
      </w:r>
    </w:p>
    <w:p w:rsidR="00365161" w:rsidRDefault="00FF669D" w:rsidP="005376A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．因公出国（境）费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00813B11">
        <w:rPr>
          <w:rFonts w:ascii="仿宋_GB2312" w:eastAsia="仿宋_GB2312" w:hAnsi="仿宋_GB2312" w:cs="仿宋_GB2312" w:hint="eastAsia"/>
          <w:sz w:val="32"/>
          <w:szCs w:val="32"/>
        </w:rPr>
        <w:t>完成年初预算的0%。</w:t>
      </w:r>
      <w:r>
        <w:rPr>
          <w:rFonts w:ascii="仿宋_GB2312" w:eastAsia="仿宋_GB2312" w:hAnsi="仿宋_GB2312" w:cs="仿宋_GB2312" w:hint="eastAsia"/>
          <w:sz w:val="32"/>
          <w:szCs w:val="32"/>
        </w:rPr>
        <w:t>与2018年决算数相比不存在差异。全年因公出国（境）团组0个，累计0人次。</w:t>
      </w:r>
    </w:p>
    <w:p w:rsidR="00365161" w:rsidRDefault="00FF669D" w:rsidP="005376A0">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．公务用车购置及运行费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00813B11">
        <w:rPr>
          <w:rFonts w:ascii="仿宋_GB2312" w:eastAsia="仿宋_GB2312" w:hAnsi="仿宋_GB2312" w:cs="仿宋_GB2312" w:hint="eastAsia"/>
          <w:sz w:val="32"/>
          <w:szCs w:val="32"/>
        </w:rPr>
        <w:t>完成年初预算的0%。</w:t>
      </w:r>
      <w:r>
        <w:rPr>
          <w:rFonts w:ascii="仿宋_GB2312" w:eastAsia="仿宋_GB2312" w:hAnsi="仿宋_GB2312" w:cs="仿宋_GB2312" w:hint="eastAsia"/>
          <w:sz w:val="32"/>
          <w:szCs w:val="32"/>
        </w:rPr>
        <w:t>与2018年决算数相比不存在差异。</w:t>
      </w:r>
    </w:p>
    <w:p w:rsidR="003660AF" w:rsidRDefault="003660AF" w:rsidP="003660A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为0万元，购置车辆0辆，其中0车0辆、0车0辆。</w:t>
      </w:r>
    </w:p>
    <w:p w:rsidR="003660AF" w:rsidRDefault="003660AF" w:rsidP="003660AF">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公务用车运行支出0</w:t>
      </w:r>
      <w:r>
        <w:rPr>
          <w:rFonts w:ascii="仿宋_GB2312" w:eastAsia="仿宋_GB2312" w:hAnsi="仿宋_GB2312" w:cs="仿宋_GB2312" w:hint="eastAsia"/>
          <w:sz w:val="32"/>
          <w:szCs w:val="32"/>
        </w:rPr>
        <w:t>万元。2019年期末，部门开支财政拨款的公务用车保有量为0辆。</w:t>
      </w:r>
    </w:p>
    <w:p w:rsidR="003F6537" w:rsidRDefault="00FF669D" w:rsidP="003F6537">
      <w:pPr>
        <w:widowControl/>
        <w:spacing w:line="59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公务接待费</w:t>
      </w:r>
      <w:r>
        <w:rPr>
          <w:rFonts w:ascii="仿宋_GB2312" w:eastAsia="仿宋_GB2312" w:hAnsi="仿宋_GB2312" w:cs="仿宋_GB2312" w:hint="eastAsia"/>
          <w:sz w:val="32"/>
          <w:szCs w:val="32"/>
        </w:rPr>
        <w:t>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w:t>
      </w:r>
      <w:r w:rsidR="00813B11">
        <w:rPr>
          <w:rFonts w:ascii="仿宋_GB2312" w:eastAsia="仿宋_GB2312" w:hAnsi="仿宋_GB2312" w:cs="仿宋_GB2312" w:hint="eastAsia"/>
          <w:sz w:val="32"/>
          <w:szCs w:val="32"/>
        </w:rPr>
        <w:t>完成年初预算的0%。</w:t>
      </w:r>
      <w:r w:rsidR="005376A0">
        <w:rPr>
          <w:rFonts w:ascii="仿宋_GB2312" w:eastAsia="仿宋_GB2312" w:hAnsi="仿宋_GB2312" w:cs="仿宋_GB2312" w:hint="eastAsia"/>
          <w:sz w:val="32"/>
          <w:szCs w:val="32"/>
        </w:rPr>
        <w:t>2019年决算数与2018年决算数不存在差异。</w:t>
      </w:r>
      <w:r w:rsidR="003F6537">
        <w:rPr>
          <w:rFonts w:ascii="仿宋_GB2312" w:eastAsia="仿宋_GB2312" w:hAnsi="仿宋_GB2312" w:cs="仿宋_GB2312" w:hint="eastAsia"/>
          <w:sz w:val="32"/>
          <w:szCs w:val="32"/>
        </w:rPr>
        <w:t>其中：</w:t>
      </w:r>
    </w:p>
    <w:p w:rsidR="003F6537" w:rsidRDefault="003F6537" w:rsidP="003F653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0万元。2019年共接待国（境）外来访团组0个、来访外宾0人次（不包括陪同人员）。</w:t>
      </w:r>
    </w:p>
    <w:p w:rsidR="005376A0" w:rsidRPr="003F6537" w:rsidRDefault="003F6537" w:rsidP="003F6537">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其他国内公务接待支出</w:t>
      </w:r>
      <w:r>
        <w:rPr>
          <w:rFonts w:ascii="仿宋_GB2312" w:eastAsia="仿宋_GB2312" w:hAnsi="仿宋_GB2312" w:cs="仿宋_GB2312" w:hint="eastAsia"/>
          <w:sz w:val="32"/>
          <w:szCs w:val="32"/>
        </w:rPr>
        <w:t>0万元。2019年共接待国内来访团组0个、来宾0人次（不包括陪同人员）。</w:t>
      </w:r>
    </w:p>
    <w:p w:rsidR="00365161" w:rsidRDefault="00FF669D" w:rsidP="005376A0">
      <w:pPr>
        <w:widowControl/>
        <w:spacing w:line="590" w:lineRule="exact"/>
        <w:ind w:firstLineChars="200" w:firstLine="640"/>
        <w:rPr>
          <w:rFonts w:ascii="黑体" w:eastAsia="黑体" w:hAnsi="黑体" w:cs="黑体"/>
          <w:sz w:val="32"/>
          <w:szCs w:val="32"/>
        </w:rPr>
      </w:pPr>
      <w:r>
        <w:rPr>
          <w:rFonts w:ascii="黑体" w:eastAsia="黑体" w:hAnsi="黑体" w:cs="黑体" w:hint="eastAsia"/>
          <w:sz w:val="32"/>
          <w:szCs w:val="32"/>
        </w:rPr>
        <w:t>八、预算绩效情况说明</w:t>
      </w:r>
    </w:p>
    <w:p w:rsidR="00365161" w:rsidRDefault="00FF669D" w:rsidP="005376A0">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2019年我单位未开展预算绩效管理工作。</w:t>
      </w:r>
    </w:p>
    <w:p w:rsidR="00365161" w:rsidRDefault="00FF669D" w:rsidP="005376A0">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2019年我单位未开展预算绩效评价管理工作。</w:t>
      </w:r>
    </w:p>
    <w:p w:rsidR="00365161" w:rsidRDefault="00FF669D" w:rsidP="005376A0">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2019年我单位未开展重点绩效评价管理工作。</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365161" w:rsidRDefault="00FF669D">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2019年度政府性基金预算财政拨款支出年初预算为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万元，支出决算为224.93万元。主要用于新街拆迁安置超期过渡费。</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365161" w:rsidRDefault="00FF669D">
      <w:pPr>
        <w:widowControl/>
        <w:spacing w:line="590" w:lineRule="exact"/>
        <w:ind w:firstLineChars="200" w:firstLine="640"/>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2019年度机关运行经费年初预算为</w:t>
      </w:r>
      <w:r>
        <w:rPr>
          <w:rFonts w:ascii="仿宋_GB2312" w:eastAsia="仿宋_GB2312" w:hAnsi="仿宋_GB2312" w:cs="仿宋_GB2312"/>
          <w:sz w:val="32"/>
          <w:szCs w:val="32"/>
        </w:rPr>
        <w:t>3.44</w:t>
      </w:r>
      <w:r>
        <w:rPr>
          <w:rFonts w:ascii="仿宋_GB2312" w:eastAsia="仿宋_GB2312" w:hAnsi="仿宋_GB2312" w:cs="仿宋_GB2312" w:hint="eastAsia"/>
          <w:sz w:val="32"/>
          <w:szCs w:val="32"/>
        </w:rPr>
        <w:t>万元，支出决算为</w:t>
      </w:r>
      <w:r>
        <w:rPr>
          <w:rFonts w:ascii="仿宋_GB2312" w:eastAsia="仿宋_GB2312" w:hAnsi="仿宋_GB2312" w:cs="仿宋_GB2312"/>
          <w:sz w:val="32"/>
          <w:szCs w:val="32"/>
        </w:rPr>
        <w:t>3.44</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rsidR="00365161" w:rsidRDefault="00FF669D">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365161" w:rsidRDefault="00FF669D">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期末，我部门共有车辆0辆，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rsidR="00365161" w:rsidRDefault="00365161">
      <w:pPr>
        <w:widowControl/>
        <w:jc w:val="left"/>
        <w:rPr>
          <w:rFonts w:ascii="仿宋_GB2312" w:eastAsia="仿宋_GB2312" w:hAnsi="仿宋_GB2312" w:cs="仿宋_GB2312"/>
          <w:sz w:val="32"/>
          <w:szCs w:val="32"/>
        </w:rPr>
      </w:pPr>
    </w:p>
    <w:p w:rsidR="00365161" w:rsidRDefault="00365161">
      <w:pPr>
        <w:jc w:val="center"/>
        <w:outlineLvl w:val="0"/>
        <w:rPr>
          <w:rFonts w:ascii="黑体" w:eastAsia="黑体" w:hAnsi="黑体" w:cs="黑体"/>
          <w:sz w:val="48"/>
          <w:szCs w:val="48"/>
        </w:rPr>
      </w:pPr>
    </w:p>
    <w:p w:rsidR="00365161" w:rsidRDefault="00365161">
      <w:pPr>
        <w:jc w:val="center"/>
        <w:outlineLvl w:val="0"/>
        <w:rPr>
          <w:rFonts w:ascii="黑体" w:eastAsia="黑体" w:hAnsi="黑体" w:cs="黑体"/>
          <w:sz w:val="48"/>
          <w:szCs w:val="48"/>
        </w:rPr>
      </w:pPr>
    </w:p>
    <w:p w:rsidR="00365161" w:rsidRDefault="00365161">
      <w:pPr>
        <w:jc w:val="center"/>
        <w:outlineLvl w:val="0"/>
        <w:rPr>
          <w:rFonts w:ascii="黑体" w:eastAsia="黑体" w:hAnsi="黑体" w:cs="黑体"/>
          <w:sz w:val="48"/>
          <w:szCs w:val="48"/>
        </w:rPr>
      </w:pPr>
    </w:p>
    <w:p w:rsidR="00365161" w:rsidRDefault="00365161">
      <w:pPr>
        <w:outlineLvl w:val="0"/>
        <w:rPr>
          <w:rFonts w:ascii="黑体" w:eastAsia="黑体" w:hAnsi="黑体" w:cs="黑体"/>
          <w:sz w:val="48"/>
          <w:szCs w:val="48"/>
        </w:rPr>
        <w:sectPr w:rsidR="00365161">
          <w:pgSz w:w="11906" w:h="16838"/>
          <w:pgMar w:top="1440" w:right="1531" w:bottom="1440" w:left="1587" w:header="850" w:footer="992" w:gutter="0"/>
          <w:pgNumType w:fmt="numberInDash"/>
          <w:cols w:space="720"/>
          <w:docGrid w:type="lines" w:linePitch="317"/>
        </w:sect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FF669D">
      <w:pPr>
        <w:widowControl/>
        <w:spacing w:line="590" w:lineRule="exact"/>
        <w:ind w:firstLineChars="200" w:firstLine="960"/>
        <w:jc w:val="center"/>
        <w:rPr>
          <w:rFonts w:ascii="黑体" w:eastAsia="黑体" w:hAnsi="黑体" w:cs="黑体"/>
          <w:sz w:val="48"/>
          <w:szCs w:val="48"/>
        </w:rPr>
      </w:pPr>
      <w:r>
        <w:rPr>
          <w:rFonts w:ascii="黑体" w:eastAsia="黑体" w:hAnsi="黑体" w:cs="黑体" w:hint="eastAsia"/>
          <w:sz w:val="48"/>
          <w:szCs w:val="48"/>
        </w:rPr>
        <w:t>第四部分</w:t>
      </w:r>
      <w:r>
        <w:rPr>
          <w:rFonts w:ascii="黑体" w:eastAsia="黑体" w:hAnsi="黑体" w:cs="黑体"/>
          <w:sz w:val="48"/>
          <w:szCs w:val="48"/>
        </w:rPr>
        <w:t xml:space="preserve">  </w:t>
      </w:r>
      <w:r>
        <w:rPr>
          <w:rFonts w:ascii="黑体" w:eastAsia="黑体" w:hAnsi="黑体" w:cs="黑体" w:hint="eastAsia"/>
          <w:sz w:val="48"/>
          <w:szCs w:val="48"/>
        </w:rPr>
        <w:t>名词解释</w:t>
      </w: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960"/>
        <w:jc w:val="center"/>
        <w:rPr>
          <w:rFonts w:ascii="黑体" w:eastAsia="黑体" w:hAnsi="黑体" w:cs="黑体"/>
          <w:sz w:val="48"/>
          <w:szCs w:val="48"/>
        </w:rPr>
      </w:pPr>
    </w:p>
    <w:p w:rsidR="00365161" w:rsidRDefault="00365161">
      <w:pPr>
        <w:widowControl/>
        <w:spacing w:line="590" w:lineRule="exact"/>
        <w:ind w:firstLineChars="200" w:firstLine="640"/>
        <w:jc w:val="center"/>
        <w:rPr>
          <w:rFonts w:ascii="仿宋_GB2312" w:eastAsia="仿宋_GB2312" w:hAnsi="仿宋_GB2312" w:cs="仿宋_GB2312"/>
          <w:sz w:val="32"/>
          <w:szCs w:val="32"/>
        </w:rPr>
      </w:pP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365161" w:rsidRDefault="00FF669D">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365161" w:rsidRDefault="00365161">
      <w:pPr>
        <w:jc w:val="center"/>
        <w:rPr>
          <w:rFonts w:ascii="黑体" w:eastAsia="黑体" w:hAnsi="黑体" w:cs="黑体"/>
          <w:sz w:val="48"/>
          <w:szCs w:val="48"/>
        </w:rPr>
      </w:pPr>
    </w:p>
    <w:sectPr w:rsidR="00365161" w:rsidSect="00365161">
      <w:pgSz w:w="11906" w:h="16838"/>
      <w:pgMar w:top="1928" w:right="1474" w:bottom="1701"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C2F" w:rsidRDefault="005E2C2F" w:rsidP="005376A0">
      <w:r>
        <w:separator/>
      </w:r>
    </w:p>
  </w:endnote>
  <w:endnote w:type="continuationSeparator" w:id="1">
    <w:p w:rsidR="005E2C2F" w:rsidRDefault="005E2C2F" w:rsidP="00537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C2F" w:rsidRDefault="005E2C2F" w:rsidP="005376A0">
      <w:r>
        <w:separator/>
      </w:r>
    </w:p>
  </w:footnote>
  <w:footnote w:type="continuationSeparator" w:id="1">
    <w:p w:rsidR="005E2C2F" w:rsidRDefault="005E2C2F" w:rsidP="00537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21F13"/>
    <w:multiLevelType w:val="singleLevel"/>
    <w:tmpl w:val="1A621F13"/>
    <w:lvl w:ilvl="0">
      <w:start w:val="1"/>
      <w:numFmt w:val="decimal"/>
      <w:suff w:val="nothing"/>
      <w:lvlText w:val="%1．"/>
      <w:lvlJc w:val="left"/>
      <w:rPr>
        <w:rFonts w:cs="Times New Roman"/>
      </w:rPr>
    </w:lvl>
  </w:abstractNum>
  <w:abstractNum w:abstractNumId="1">
    <w:nsid w:val="5971BE17"/>
    <w:multiLevelType w:val="singleLevel"/>
    <w:tmpl w:val="5971BE17"/>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2103EB5"/>
    <w:rsid w:val="000E198A"/>
    <w:rsid w:val="0019296E"/>
    <w:rsid w:val="001F2BBD"/>
    <w:rsid w:val="00253221"/>
    <w:rsid w:val="002B73CA"/>
    <w:rsid w:val="00300CED"/>
    <w:rsid w:val="00305F17"/>
    <w:rsid w:val="003512F4"/>
    <w:rsid w:val="00365161"/>
    <w:rsid w:val="003660AF"/>
    <w:rsid w:val="003E19A7"/>
    <w:rsid w:val="003F6537"/>
    <w:rsid w:val="004D3621"/>
    <w:rsid w:val="00533AB4"/>
    <w:rsid w:val="005376A0"/>
    <w:rsid w:val="005E2C2F"/>
    <w:rsid w:val="005F01A8"/>
    <w:rsid w:val="006160D1"/>
    <w:rsid w:val="0067066D"/>
    <w:rsid w:val="006C68A4"/>
    <w:rsid w:val="006F5B2A"/>
    <w:rsid w:val="00701207"/>
    <w:rsid w:val="007770E5"/>
    <w:rsid w:val="007C24AA"/>
    <w:rsid w:val="00813B11"/>
    <w:rsid w:val="00927D98"/>
    <w:rsid w:val="009644F5"/>
    <w:rsid w:val="00B81C7D"/>
    <w:rsid w:val="00BE3914"/>
    <w:rsid w:val="00C169A2"/>
    <w:rsid w:val="00C670E6"/>
    <w:rsid w:val="00C82ED4"/>
    <w:rsid w:val="00CD44AD"/>
    <w:rsid w:val="00D22AF1"/>
    <w:rsid w:val="00DA2CB9"/>
    <w:rsid w:val="00DD5880"/>
    <w:rsid w:val="00E04C43"/>
    <w:rsid w:val="00E511E9"/>
    <w:rsid w:val="00E81D4B"/>
    <w:rsid w:val="00EC488A"/>
    <w:rsid w:val="00ED669C"/>
    <w:rsid w:val="00F05D9A"/>
    <w:rsid w:val="00F3778E"/>
    <w:rsid w:val="00FA00C9"/>
    <w:rsid w:val="00FA188D"/>
    <w:rsid w:val="00FB5CCE"/>
    <w:rsid w:val="00FF669D"/>
    <w:rsid w:val="0B070C0E"/>
    <w:rsid w:val="0CA9694B"/>
    <w:rsid w:val="18132DE0"/>
    <w:rsid w:val="1E077622"/>
    <w:rsid w:val="2AC75083"/>
    <w:rsid w:val="35CD66C5"/>
    <w:rsid w:val="39E34B32"/>
    <w:rsid w:val="3C1C4C33"/>
    <w:rsid w:val="527445BB"/>
    <w:rsid w:val="70A65E49"/>
    <w:rsid w:val="72103EB5"/>
    <w:rsid w:val="76313711"/>
    <w:rsid w:val="76737F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footnote reference" w:semiHidden="0" w:unhideWhenUsed="0" w:qFormat="1"/>
    <w:lsdException w:name="annotation reference"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365161"/>
    <w:pPr>
      <w:jc w:val="left"/>
    </w:pPr>
  </w:style>
  <w:style w:type="paragraph" w:styleId="a4">
    <w:name w:val="Balloon Text"/>
    <w:basedOn w:val="a"/>
    <w:link w:val="Char0"/>
    <w:uiPriority w:val="99"/>
    <w:qFormat/>
    <w:rsid w:val="00365161"/>
    <w:rPr>
      <w:sz w:val="18"/>
      <w:szCs w:val="18"/>
    </w:rPr>
  </w:style>
  <w:style w:type="paragraph" w:styleId="a5">
    <w:name w:val="footer"/>
    <w:basedOn w:val="a"/>
    <w:link w:val="Char1"/>
    <w:uiPriority w:val="99"/>
    <w:qFormat/>
    <w:rsid w:val="00365161"/>
    <w:pPr>
      <w:tabs>
        <w:tab w:val="center" w:pos="4153"/>
        <w:tab w:val="right" w:pos="8306"/>
      </w:tabs>
      <w:snapToGrid w:val="0"/>
      <w:jc w:val="left"/>
    </w:pPr>
    <w:rPr>
      <w:sz w:val="18"/>
      <w:szCs w:val="18"/>
    </w:rPr>
  </w:style>
  <w:style w:type="paragraph" w:styleId="a6">
    <w:name w:val="header"/>
    <w:basedOn w:val="a"/>
    <w:link w:val="Char2"/>
    <w:uiPriority w:val="99"/>
    <w:qFormat/>
    <w:rsid w:val="00365161"/>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3"/>
    <w:uiPriority w:val="99"/>
    <w:qFormat/>
    <w:rsid w:val="00365161"/>
    <w:pPr>
      <w:snapToGrid w:val="0"/>
      <w:jc w:val="left"/>
    </w:pPr>
    <w:rPr>
      <w:sz w:val="18"/>
    </w:rPr>
  </w:style>
  <w:style w:type="character" w:styleId="a8">
    <w:name w:val="annotation reference"/>
    <w:basedOn w:val="a0"/>
    <w:uiPriority w:val="99"/>
    <w:qFormat/>
    <w:rsid w:val="00365161"/>
    <w:rPr>
      <w:rFonts w:cs="Times New Roman"/>
      <w:sz w:val="21"/>
      <w:szCs w:val="21"/>
    </w:rPr>
  </w:style>
  <w:style w:type="character" w:styleId="a9">
    <w:name w:val="footnote reference"/>
    <w:basedOn w:val="a0"/>
    <w:uiPriority w:val="99"/>
    <w:qFormat/>
    <w:rsid w:val="00365161"/>
    <w:rPr>
      <w:rFonts w:cs="Times New Roman"/>
      <w:vertAlign w:val="superscript"/>
    </w:rPr>
  </w:style>
  <w:style w:type="character" w:customStyle="1" w:styleId="Char">
    <w:name w:val="批注文字 Char"/>
    <w:basedOn w:val="a0"/>
    <w:link w:val="a3"/>
    <w:uiPriority w:val="99"/>
    <w:semiHidden/>
    <w:qFormat/>
    <w:rsid w:val="00365161"/>
    <w:rPr>
      <w:rFonts w:ascii="Calibri" w:hAnsi="Calibri"/>
    </w:rPr>
  </w:style>
  <w:style w:type="character" w:customStyle="1" w:styleId="Char0">
    <w:name w:val="批注框文本 Char"/>
    <w:basedOn w:val="a0"/>
    <w:link w:val="a4"/>
    <w:uiPriority w:val="99"/>
    <w:qFormat/>
    <w:locked/>
    <w:rsid w:val="00365161"/>
    <w:rPr>
      <w:rFonts w:ascii="Calibri" w:hAnsi="Calibri" w:cs="Times New Roman"/>
      <w:kern w:val="2"/>
      <w:sz w:val="18"/>
      <w:szCs w:val="18"/>
    </w:rPr>
  </w:style>
  <w:style w:type="character" w:customStyle="1" w:styleId="Char1">
    <w:name w:val="页脚 Char"/>
    <w:basedOn w:val="a0"/>
    <w:link w:val="a5"/>
    <w:uiPriority w:val="99"/>
    <w:semiHidden/>
    <w:qFormat/>
    <w:rsid w:val="00365161"/>
    <w:rPr>
      <w:rFonts w:ascii="Calibri" w:hAnsi="Calibri"/>
      <w:sz w:val="18"/>
      <w:szCs w:val="18"/>
    </w:rPr>
  </w:style>
  <w:style w:type="character" w:customStyle="1" w:styleId="Char2">
    <w:name w:val="页眉 Char"/>
    <w:basedOn w:val="a0"/>
    <w:link w:val="a6"/>
    <w:uiPriority w:val="99"/>
    <w:semiHidden/>
    <w:qFormat/>
    <w:rsid w:val="00365161"/>
    <w:rPr>
      <w:rFonts w:ascii="Calibri" w:hAnsi="Calibri"/>
      <w:sz w:val="18"/>
      <w:szCs w:val="18"/>
    </w:rPr>
  </w:style>
  <w:style w:type="character" w:customStyle="1" w:styleId="Char3">
    <w:name w:val="脚注文本 Char"/>
    <w:basedOn w:val="a0"/>
    <w:link w:val="a7"/>
    <w:uiPriority w:val="99"/>
    <w:semiHidden/>
    <w:qFormat/>
    <w:rsid w:val="00365161"/>
    <w:rPr>
      <w:rFonts w:ascii="Calibri" w:hAnsi="Calibri"/>
      <w:sz w:val="18"/>
      <w:szCs w:val="18"/>
    </w:rPr>
  </w:style>
  <w:style w:type="character" w:customStyle="1" w:styleId="font11">
    <w:name w:val="font11"/>
    <w:uiPriority w:val="99"/>
    <w:qFormat/>
    <w:rsid w:val="00365161"/>
    <w:rPr>
      <w:rFonts w:ascii="宋体" w:eastAsia="宋体" w:hAnsi="宋体"/>
      <w:color w:val="000000"/>
      <w:sz w:val="20"/>
      <w:u w:val="none"/>
    </w:rPr>
  </w:style>
  <w:style w:type="character" w:customStyle="1" w:styleId="font01">
    <w:name w:val="font01"/>
    <w:uiPriority w:val="99"/>
    <w:qFormat/>
    <w:rsid w:val="00365161"/>
    <w:rPr>
      <w:rFonts w:ascii="宋体" w:eastAsia="宋体" w:hAnsi="宋体"/>
      <w:color w:val="000000"/>
      <w:sz w:val="22"/>
      <w:u w:val="none"/>
    </w:rPr>
  </w:style>
  <w:style w:type="character" w:customStyle="1" w:styleId="font51">
    <w:name w:val="font51"/>
    <w:uiPriority w:val="99"/>
    <w:qFormat/>
    <w:rsid w:val="00365161"/>
    <w:rPr>
      <w:rFonts w:ascii="宋体" w:eastAsia="宋体" w:hAnsi="宋体"/>
      <w:color w:val="000000"/>
      <w:sz w:val="24"/>
      <w:u w:val="none"/>
    </w:rPr>
  </w:style>
  <w:style w:type="character" w:customStyle="1" w:styleId="font41">
    <w:name w:val="font41"/>
    <w:uiPriority w:val="99"/>
    <w:qFormat/>
    <w:rsid w:val="00365161"/>
    <w:rPr>
      <w:rFonts w:ascii="宋体" w:eastAsia="宋体" w:hAnsi="宋体"/>
      <w:color w:val="000000"/>
      <w:sz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600</Words>
  <Characters>3426</Characters>
  <Application>Microsoft Office Word</Application>
  <DocSecurity>0</DocSecurity>
  <Lines>28</Lines>
  <Paragraphs>8</Paragraphs>
  <ScaleCrop>false</ScaleCrop>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~景小妞~</dc:creator>
  <cp:lastModifiedBy>admin</cp:lastModifiedBy>
  <cp:revision>40</cp:revision>
  <cp:lastPrinted>2019-09-04T07:34:00Z</cp:lastPrinted>
  <dcterms:created xsi:type="dcterms:W3CDTF">2019-09-04T01:35:00Z</dcterms:created>
  <dcterms:modified xsi:type="dcterms:W3CDTF">2020-12-03T09:41:00Z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