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307887">
      <w:pPr>
        <w:jc w:val="center"/>
        <w:rPr>
          <w:rFonts w:ascii="黑体" w:eastAsia="黑体" w:hAnsi="黑体" w:cs="黑体"/>
          <w:sz w:val="52"/>
          <w:szCs w:val="52"/>
        </w:rPr>
      </w:pPr>
      <w:r>
        <w:rPr>
          <w:rFonts w:ascii="黑体" w:eastAsia="黑体" w:hAnsi="黑体" w:cs="黑体" w:hint="eastAsia"/>
          <w:sz w:val="52"/>
          <w:szCs w:val="52"/>
        </w:rPr>
        <w:t>2019</w:t>
      </w:r>
      <w:r>
        <w:rPr>
          <w:rFonts w:ascii="黑体" w:eastAsia="黑体" w:hAnsi="黑体" w:cs="黑体" w:hint="eastAsia"/>
          <w:sz w:val="52"/>
          <w:szCs w:val="52"/>
        </w:rPr>
        <w:t>年度</w:t>
      </w:r>
    </w:p>
    <w:p w:rsidR="00615639" w:rsidRDefault="00307887">
      <w:pPr>
        <w:jc w:val="center"/>
        <w:rPr>
          <w:rFonts w:ascii="黑体" w:eastAsia="黑体" w:hAnsi="黑体" w:cs="黑体"/>
          <w:sz w:val="52"/>
          <w:szCs w:val="52"/>
        </w:rPr>
      </w:pPr>
      <w:r>
        <w:rPr>
          <w:rFonts w:ascii="黑体" w:eastAsia="黑体" w:hAnsi="黑体" w:cs="黑体" w:hint="eastAsia"/>
          <w:sz w:val="52"/>
          <w:szCs w:val="52"/>
        </w:rPr>
        <w:t>南阳高新区建设环保局部门决算</w:t>
      </w:r>
    </w:p>
    <w:p w:rsidR="00615639" w:rsidRDefault="00615639">
      <w:pPr>
        <w:jc w:val="center"/>
        <w:rPr>
          <w:rFonts w:ascii="黑体" w:eastAsia="黑体" w:hAnsi="黑体" w:cs="黑体"/>
          <w:sz w:val="52"/>
          <w:szCs w:val="52"/>
        </w:rPr>
      </w:pPr>
    </w:p>
    <w:p w:rsidR="00615639" w:rsidRDefault="00615639">
      <w:pPr>
        <w:jc w:val="center"/>
        <w:rPr>
          <w:rFonts w:ascii="黑体" w:eastAsia="黑体" w:hAnsi="黑体" w:cs="黑体"/>
          <w:sz w:val="52"/>
          <w:szCs w:val="52"/>
        </w:rPr>
      </w:pPr>
    </w:p>
    <w:p w:rsidR="00615639" w:rsidRDefault="00615639">
      <w:pPr>
        <w:jc w:val="center"/>
        <w:rPr>
          <w:rFonts w:ascii="黑体" w:eastAsia="黑体" w:hAnsi="黑体" w:cs="黑体"/>
          <w:sz w:val="52"/>
          <w:szCs w:val="52"/>
        </w:rPr>
      </w:pPr>
    </w:p>
    <w:p w:rsidR="00615639" w:rsidRDefault="00615639">
      <w:pPr>
        <w:jc w:val="center"/>
        <w:rPr>
          <w:rFonts w:ascii="黑体" w:eastAsia="黑体" w:hAnsi="黑体" w:cs="黑体"/>
          <w:sz w:val="52"/>
          <w:szCs w:val="52"/>
        </w:rPr>
      </w:pPr>
    </w:p>
    <w:p w:rsidR="00615639" w:rsidRDefault="00615639">
      <w:pPr>
        <w:jc w:val="center"/>
        <w:rPr>
          <w:rFonts w:ascii="黑体" w:eastAsia="黑体" w:hAnsi="黑体" w:cs="黑体"/>
          <w:sz w:val="52"/>
          <w:szCs w:val="52"/>
        </w:rPr>
      </w:pPr>
    </w:p>
    <w:p w:rsidR="00615639" w:rsidRDefault="00615639">
      <w:pPr>
        <w:jc w:val="center"/>
        <w:rPr>
          <w:rFonts w:ascii="黑体" w:eastAsia="黑体" w:hAnsi="黑体" w:cs="黑体"/>
          <w:sz w:val="52"/>
          <w:szCs w:val="52"/>
        </w:rPr>
      </w:pPr>
    </w:p>
    <w:p w:rsidR="00615639" w:rsidRDefault="00307887">
      <w:pPr>
        <w:jc w:val="center"/>
        <w:rPr>
          <w:rFonts w:ascii="黑体" w:eastAsia="黑体" w:hAnsi="黑体" w:cs="黑体"/>
          <w:sz w:val="32"/>
          <w:szCs w:val="32"/>
        </w:rPr>
      </w:pPr>
      <w:r>
        <w:rPr>
          <w:rFonts w:ascii="黑体" w:eastAsia="黑体" w:hAnsi="黑体" w:cs="黑体" w:hint="eastAsia"/>
          <w:sz w:val="32"/>
          <w:szCs w:val="32"/>
        </w:rPr>
        <w:t>二〇二〇年九月</w:t>
      </w:r>
    </w:p>
    <w:p w:rsidR="00615639" w:rsidRDefault="00615639"/>
    <w:p w:rsidR="00615639" w:rsidRDefault="00615639"/>
    <w:p w:rsidR="00615639" w:rsidRDefault="00615639"/>
    <w:p w:rsidR="00615639" w:rsidRDefault="00615639"/>
    <w:p w:rsidR="00615639" w:rsidRDefault="00615639">
      <w:pPr>
        <w:jc w:val="center"/>
        <w:rPr>
          <w:rFonts w:ascii="黑体" w:eastAsia="黑体" w:hAnsi="黑体" w:cs="黑体"/>
          <w:sz w:val="36"/>
          <w:szCs w:val="36"/>
        </w:rPr>
        <w:sectPr w:rsidR="00615639">
          <w:pgSz w:w="11906" w:h="16838"/>
          <w:pgMar w:top="1440" w:right="1800" w:bottom="1440" w:left="1800" w:header="720" w:footer="720" w:gutter="0"/>
          <w:pgNumType w:fmt="numberInDash"/>
          <w:cols w:space="720"/>
          <w:docGrid w:type="lines" w:linePitch="312"/>
        </w:sectPr>
      </w:pPr>
    </w:p>
    <w:p w:rsidR="00615639" w:rsidRDefault="00307887">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615639" w:rsidRDefault="00307887">
      <w:pPr>
        <w:jc w:val="left"/>
        <w:rPr>
          <w:rFonts w:ascii="黑体" w:eastAsia="黑体" w:hAnsi="黑体" w:cs="黑体"/>
          <w:sz w:val="32"/>
          <w:szCs w:val="32"/>
        </w:rPr>
      </w:pPr>
      <w:r>
        <w:rPr>
          <w:rFonts w:ascii="黑体" w:eastAsia="黑体" w:hAnsi="黑体" w:cs="黑体" w:hint="eastAsia"/>
          <w:sz w:val="32"/>
          <w:szCs w:val="32"/>
        </w:rPr>
        <w:t>第一部分　　高新区建设环保局概况</w:t>
      </w:r>
    </w:p>
    <w:p w:rsidR="00615639" w:rsidRDefault="00307887">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615639" w:rsidRDefault="00307887">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615639" w:rsidRDefault="00307887">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2019</w:t>
      </w:r>
      <w:r>
        <w:rPr>
          <w:rFonts w:ascii="黑体" w:eastAsia="黑体" w:hAnsi="黑体" w:cs="黑体" w:hint="eastAsia"/>
          <w:sz w:val="32"/>
          <w:szCs w:val="32"/>
        </w:rPr>
        <w:t>年度部门决算表（附件）</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二、收入决算表</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三、支出决算表</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615639" w:rsidRDefault="00307887">
      <w:pPr>
        <w:ind w:firstLineChars="200" w:firstLine="640"/>
        <w:jc w:val="left"/>
        <w:rPr>
          <w:rFonts w:ascii="黑体" w:eastAsia="黑体" w:hAnsi="黑体" w:cs="黑体"/>
          <w:sz w:val="32"/>
          <w:szCs w:val="32"/>
        </w:rPr>
      </w:pPr>
      <w:r>
        <w:rPr>
          <w:rFonts w:ascii="宋体" w:hAnsi="宋体" w:cs="宋体" w:hint="eastAsia"/>
          <w:sz w:val="32"/>
          <w:szCs w:val="32"/>
        </w:rPr>
        <w:t>八、政府性基金预算财政拨款收入支出决算表</w:t>
      </w:r>
    </w:p>
    <w:p w:rsidR="00615639" w:rsidRDefault="00307887">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2019</w:t>
      </w:r>
      <w:r>
        <w:rPr>
          <w:rFonts w:ascii="黑体" w:eastAsia="黑体" w:hAnsi="黑体" w:cs="黑体" w:hint="eastAsia"/>
          <w:sz w:val="32"/>
          <w:szCs w:val="32"/>
        </w:rPr>
        <w:t>年度部门决算情况说明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615639" w:rsidRDefault="00307887">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615639" w:rsidRDefault="00307887">
      <w:pPr>
        <w:jc w:val="left"/>
        <w:rPr>
          <w:rFonts w:ascii="宋体" w:hAnsi="宋体" w:cs="宋体"/>
          <w:sz w:val="32"/>
          <w:szCs w:val="32"/>
        </w:rPr>
      </w:pPr>
      <w:r>
        <w:rPr>
          <w:rFonts w:ascii="黑体" w:eastAsia="黑体" w:hAnsi="黑体" w:cs="黑体" w:hint="eastAsia"/>
          <w:sz w:val="32"/>
          <w:szCs w:val="32"/>
        </w:rPr>
        <w:t>第四部分　　名词解释</w:t>
      </w: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rPr>
          <w:rFonts w:ascii="黑体" w:eastAsia="黑体" w:hAnsi="黑体" w:cs="黑体"/>
          <w:sz w:val="32"/>
          <w:szCs w:val="32"/>
        </w:rPr>
      </w:pPr>
    </w:p>
    <w:p w:rsidR="00615639" w:rsidRDefault="00615639">
      <w:pPr>
        <w:widowControl/>
        <w:jc w:val="left"/>
        <w:rPr>
          <w:rFonts w:ascii="黑体" w:eastAsia="黑体" w:hAnsi="宋体" w:cs="宋体"/>
          <w:kern w:val="0"/>
          <w:sz w:val="28"/>
          <w:szCs w:val="28"/>
        </w:rPr>
      </w:pPr>
    </w:p>
    <w:p w:rsidR="00615639" w:rsidRDefault="00307887">
      <w:pPr>
        <w:widowControl/>
        <w:jc w:val="center"/>
        <w:outlineLvl w:val="0"/>
        <w:rPr>
          <w:rFonts w:ascii="黑体" w:eastAsia="黑体" w:hAnsi="黑体" w:cs="黑体"/>
          <w:sz w:val="48"/>
          <w:szCs w:val="48"/>
        </w:rPr>
      </w:pPr>
      <w:r>
        <w:rPr>
          <w:rFonts w:ascii="黑体" w:eastAsia="黑体" w:hAnsi="黑体" w:cs="黑体" w:hint="eastAsia"/>
          <w:sz w:val="48"/>
          <w:szCs w:val="48"/>
        </w:rPr>
        <w:lastRenderedPageBreak/>
        <w:t>第一部分</w:t>
      </w:r>
      <w:r>
        <w:rPr>
          <w:rFonts w:ascii="黑体" w:eastAsia="黑体" w:hAnsi="黑体" w:cs="黑体" w:hint="eastAsia"/>
          <w:sz w:val="48"/>
          <w:szCs w:val="48"/>
        </w:rPr>
        <w:t xml:space="preserve"> </w:t>
      </w:r>
      <w:r>
        <w:rPr>
          <w:rFonts w:ascii="黑体" w:eastAsia="黑体" w:hAnsi="黑体" w:cs="黑体" w:hint="eastAsia"/>
          <w:sz w:val="48"/>
          <w:szCs w:val="48"/>
        </w:rPr>
        <w:t xml:space="preserve"> </w:t>
      </w:r>
      <w:r>
        <w:rPr>
          <w:rFonts w:ascii="黑体" w:eastAsia="黑体" w:hAnsi="黑体" w:cs="黑体" w:hint="eastAsia"/>
          <w:sz w:val="48"/>
          <w:szCs w:val="48"/>
        </w:rPr>
        <w:t>高新区建设环保局概况</w:t>
      </w:r>
    </w:p>
    <w:p w:rsidR="00615639" w:rsidRDefault="00307887">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cs="黑体" w:hint="eastAsia"/>
          <w:sz w:val="32"/>
          <w:szCs w:val="32"/>
        </w:rPr>
        <w:t>部门职责</w:t>
      </w:r>
    </w:p>
    <w:p w:rsidR="00615639" w:rsidRDefault="00307887">
      <w:pPr>
        <w:widowControl/>
        <w:spacing w:line="590" w:lineRule="exact"/>
        <w:ind w:firstLineChars="200" w:firstLine="640"/>
        <w:rPr>
          <w:rFonts w:ascii="仿宋_GB2312" w:eastAsia="仿宋_GB2312"/>
          <w:spacing w:val="20"/>
          <w:kern w:val="0"/>
          <w:sz w:val="32"/>
          <w:szCs w:val="32"/>
        </w:rPr>
      </w:pPr>
      <w:r>
        <w:rPr>
          <w:rFonts w:ascii="仿宋_GB2312" w:eastAsia="仿宋_GB2312" w:hAnsi="仿宋_GB2312" w:cs="仿宋_GB2312" w:hint="eastAsia"/>
          <w:sz w:val="32"/>
          <w:szCs w:val="32"/>
        </w:rPr>
        <w:t>负责核发建筑业《工程建设许可证》，接收工程竣工验收备案，建筑工地施工安全管理，牵头农民工工资清欠，燃气管理，环境保护工作。</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二、</w:t>
      </w:r>
      <w:r>
        <w:rPr>
          <w:rFonts w:ascii="黑体" w:eastAsia="黑体" w:hAnsi="黑体" w:cs="黑体" w:hint="eastAsia"/>
          <w:sz w:val="32"/>
          <w:szCs w:val="32"/>
        </w:rPr>
        <w:t>机构设置</w:t>
      </w:r>
    </w:p>
    <w:p w:rsidR="00615639" w:rsidRDefault="0030788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南阳高新技术产业开发区</w:t>
      </w:r>
      <w:r>
        <w:rPr>
          <w:rFonts w:ascii="仿宋_GB2312" w:eastAsia="仿宋_GB2312" w:hint="eastAsia"/>
          <w:spacing w:val="20"/>
          <w:kern w:val="0"/>
          <w:sz w:val="32"/>
          <w:szCs w:val="32"/>
        </w:rPr>
        <w:t>建设环保局</w:t>
      </w:r>
      <w:r>
        <w:rPr>
          <w:rFonts w:ascii="仿宋_GB2312" w:eastAsia="仿宋_GB2312" w:hAnsi="仿宋_GB2312" w:cs="仿宋_GB2312" w:hint="eastAsia"/>
          <w:sz w:val="32"/>
          <w:szCs w:val="32"/>
        </w:rPr>
        <w:t>无内设机构。</w:t>
      </w:r>
    </w:p>
    <w:p w:rsidR="00615639" w:rsidRDefault="0030788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从决算单位构成来看，</w:t>
      </w:r>
      <w:r>
        <w:rPr>
          <w:rFonts w:ascii="仿宋_GB2312" w:eastAsia="仿宋_GB2312" w:hAnsi="仿宋_GB2312" w:cs="仿宋_GB2312" w:hint="eastAsia"/>
          <w:kern w:val="0"/>
          <w:sz w:val="32"/>
          <w:szCs w:val="32"/>
        </w:rPr>
        <w:t>南阳高新技术产业开发区</w:t>
      </w:r>
      <w:r>
        <w:rPr>
          <w:rFonts w:ascii="仿宋_GB2312" w:eastAsia="仿宋_GB2312" w:hint="eastAsia"/>
          <w:spacing w:val="20"/>
          <w:kern w:val="0"/>
          <w:sz w:val="32"/>
          <w:szCs w:val="32"/>
        </w:rPr>
        <w:t>建设环保局</w:t>
      </w:r>
      <w:r>
        <w:rPr>
          <w:rFonts w:ascii="仿宋_GB2312" w:eastAsia="仿宋_GB2312" w:hAnsi="仿宋_GB2312" w:cs="仿宋_GB2312" w:hint="eastAsia"/>
          <w:sz w:val="32"/>
          <w:szCs w:val="32"/>
        </w:rPr>
        <w:t>部门决算包括：本级决算。</w:t>
      </w:r>
    </w:p>
    <w:p w:rsidR="00615639" w:rsidRDefault="0030788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年度部门决算编制范围的单位共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个，具体是：</w:t>
      </w:r>
    </w:p>
    <w:p w:rsidR="00615639" w:rsidRDefault="0030788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南阳高新技术产业开发区</w:t>
      </w:r>
      <w:r>
        <w:rPr>
          <w:rFonts w:ascii="仿宋_GB2312" w:eastAsia="仿宋_GB2312" w:hint="eastAsia"/>
          <w:spacing w:val="20"/>
          <w:kern w:val="0"/>
          <w:sz w:val="32"/>
          <w:szCs w:val="32"/>
        </w:rPr>
        <w:t>建设环保局</w:t>
      </w:r>
      <w:r>
        <w:rPr>
          <w:rFonts w:ascii="仿宋_GB2312" w:eastAsia="仿宋_GB2312" w:hAnsi="仿宋_GB2312" w:cs="仿宋_GB2312" w:hint="eastAsia"/>
          <w:sz w:val="32"/>
          <w:szCs w:val="32"/>
        </w:rPr>
        <w:t>本级</w:t>
      </w: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307887">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2019</w:t>
      </w:r>
      <w:r>
        <w:rPr>
          <w:rFonts w:ascii="黑体" w:eastAsia="黑体" w:hAnsi="黑体" w:cs="黑体" w:hint="eastAsia"/>
          <w:sz w:val="48"/>
          <w:szCs w:val="48"/>
        </w:rPr>
        <w:t>年度部门决算表</w:t>
      </w:r>
    </w:p>
    <w:p w:rsidR="00615639" w:rsidRDefault="00615639">
      <w:pPr>
        <w:spacing w:line="600" w:lineRule="exact"/>
        <w:ind w:firstLineChars="200" w:firstLine="720"/>
        <w:jc w:val="center"/>
        <w:rPr>
          <w:rFonts w:ascii="仿宋_GB2312" w:eastAsia="仿宋_GB2312"/>
          <w:spacing w:val="20"/>
          <w:kern w:val="0"/>
          <w:sz w:val="32"/>
          <w:szCs w:val="32"/>
        </w:rPr>
      </w:pPr>
    </w:p>
    <w:p w:rsidR="00615639" w:rsidRDefault="00307887">
      <w:pPr>
        <w:spacing w:line="600" w:lineRule="exact"/>
        <w:ind w:firstLineChars="200" w:firstLine="960"/>
        <w:jc w:val="center"/>
        <w:rPr>
          <w:rFonts w:ascii="仿宋" w:eastAsia="仿宋" w:hAnsi="仿宋"/>
          <w:spacing w:val="20"/>
          <w:kern w:val="0"/>
          <w:sz w:val="44"/>
          <w:szCs w:val="44"/>
        </w:rPr>
      </w:pPr>
      <w:r>
        <w:rPr>
          <w:rFonts w:ascii="仿宋" w:eastAsia="仿宋" w:hAnsi="仿宋" w:hint="eastAsia"/>
          <w:spacing w:val="20"/>
          <w:kern w:val="0"/>
          <w:sz w:val="44"/>
          <w:szCs w:val="44"/>
        </w:rPr>
        <w:t>见附件</w:t>
      </w: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615639">
      <w:pPr>
        <w:widowControl/>
        <w:jc w:val="left"/>
        <w:rPr>
          <w:rFonts w:ascii="黑体" w:eastAsia="黑体" w:hAnsi="宋体" w:cs="宋体"/>
          <w:kern w:val="0"/>
          <w:sz w:val="28"/>
          <w:szCs w:val="28"/>
        </w:rPr>
      </w:pPr>
    </w:p>
    <w:p w:rsidR="00615639" w:rsidRDefault="00307887">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2019</w:t>
      </w:r>
      <w:r>
        <w:rPr>
          <w:rFonts w:ascii="黑体" w:eastAsia="黑体" w:hAnsi="黑体" w:cs="黑体" w:hint="eastAsia"/>
          <w:sz w:val="48"/>
          <w:szCs w:val="48"/>
        </w:rPr>
        <w:t>年度部门决算情况说明</w:t>
      </w: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615639">
      <w:pPr>
        <w:widowControl/>
        <w:jc w:val="left"/>
        <w:rPr>
          <w:rFonts w:ascii="黑体" w:eastAsia="黑体" w:hAnsi="黑体" w:cs="黑体"/>
          <w:sz w:val="48"/>
          <w:szCs w:val="48"/>
        </w:rPr>
      </w:pP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615639" w:rsidRDefault="003078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年度收、支总计均为</w:t>
      </w:r>
      <w:r>
        <w:rPr>
          <w:rFonts w:ascii="仿宋_GB2312" w:eastAsia="仿宋_GB2312" w:hAnsi="仿宋_GB2312" w:cs="仿宋_GB2312" w:hint="eastAsia"/>
          <w:sz w:val="32"/>
          <w:szCs w:val="32"/>
        </w:rPr>
        <w:t>32281.55</w:t>
      </w:r>
      <w:r>
        <w:rPr>
          <w:rFonts w:ascii="仿宋_GB2312" w:eastAsia="仿宋_GB2312" w:hAnsi="仿宋_GB2312" w:cs="仿宋_GB2312" w:hint="eastAsia"/>
          <w:sz w:val="32"/>
          <w:szCs w:val="32"/>
        </w:rPr>
        <w:t>万元。与上年度相比，收、支总计各增加</w:t>
      </w:r>
      <w:r>
        <w:rPr>
          <w:rFonts w:ascii="仿宋_GB2312" w:eastAsia="仿宋_GB2312" w:hAnsi="仿宋_GB2312" w:cs="仿宋_GB2312" w:hint="eastAsia"/>
          <w:sz w:val="32"/>
          <w:szCs w:val="32"/>
        </w:rPr>
        <w:t>30296.74</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1526.43%</w:t>
      </w:r>
      <w:r>
        <w:rPr>
          <w:rFonts w:ascii="仿宋_GB2312" w:eastAsia="仿宋_GB2312" w:hAnsi="仿宋_GB2312" w:cs="仿宋_GB2312" w:hint="eastAsia"/>
          <w:sz w:val="32"/>
          <w:szCs w:val="32"/>
        </w:rPr>
        <w:t>。主要原因是政府性基金拨款用于棚户区改造征地和拆迁补偿支出等。</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615639" w:rsidRDefault="003078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年度收入合计</w:t>
      </w:r>
      <w:r>
        <w:rPr>
          <w:rFonts w:ascii="仿宋_GB2312" w:eastAsia="仿宋_GB2312" w:hAnsi="仿宋_GB2312" w:cs="仿宋_GB2312" w:hint="eastAsia"/>
          <w:sz w:val="32"/>
          <w:szCs w:val="32"/>
        </w:rPr>
        <w:t>32279.5</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hint="eastAsia"/>
          <w:sz w:val="32"/>
          <w:szCs w:val="32"/>
        </w:rPr>
        <w:t>32279.5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32279.5</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197.75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0.61%</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32081.75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99.39%</w:t>
      </w:r>
      <w:r>
        <w:rPr>
          <w:rFonts w:ascii="仿宋_GB2312" w:eastAsia="仿宋_GB2312" w:hAnsi="仿宋_GB2312" w:cs="仿宋_GB2312" w:hint="eastAsia"/>
          <w:sz w:val="32"/>
          <w:szCs w:val="32"/>
        </w:rPr>
        <w:t>。</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年度财政拨款收、支总计均为</w:t>
      </w:r>
      <w:r>
        <w:rPr>
          <w:rFonts w:ascii="仿宋_GB2312" w:eastAsia="仿宋_GB2312" w:hAnsi="仿宋_GB2312" w:cs="仿宋_GB2312" w:hint="eastAsia"/>
          <w:sz w:val="32"/>
          <w:szCs w:val="32"/>
        </w:rPr>
        <w:t>32281.55</w:t>
      </w:r>
      <w:r>
        <w:rPr>
          <w:rFonts w:ascii="仿宋_GB2312" w:eastAsia="仿宋_GB2312" w:hAnsi="仿宋_GB2312" w:cs="仿宋_GB2312" w:hint="eastAsia"/>
          <w:sz w:val="32"/>
          <w:szCs w:val="32"/>
        </w:rPr>
        <w:t>万元。与上年度相比，财政拨款收、支总计各增加</w:t>
      </w:r>
      <w:r>
        <w:rPr>
          <w:rFonts w:ascii="仿宋_GB2312" w:eastAsia="仿宋_GB2312" w:hAnsi="仿宋_GB2312" w:cs="仿宋_GB2312" w:hint="eastAsia"/>
          <w:sz w:val="32"/>
          <w:szCs w:val="32"/>
        </w:rPr>
        <w:t>30300.74</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1529.71%</w:t>
      </w:r>
      <w:r>
        <w:rPr>
          <w:rFonts w:ascii="仿宋_GB2312" w:eastAsia="仿宋_GB2312" w:hAnsi="仿宋_GB2312" w:cs="仿宋_GB2312" w:hint="eastAsia"/>
          <w:sz w:val="32"/>
          <w:szCs w:val="32"/>
        </w:rPr>
        <w:t>。主要原因是政府性基金拨款用于棚户区改造征地和拆迁补偿支出等。</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615639" w:rsidRDefault="003078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2279.5</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7.06%</w:t>
      </w:r>
      <w:r>
        <w:rPr>
          <w:rFonts w:ascii="仿宋_GB2312" w:eastAsia="仿宋_GB2312" w:hAnsi="仿宋_GB2312" w:cs="仿宋_GB2312" w:hint="eastAsia"/>
          <w:sz w:val="32"/>
          <w:szCs w:val="32"/>
        </w:rPr>
        <w:t>。与上年度相比，一般公共预算财政拨款支出增加</w:t>
      </w:r>
      <w:r>
        <w:rPr>
          <w:rFonts w:ascii="仿宋_GB2312" w:eastAsia="仿宋_GB2312" w:hAnsi="仿宋_GB2312" w:cs="仿宋_GB2312" w:hint="eastAsia"/>
          <w:sz w:val="32"/>
          <w:szCs w:val="32"/>
        </w:rPr>
        <w:t>1053.42</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85.92%</w:t>
      </w:r>
      <w:r>
        <w:rPr>
          <w:rFonts w:ascii="仿宋_GB2312" w:eastAsia="仿宋_GB2312" w:hAnsi="仿宋_GB2312" w:cs="仿宋_GB2312" w:hint="eastAsia"/>
          <w:sz w:val="32"/>
          <w:szCs w:val="32"/>
        </w:rPr>
        <w:t>。主要原因是污染防治水体治理、保障性安居工程棚户区改造支出增加。</w:t>
      </w:r>
    </w:p>
    <w:p w:rsidR="00615639" w:rsidRDefault="003078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2279.5</w:t>
      </w:r>
      <w:r>
        <w:rPr>
          <w:rFonts w:ascii="仿宋_GB2312" w:eastAsia="仿宋_GB2312" w:hAnsi="仿宋_GB2312" w:cs="仿宋_GB2312" w:hint="eastAsia"/>
          <w:sz w:val="32"/>
          <w:szCs w:val="32"/>
        </w:rPr>
        <w:t>万元，主要用于以下方面：社会保障和就业（类）支出</w:t>
      </w:r>
      <w:r>
        <w:rPr>
          <w:rFonts w:ascii="仿宋_GB2312" w:eastAsia="仿宋_GB2312" w:hAnsi="仿宋_GB2312" w:cs="仿宋_GB2312" w:hint="eastAsia"/>
          <w:sz w:val="32"/>
          <w:szCs w:val="32"/>
        </w:rPr>
        <w:t>23.7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；卫生健康（类）支出</w:t>
      </w:r>
      <w:r>
        <w:rPr>
          <w:rFonts w:ascii="仿宋_GB2312" w:eastAsia="仿宋_GB2312" w:hAnsi="仿宋_GB2312" w:cs="仿宋_GB2312" w:hint="eastAsia"/>
          <w:sz w:val="32"/>
          <w:szCs w:val="32"/>
        </w:rPr>
        <w:t>5.11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0.23%</w:t>
      </w:r>
      <w:r>
        <w:rPr>
          <w:rFonts w:ascii="仿宋_GB2312" w:eastAsia="仿宋_GB2312" w:hAnsi="仿宋_GB2312" w:cs="仿宋_GB2312" w:hint="eastAsia"/>
          <w:sz w:val="32"/>
          <w:szCs w:val="32"/>
        </w:rPr>
        <w:t>；节能环保（类）支出</w:t>
      </w:r>
      <w:r>
        <w:rPr>
          <w:rFonts w:ascii="仿宋_GB2312" w:eastAsia="仿宋_GB2312" w:hAnsi="仿宋_GB2312" w:cs="仿宋_GB2312" w:hint="eastAsia"/>
          <w:sz w:val="32"/>
          <w:szCs w:val="32"/>
        </w:rPr>
        <w:t>822.53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36.08%</w:t>
      </w:r>
      <w:r>
        <w:rPr>
          <w:rFonts w:ascii="仿宋_GB2312" w:eastAsia="仿宋_GB2312" w:hAnsi="仿宋_GB2312" w:cs="仿宋_GB2312" w:hint="eastAsia"/>
          <w:sz w:val="32"/>
          <w:szCs w:val="32"/>
        </w:rPr>
        <w:t>；城乡社区（类）支出</w:t>
      </w:r>
      <w:r>
        <w:rPr>
          <w:rFonts w:ascii="仿宋_GB2312" w:eastAsia="仿宋_GB2312" w:hAnsi="仿宋_GB2312" w:cs="仿宋_GB2312" w:hint="eastAsia"/>
          <w:sz w:val="32"/>
          <w:szCs w:val="32"/>
        </w:rPr>
        <w:t>274.12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12.03%</w:t>
      </w:r>
      <w:r>
        <w:rPr>
          <w:rFonts w:ascii="仿宋_GB2312" w:eastAsia="仿宋_GB2312" w:hAnsi="仿宋_GB2312" w:cs="仿宋_GB2312" w:hint="eastAsia"/>
          <w:sz w:val="32"/>
          <w:szCs w:val="32"/>
        </w:rPr>
        <w:t>；农林水（类）支出</w:t>
      </w:r>
      <w:r>
        <w:rPr>
          <w:rFonts w:ascii="仿宋_GB2312" w:eastAsia="仿宋_GB2312" w:hAnsi="仿宋_GB2312" w:cs="仿宋_GB2312" w:hint="eastAsia"/>
          <w:sz w:val="32"/>
          <w:szCs w:val="32"/>
        </w:rPr>
        <w:t>3.76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0.16%</w:t>
      </w:r>
      <w:r>
        <w:rPr>
          <w:rFonts w:ascii="仿宋_GB2312" w:eastAsia="仿宋_GB2312" w:hAnsi="仿宋_GB2312" w:cs="仿宋_GB2312" w:hint="eastAsia"/>
          <w:sz w:val="32"/>
          <w:szCs w:val="32"/>
        </w:rPr>
        <w:t>；住房保障（类）支出</w:t>
      </w:r>
      <w:r>
        <w:rPr>
          <w:rFonts w:ascii="仿宋_GB2312" w:eastAsia="仿宋_GB2312" w:hAnsi="仿宋_GB2312" w:cs="仿宋_GB2312" w:hint="eastAsia"/>
          <w:sz w:val="32"/>
          <w:szCs w:val="32"/>
        </w:rPr>
        <w:t>1150.2</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50.46%</w:t>
      </w:r>
      <w:r>
        <w:rPr>
          <w:rFonts w:ascii="仿宋_GB2312" w:eastAsia="仿宋_GB2312" w:hAnsi="仿宋_GB2312" w:cs="仿宋_GB2312" w:hint="eastAsia"/>
          <w:sz w:val="32"/>
          <w:szCs w:val="32"/>
        </w:rPr>
        <w:t>。</w:t>
      </w:r>
    </w:p>
    <w:p w:rsidR="00615639" w:rsidRDefault="003078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年度一般公共预算财政拨款支出年初预算为</w:t>
      </w:r>
      <w:r>
        <w:rPr>
          <w:rFonts w:ascii="仿宋_GB2312" w:eastAsia="仿宋_GB2312" w:hint="eastAsia"/>
          <w:spacing w:val="20"/>
          <w:kern w:val="0"/>
          <w:sz w:val="32"/>
          <w:szCs w:val="32"/>
        </w:rPr>
        <w:t>689.69</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2279.5</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330.51%</w:t>
      </w:r>
      <w:r>
        <w:rPr>
          <w:rFonts w:ascii="仿宋_GB2312" w:eastAsia="仿宋_GB2312" w:hAnsi="仿宋_GB2312" w:cs="仿宋_GB2312" w:hint="eastAsia"/>
          <w:sz w:val="32"/>
          <w:szCs w:val="32"/>
        </w:rPr>
        <w:t>。其中：</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．社会保障和就业（类）行政事业单位离退休（款）</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机关事业单位基本养老保险缴费支出（项），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17.79</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16.93</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95.17%</w:t>
      </w:r>
      <w:r>
        <w:rPr>
          <w:rFonts w:ascii="仿宋_GB2312" w:eastAsia="仿宋_GB2312" w:hAnsi="仿宋_GB2312" w:cs="仿宋_GB2312" w:hint="eastAsia"/>
          <w:sz w:val="32"/>
          <w:szCs w:val="32"/>
        </w:rPr>
        <w:t>。决算数与年初预算数存在差异的主要原因是根据社保要求调整了年度养老保险金数据。</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．社会保障和就业（类）行政事业单位离退休（款）</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机关事业单位职业年金缴费支出（项），</w:t>
      </w:r>
      <w:r>
        <w:rPr>
          <w:rFonts w:ascii="仿宋_GB2312" w:eastAsia="仿宋_GB2312" w:hAnsi="仿宋_GB2312" w:cs="仿宋_GB2312" w:hint="eastAsia"/>
          <w:sz w:val="32"/>
          <w:szCs w:val="32"/>
        </w:rPr>
        <w:t>年初</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7.12</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6.77</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95.08%</w:t>
      </w:r>
      <w:r>
        <w:rPr>
          <w:rFonts w:ascii="仿宋_GB2312" w:eastAsia="仿宋_GB2312" w:hAnsi="仿宋_GB2312" w:cs="仿宋_GB2312" w:hint="eastAsia"/>
          <w:sz w:val="32"/>
          <w:szCs w:val="32"/>
        </w:rPr>
        <w:t>。决算数与年初预算数存在差异的主要原因是根据社保要求调整了年度职业年金的数据。</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．卫生健康支出（类）行政事业单位医疗（款）行政单位医疗（项）。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5.67</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5.11</w:t>
      </w:r>
      <w:r>
        <w:rPr>
          <w:rFonts w:ascii="仿宋_GB2312" w:eastAsia="仿宋_GB2312" w:hAnsi="仿宋_GB2312" w:cs="仿宋_GB2312" w:hint="eastAsia"/>
          <w:sz w:val="32"/>
          <w:szCs w:val="32"/>
        </w:rPr>
        <w:lastRenderedPageBreak/>
        <w:t>万元，完成年初预算的</w:t>
      </w:r>
      <w:r>
        <w:rPr>
          <w:rFonts w:ascii="仿宋_GB2312" w:eastAsia="仿宋_GB2312" w:hAnsi="仿宋_GB2312" w:cs="仿宋_GB2312" w:hint="eastAsia"/>
          <w:sz w:val="32"/>
          <w:szCs w:val="32"/>
        </w:rPr>
        <w:t>90.12%</w:t>
      </w:r>
      <w:r>
        <w:rPr>
          <w:rFonts w:ascii="仿宋_GB2312" w:eastAsia="仿宋_GB2312" w:hAnsi="仿宋_GB2312" w:cs="仿宋_GB2312" w:hint="eastAsia"/>
          <w:sz w:val="32"/>
          <w:szCs w:val="32"/>
        </w:rPr>
        <w:t>。决算数与年初预算数存在差异的主要原因是根据社保要求调整了行政单位医疗的数据。</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节能环保（类）环境保护管理事务（款）一般行政管理事务（项），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189.06</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94.53%</w:t>
      </w:r>
      <w:r>
        <w:rPr>
          <w:rFonts w:ascii="仿宋_GB2312" w:eastAsia="仿宋_GB2312" w:hAnsi="仿宋_GB2312" w:cs="仿宋_GB2312" w:hint="eastAsia"/>
          <w:sz w:val="32"/>
          <w:szCs w:val="32"/>
        </w:rPr>
        <w:t>。决</w:t>
      </w:r>
      <w:r>
        <w:rPr>
          <w:rFonts w:ascii="仿宋_GB2312" w:eastAsia="仿宋_GB2312" w:hAnsi="仿宋_GB2312" w:cs="仿宋_GB2312" w:hint="eastAsia"/>
          <w:sz w:val="32"/>
          <w:szCs w:val="32"/>
        </w:rPr>
        <w:t>算数与年初预算数存在差异的主要原因是项目资金节约。</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节能环保（类）环境监测与监察（款）建设项目环评审查与监督（项），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14.98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99.87%</w:t>
      </w:r>
      <w:r>
        <w:rPr>
          <w:rFonts w:ascii="仿宋_GB2312" w:eastAsia="仿宋_GB2312" w:hAnsi="仿宋_GB2312" w:cs="仿宋_GB2312" w:hint="eastAsia"/>
          <w:sz w:val="32"/>
          <w:szCs w:val="32"/>
        </w:rPr>
        <w:t>。决算数与预算数基本持平。</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节能环保（类）污染防治（款）大气（项），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65.1</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65.1%</w:t>
      </w:r>
      <w:r>
        <w:rPr>
          <w:rFonts w:ascii="仿宋_GB2312" w:eastAsia="仿宋_GB2312" w:hAnsi="仿宋_GB2312" w:cs="仿宋_GB2312" w:hint="eastAsia"/>
          <w:sz w:val="32"/>
          <w:szCs w:val="32"/>
        </w:rPr>
        <w:t>。决算数与年初预算数存在差异的主要原因是工作资金支出按工作进度支付，相关工作正在进行中。</w:t>
      </w:r>
    </w:p>
    <w:p w:rsidR="00615639" w:rsidRDefault="00307887">
      <w:pPr>
        <w:widowControl/>
        <w:spacing w:line="590" w:lineRule="exact"/>
        <w:ind w:firstLineChars="200" w:firstLine="643"/>
        <w:rPr>
          <w:rFonts w:ascii="仿宋_GB2312" w:eastAsia="仿宋_GB2312" w:hAnsi="仿宋_GB2312" w:cs="仿宋_GB2312"/>
          <w:sz w:val="32"/>
          <w:szCs w:val="32"/>
          <w:highlight w:val="yellow"/>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节能环保（类）污染防治（款）水体（项）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441.18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551.48%</w:t>
      </w:r>
      <w:r>
        <w:rPr>
          <w:rFonts w:ascii="仿宋_GB2312" w:eastAsia="仿宋_GB2312" w:hAnsi="仿宋_GB2312" w:cs="仿宋_GB2312" w:hint="eastAsia"/>
          <w:sz w:val="32"/>
          <w:szCs w:val="32"/>
        </w:rPr>
        <w:t>。决算数与年初预算数存在差异的主要原因是该项上级下达专项资金。</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节能环保（类）自然生态保护（款）农村环境保护（项），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112.2</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11220%</w:t>
      </w:r>
      <w:r>
        <w:rPr>
          <w:rFonts w:ascii="仿宋_GB2312" w:eastAsia="仿宋_GB2312" w:hAnsi="仿宋_GB2312" w:cs="仿宋_GB2312" w:hint="eastAsia"/>
          <w:sz w:val="32"/>
          <w:szCs w:val="32"/>
        </w:rPr>
        <w:t>。决算数与预算数存在差异的主要原因是上级下达专项资金。</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城乡社区（类）城乡社区管理事务（款）行政运行（项），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149.84</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158.65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完成年初预算的</w:t>
      </w:r>
      <w:r>
        <w:rPr>
          <w:rFonts w:ascii="仿宋_GB2312" w:eastAsia="仿宋_GB2312" w:hAnsi="仿宋_GB2312" w:cs="仿宋_GB2312" w:hint="eastAsia"/>
          <w:sz w:val="32"/>
          <w:szCs w:val="32"/>
        </w:rPr>
        <w:t>105.88%</w:t>
      </w:r>
      <w:r>
        <w:rPr>
          <w:rFonts w:ascii="仿宋_GB2312" w:eastAsia="仿宋_GB2312" w:hAnsi="仿宋_GB2312" w:cs="仿宋_GB2312" w:hint="eastAsia"/>
          <w:sz w:val="32"/>
          <w:szCs w:val="32"/>
        </w:rPr>
        <w:t>。决算数与年初预算数存在差异的主要原因是人员工资</w:t>
      </w:r>
      <w:r>
        <w:rPr>
          <w:rFonts w:ascii="仿宋_GB2312" w:eastAsia="仿宋_GB2312" w:hAnsi="仿宋_GB2312" w:cs="仿宋_GB2312" w:hint="eastAsia"/>
          <w:sz w:val="32"/>
          <w:szCs w:val="32"/>
        </w:rPr>
        <w:t>调增。</w:t>
      </w:r>
    </w:p>
    <w:p w:rsidR="00615639" w:rsidRDefault="00307887">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城乡社区（类）城乡社区管理事务（款）一般行政管理事务（项），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89.4</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88.51</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。决算数与年初预算数基本持平</w:t>
      </w:r>
      <w:r>
        <w:rPr>
          <w:rFonts w:ascii="仿宋_GB2312" w:eastAsia="仿宋_GB2312" w:hAnsi="仿宋_GB2312" w:cs="仿宋_GB2312" w:hint="eastAsia"/>
          <w:b/>
          <w:bCs/>
          <w:sz w:val="32"/>
          <w:szCs w:val="32"/>
        </w:rPr>
        <w:t>。</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城乡社区（类）城乡社区公共设施（款）其他城乡社区公共设施支出（项），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 xml:space="preserve"> 26.95</w:t>
      </w:r>
      <w:r>
        <w:rPr>
          <w:rFonts w:ascii="仿宋_GB2312" w:eastAsia="仿宋_GB2312" w:hAnsi="仿宋_GB2312" w:cs="仿宋_GB2312" w:hint="eastAsia"/>
          <w:sz w:val="32"/>
          <w:szCs w:val="32"/>
        </w:rPr>
        <w:t>万元。决算数与年初预算数存在差异的主要原因是上级下达专项资金</w:t>
      </w:r>
      <w:r>
        <w:rPr>
          <w:rFonts w:ascii="仿宋_GB2312" w:eastAsia="仿宋_GB2312" w:hAnsi="仿宋_GB2312" w:cs="仿宋_GB2312" w:hint="eastAsia"/>
          <w:b/>
          <w:bCs/>
          <w:sz w:val="32"/>
          <w:szCs w:val="32"/>
        </w:rPr>
        <w:t>。</w:t>
      </w:r>
    </w:p>
    <w:p w:rsidR="00615639" w:rsidRDefault="00307887">
      <w:pPr>
        <w:widowControl/>
        <w:spacing w:line="590" w:lineRule="exact"/>
        <w:ind w:firstLineChars="200" w:firstLine="643"/>
        <w:rPr>
          <w:rFonts w:ascii="仿宋_GB2312" w:eastAsia="仿宋_GB2312" w:hAnsi="仿宋_GB2312" w:cs="仿宋_GB2312"/>
          <w:sz w:val="32"/>
          <w:szCs w:val="32"/>
          <w:highlight w:val="yellow"/>
        </w:rPr>
      </w:pPr>
      <w:r>
        <w:rPr>
          <w:rFonts w:ascii="仿宋_GB2312" w:eastAsia="仿宋_GB2312" w:hAnsi="仿宋_GB2312" w:cs="仿宋_GB2312" w:hint="eastAsia"/>
          <w:b/>
          <w:bCs/>
          <w:sz w:val="32"/>
          <w:szCs w:val="32"/>
        </w:rPr>
        <w:t>13.</w:t>
      </w:r>
      <w:r>
        <w:rPr>
          <w:rFonts w:ascii="仿宋_GB2312" w:eastAsia="仿宋_GB2312" w:hAnsi="仿宋_GB2312" w:cs="仿宋_GB2312" w:hint="eastAsia"/>
          <w:b/>
          <w:bCs/>
          <w:sz w:val="32"/>
          <w:szCs w:val="32"/>
        </w:rPr>
        <w:t>农林水（类）其他农林水（款）其他农林水（项），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3.76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 xml:space="preserve"> 3.76</w:t>
      </w:r>
      <w:r>
        <w:rPr>
          <w:rFonts w:ascii="仿宋_GB2312" w:eastAsia="仿宋_GB2312" w:hAnsi="仿宋_GB2312" w:cs="仿宋_GB2312" w:hint="eastAsia"/>
          <w:sz w:val="32"/>
          <w:szCs w:val="32"/>
        </w:rPr>
        <w:t>万元。决算数与预算数基本持平</w:t>
      </w:r>
      <w:r>
        <w:rPr>
          <w:rFonts w:ascii="仿宋_GB2312" w:eastAsia="仿宋_GB2312" w:hAnsi="仿宋_GB2312" w:cs="仿宋_GB2312" w:hint="eastAsia"/>
          <w:b/>
          <w:bCs/>
          <w:sz w:val="32"/>
          <w:szCs w:val="32"/>
        </w:rPr>
        <w:t>。</w:t>
      </w:r>
    </w:p>
    <w:p w:rsidR="00615639" w:rsidRDefault="00307887">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b/>
          <w:bCs/>
          <w:sz w:val="32"/>
          <w:szCs w:val="32"/>
        </w:rPr>
        <w:t>住房保障（类）保障性安居工程（款）棚户区改造（项），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1140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114000%</w:t>
      </w:r>
      <w:r>
        <w:rPr>
          <w:rFonts w:ascii="仿宋_GB2312" w:eastAsia="仿宋_GB2312" w:hAnsi="仿宋_GB2312" w:cs="仿宋_GB2312" w:hint="eastAsia"/>
          <w:sz w:val="32"/>
          <w:szCs w:val="32"/>
        </w:rPr>
        <w:t>。决算数与年初预算数存在差异的主要原因是上级下达专项资金。</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15. </w:t>
      </w:r>
      <w:r>
        <w:rPr>
          <w:rFonts w:ascii="仿宋_GB2312" w:eastAsia="仿宋_GB2312" w:hAnsi="仿宋_GB2312" w:cs="仿宋_GB2312" w:hint="eastAsia"/>
          <w:b/>
          <w:bCs/>
          <w:sz w:val="32"/>
          <w:szCs w:val="32"/>
        </w:rPr>
        <w:t>住房保障（类）住房改革（款）住房公积金（项），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10.67</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10.28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96.34%</w:t>
      </w:r>
      <w:r>
        <w:rPr>
          <w:rFonts w:ascii="仿宋_GB2312" w:eastAsia="仿宋_GB2312" w:hAnsi="仿宋_GB2312" w:cs="仿宋_GB2312" w:hint="eastAsia"/>
          <w:sz w:val="32"/>
          <w:szCs w:val="32"/>
        </w:rPr>
        <w:t>。决算数与年初预算数存在差异的主要原因是根据社保要求调整了住房公积金的数据。</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hint="eastAsia"/>
          <w:sz w:val="32"/>
          <w:szCs w:val="32"/>
        </w:rPr>
        <w:t>197.75</w:t>
      </w:r>
      <w:r>
        <w:rPr>
          <w:rFonts w:ascii="仿宋_GB2312" w:eastAsia="仿宋_GB2312" w:hAnsi="仿宋_GB2312" w:cs="仿宋_GB2312" w:hint="eastAsia"/>
          <w:sz w:val="32"/>
          <w:szCs w:val="32"/>
        </w:rPr>
        <w:t>万元。其中：人员</w:t>
      </w:r>
      <w:r>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188.08</w:t>
      </w:r>
      <w:r>
        <w:rPr>
          <w:rFonts w:ascii="仿宋_GB2312" w:eastAsia="仿宋_GB2312" w:hAnsi="仿宋_GB2312" w:cs="仿宋_GB2312" w:hint="eastAsia"/>
          <w:sz w:val="32"/>
          <w:szCs w:val="32"/>
        </w:rPr>
        <w:t>万元，主要包括：基本工资、津贴</w:t>
      </w:r>
      <w:r>
        <w:rPr>
          <w:rFonts w:ascii="仿宋_GB2312" w:eastAsia="仿宋_GB2312" w:hAnsi="仿宋_GB2312" w:cs="仿宋_GB2312" w:hint="eastAsia"/>
          <w:sz w:val="32"/>
          <w:szCs w:val="32"/>
        </w:rPr>
        <w:lastRenderedPageBreak/>
        <w:t>补贴、奖金、机关事业单位基本养老保险缴费、职业年金缴费、职工基本医疗保险缴费、住房公积金、其他工资福利支出、退休费、奖励金；公用经费</w:t>
      </w:r>
      <w:r>
        <w:rPr>
          <w:rFonts w:ascii="仿宋_GB2312" w:eastAsia="仿宋_GB2312" w:hAnsi="仿宋_GB2312" w:cs="仿宋_GB2312" w:hint="eastAsia"/>
          <w:sz w:val="32"/>
          <w:szCs w:val="32"/>
        </w:rPr>
        <w:t>9.67</w:t>
      </w:r>
      <w:r>
        <w:rPr>
          <w:rFonts w:ascii="仿宋_GB2312" w:eastAsia="仿宋_GB2312" w:hAnsi="仿宋_GB2312" w:cs="仿宋_GB2312" w:hint="eastAsia"/>
          <w:sz w:val="32"/>
          <w:szCs w:val="32"/>
        </w:rPr>
        <w:t>万元，主要包括：办公费、印刷费、咨询费、邮电费、维修（护）费、培训费、劳务费、工会经费、其他交通费用、其他商品和服务支出、办公设备购置。</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615639" w:rsidRDefault="003078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万元，完成预</w:t>
      </w:r>
      <w:r>
        <w:rPr>
          <w:rFonts w:ascii="仿宋_GB2312" w:eastAsia="仿宋_GB2312" w:hAnsi="仿宋_GB2312" w:cs="仿宋_GB2312" w:hint="eastAsia"/>
          <w:sz w:val="32"/>
          <w:szCs w:val="32"/>
        </w:rPr>
        <w:t>算的</w:t>
      </w:r>
      <w:r>
        <w:rPr>
          <w:rFonts w:ascii="仿宋_GB2312" w:eastAsia="仿宋_GB2312" w:hAnsi="仿宋_GB2312" w:cs="仿宋_GB2312" w:hint="eastAsia"/>
          <w:sz w:val="32"/>
          <w:szCs w:val="32"/>
        </w:rPr>
        <w:t>49.6%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019</w:t>
      </w:r>
      <w:r>
        <w:rPr>
          <w:rFonts w:ascii="仿宋_GB2312" w:eastAsia="仿宋_GB2312" w:hAnsi="仿宋_GB2312" w:cs="仿宋_GB2312" w:hint="eastAsia"/>
          <w:sz w:val="32"/>
          <w:szCs w:val="32"/>
        </w:rPr>
        <w:t>年度“三公”经费支出决算数与预算数存在差异的主要原因是：公务用车购置及运行费用减少；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年度“三公”经费支出决算数</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年决算数相比减少</w:t>
      </w:r>
      <w:r>
        <w:rPr>
          <w:rFonts w:ascii="仿宋_GB2312" w:eastAsia="仿宋_GB2312" w:hAnsi="仿宋_GB2312" w:cs="仿宋_GB2312" w:hint="eastAsia"/>
          <w:sz w:val="32"/>
          <w:szCs w:val="32"/>
        </w:rPr>
        <w:t>0.44</w:t>
      </w:r>
      <w:r>
        <w:rPr>
          <w:rFonts w:ascii="仿宋_GB2312" w:eastAsia="仿宋_GB2312" w:hAnsi="仿宋_GB2312" w:cs="仿宋_GB2312" w:hint="eastAsia"/>
          <w:sz w:val="32"/>
          <w:szCs w:val="32"/>
        </w:rPr>
        <w:t>万，减少</w:t>
      </w:r>
      <w:r>
        <w:rPr>
          <w:rFonts w:ascii="仿宋_GB2312" w:eastAsia="仿宋_GB2312" w:hAnsi="仿宋_GB2312" w:cs="仿宋_GB2312" w:hint="eastAsia"/>
          <w:sz w:val="32"/>
          <w:szCs w:val="32"/>
        </w:rPr>
        <w:t>26.19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存在差异的主要原因是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行政单位公车改革进一步深化，压减公务用车运行费开支。</w:t>
      </w:r>
    </w:p>
    <w:p w:rsidR="00615639" w:rsidRDefault="003078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年度“三公”经费财政拨款支出决算中，公务用车购置及运行费支出决算</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49.6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年决算数相比减少</w:t>
      </w:r>
      <w:r>
        <w:rPr>
          <w:rFonts w:ascii="仿宋_GB2312" w:eastAsia="仿宋_GB2312" w:hAnsi="仿宋_GB2312" w:cs="仿宋_GB2312" w:hint="eastAsia"/>
          <w:sz w:val="32"/>
          <w:szCs w:val="32"/>
        </w:rPr>
        <w:t>0.44</w:t>
      </w:r>
      <w:r>
        <w:rPr>
          <w:rFonts w:ascii="仿宋_GB2312" w:eastAsia="仿宋_GB2312" w:hAnsi="仿宋_GB2312" w:cs="仿宋_GB2312" w:hint="eastAsia"/>
          <w:sz w:val="32"/>
          <w:szCs w:val="32"/>
        </w:rPr>
        <w:t>万，减少</w:t>
      </w:r>
      <w:r>
        <w:rPr>
          <w:rFonts w:ascii="仿宋_GB2312" w:eastAsia="仿宋_GB2312" w:hAnsi="仿宋_GB2312" w:cs="仿宋_GB2312" w:hint="eastAsia"/>
          <w:sz w:val="32"/>
          <w:szCs w:val="32"/>
        </w:rPr>
        <w:t>26.19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。具体情况如下：</w:t>
      </w:r>
    </w:p>
    <w:p w:rsidR="00615639" w:rsidRDefault="00307887">
      <w:pPr>
        <w:widowControl/>
        <w:numPr>
          <w:ilvl w:val="0"/>
          <w:numId w:val="2"/>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年决算数相比不存在差异。具体情况如下：</w:t>
      </w:r>
      <w:r>
        <w:rPr>
          <w:rFonts w:ascii="仿宋_GB2312" w:eastAsia="仿宋_GB2312" w:hAnsi="仿宋_GB2312" w:cs="仿宋_GB2312" w:hint="eastAsia"/>
          <w:sz w:val="32"/>
          <w:szCs w:val="32"/>
        </w:rPr>
        <w:t xml:space="preserve"> </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p>
    <w:p w:rsidR="00615639" w:rsidRDefault="00307887">
      <w:pPr>
        <w:widowControl/>
        <w:numPr>
          <w:ilvl w:val="0"/>
          <w:numId w:val="2"/>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49.6%</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年决算数相比减少</w:t>
      </w:r>
      <w:r>
        <w:rPr>
          <w:rFonts w:ascii="仿宋_GB2312" w:eastAsia="仿宋_GB2312" w:hAnsi="仿宋_GB2312" w:cs="仿宋_GB2312" w:hint="eastAsia"/>
          <w:sz w:val="32"/>
          <w:szCs w:val="32"/>
        </w:rPr>
        <w:t>0.44</w:t>
      </w:r>
      <w:r>
        <w:rPr>
          <w:rFonts w:ascii="仿宋_GB2312" w:eastAsia="仿宋_GB2312" w:hAnsi="仿宋_GB2312" w:cs="仿宋_GB2312" w:hint="eastAsia"/>
          <w:sz w:val="32"/>
          <w:szCs w:val="32"/>
        </w:rPr>
        <w:t>万，减少</w:t>
      </w:r>
      <w:r>
        <w:rPr>
          <w:rFonts w:ascii="仿宋_GB2312" w:eastAsia="仿宋_GB2312" w:hAnsi="仿宋_GB2312" w:cs="仿宋_GB2312" w:hint="eastAsia"/>
          <w:sz w:val="32"/>
          <w:szCs w:val="32"/>
        </w:rPr>
        <w:t>26.19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615639" w:rsidRDefault="00307887" w:rsidP="00C9623B">
      <w:pPr>
        <w:widowControl/>
        <w:spacing w:line="590" w:lineRule="exact"/>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年决算数相比不存在差异。</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年决算数相比减少</w:t>
      </w:r>
      <w:r>
        <w:rPr>
          <w:rFonts w:ascii="仿宋_GB2312" w:eastAsia="仿宋_GB2312" w:hAnsi="仿宋_GB2312" w:cs="仿宋_GB2312" w:hint="eastAsia"/>
          <w:sz w:val="32"/>
          <w:szCs w:val="32"/>
        </w:rPr>
        <w:t>0.44</w:t>
      </w:r>
      <w:r>
        <w:rPr>
          <w:rFonts w:ascii="仿宋_GB2312" w:eastAsia="仿宋_GB2312" w:hAnsi="仿宋_GB2312" w:cs="仿宋_GB2312" w:hint="eastAsia"/>
          <w:sz w:val="32"/>
          <w:szCs w:val="32"/>
        </w:rPr>
        <w:t>万，减少</w:t>
      </w:r>
      <w:r>
        <w:rPr>
          <w:rFonts w:ascii="仿宋_GB2312" w:eastAsia="仿宋_GB2312" w:hAnsi="仿宋_GB2312" w:cs="仿宋_GB2312" w:hint="eastAsia"/>
          <w:sz w:val="32"/>
          <w:szCs w:val="32"/>
        </w:rPr>
        <w:t>26.19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。主要用于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机关日常公务</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公务用车运行维（修）护。</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年期末，部门开支财政拨款的公务用车保有量为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w:t>
      </w:r>
    </w:p>
    <w:p w:rsidR="00615639" w:rsidRDefault="00307887">
      <w:pPr>
        <w:widowControl/>
        <w:numPr>
          <w:ilvl w:val="0"/>
          <w:numId w:val="2"/>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。决算数与预算数不存在差异。</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年决算数与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年决算数不存在差异。原因是：认真执行中央八项规定，减少公务接待费用。</w:t>
      </w:r>
    </w:p>
    <w:p w:rsidR="00615639" w:rsidRDefault="00307887" w:rsidP="00C9623B">
      <w:pPr>
        <w:widowControl/>
        <w:spacing w:line="590" w:lineRule="exact"/>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615639" w:rsidRDefault="00307887">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年共接待国内来访团组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615639" w:rsidRDefault="003078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615639" w:rsidRDefault="00307887">
      <w:pPr>
        <w:widowControl/>
        <w:spacing w:line="59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年我单位未开展预算绩效管理工作。</w:t>
      </w:r>
    </w:p>
    <w:p w:rsidR="00615639" w:rsidRDefault="003078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（二）项目绩效自评结果。</w:t>
      </w:r>
    </w:p>
    <w:p w:rsidR="00615639" w:rsidRDefault="00307887">
      <w:pPr>
        <w:widowControl/>
        <w:spacing w:line="59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年我单位未开展预算绩效评价管理工作。</w:t>
      </w:r>
    </w:p>
    <w:p w:rsidR="00615639" w:rsidRDefault="003078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615639" w:rsidRDefault="00307887">
      <w:pPr>
        <w:widowControl/>
        <w:spacing w:line="59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年我单位未开展重点绩效评价管理工作。</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年度政府性基金预算财政拨款支出年初预算为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30000</w:t>
      </w:r>
      <w:r>
        <w:rPr>
          <w:rFonts w:ascii="仿宋_GB2312" w:eastAsia="仿宋_GB2312" w:hAnsi="仿宋_GB2312" w:cs="仿宋_GB2312" w:hint="eastAsia"/>
          <w:sz w:val="32"/>
          <w:szCs w:val="32"/>
        </w:rPr>
        <w:t>万元。主要用于棚户区改造征地和拆迁补偿支出等。</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615639" w:rsidRDefault="00307887">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年度机关运行经费年初预算为</w:t>
      </w:r>
      <w:r>
        <w:rPr>
          <w:rFonts w:ascii="仿宋_GB2312" w:eastAsia="仿宋_GB2312" w:hAnsi="仿宋_GB2312" w:cs="仿宋_GB2312" w:hint="eastAsia"/>
          <w:sz w:val="32"/>
          <w:szCs w:val="32"/>
        </w:rPr>
        <w:t>8.95</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8.07</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90.17%</w:t>
      </w:r>
      <w:r>
        <w:rPr>
          <w:rFonts w:ascii="仿宋_GB2312" w:eastAsia="仿宋_GB2312" w:hAnsi="仿宋_GB2312" w:cs="仿宋_GB2312" w:hint="eastAsia"/>
          <w:sz w:val="32"/>
          <w:szCs w:val="32"/>
        </w:rPr>
        <w:t>。决算数与年初预算数存在差异的主要原因是压减一般性支出。</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615639" w:rsidRDefault="003078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rPr>
        <w:t>714.05</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691.60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22.45</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615639" w:rsidRDefault="003078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615639" w:rsidRDefault="00307887">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年期末，我部门共有车辆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辆，其中：</w:t>
      </w:r>
      <w:r>
        <w:rPr>
          <w:rFonts w:ascii="仿宋_GB2312" w:eastAsia="仿宋_GB2312" w:hAnsi="仿宋_GB2312" w:cs="仿宋_GB2312" w:hint="eastAsia"/>
          <w:sz w:val="32"/>
          <w:szCs w:val="32"/>
        </w:rPr>
        <w:t>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lastRenderedPageBreak/>
        <w:t>元以上通用设备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台（套）。（说明：上述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辆车已于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年由管委会统一进行拍卖出售，现有公务用车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辆为</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月因工作需要由管委会调拨我单位使用。）</w:t>
      </w:r>
      <w:r>
        <w:rPr>
          <w:rFonts w:ascii="仿宋_GB2312" w:eastAsia="仿宋_GB2312" w:hAnsi="仿宋_GB2312" w:cs="仿宋_GB2312" w:hint="eastAsia"/>
          <w:sz w:val="32"/>
          <w:szCs w:val="32"/>
        </w:rPr>
        <w:t xml:space="preserve"> </w:t>
      </w: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bookmarkStart w:id="0" w:name="_GoBack"/>
      <w:bookmarkEnd w:id="0"/>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615639" w:rsidRDefault="00615639">
      <w:pPr>
        <w:widowControl/>
        <w:spacing w:line="590" w:lineRule="exact"/>
        <w:ind w:firstLineChars="200" w:firstLine="640"/>
        <w:outlineLvl w:val="1"/>
        <w:rPr>
          <w:rFonts w:ascii="仿宋_GB2312" w:eastAsia="仿宋_GB2312" w:hAnsi="仿宋_GB2312" w:cs="仿宋_GB2312"/>
          <w:sz w:val="32"/>
          <w:szCs w:val="32"/>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C9623B" w:rsidRDefault="00C9623B">
      <w:pPr>
        <w:widowControl/>
        <w:spacing w:line="590" w:lineRule="exact"/>
        <w:ind w:firstLineChars="200" w:firstLine="960"/>
        <w:jc w:val="center"/>
        <w:outlineLvl w:val="1"/>
        <w:rPr>
          <w:rFonts w:ascii="黑体" w:eastAsia="黑体" w:hAnsi="黑体" w:cs="黑体" w:hint="eastAsia"/>
          <w:sz w:val="48"/>
          <w:szCs w:val="48"/>
        </w:rPr>
      </w:pPr>
    </w:p>
    <w:p w:rsidR="00615639" w:rsidRDefault="00307887">
      <w:pPr>
        <w:widowControl/>
        <w:spacing w:line="590" w:lineRule="exact"/>
        <w:ind w:firstLineChars="200" w:firstLine="960"/>
        <w:jc w:val="center"/>
        <w:outlineLvl w:val="1"/>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615639">
      <w:pPr>
        <w:widowControl/>
        <w:spacing w:line="590" w:lineRule="exact"/>
        <w:ind w:firstLineChars="200" w:firstLine="960"/>
        <w:jc w:val="center"/>
        <w:outlineLvl w:val="1"/>
        <w:rPr>
          <w:rFonts w:ascii="黑体" w:eastAsia="黑体" w:hAnsi="黑体" w:cs="黑体"/>
          <w:sz w:val="48"/>
          <w:szCs w:val="48"/>
        </w:rPr>
      </w:pP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w:t>
      </w:r>
      <w:r>
        <w:rPr>
          <w:rFonts w:ascii="仿宋_GB2312" w:eastAsia="仿宋_GB2312" w:hAnsi="仿宋_GB2312" w:cs="仿宋_GB2312" w:hint="eastAsia"/>
          <w:sz w:val="32"/>
          <w:szCs w:val="32"/>
        </w:rPr>
        <w:t>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w:t>
      </w:r>
      <w:r>
        <w:rPr>
          <w:rFonts w:ascii="仿宋_GB2312" w:eastAsia="仿宋_GB2312" w:hAnsi="仿宋_GB2312" w:cs="仿宋_GB2312" w:hint="eastAsia"/>
          <w:sz w:val="32"/>
          <w:szCs w:val="32"/>
        </w:rPr>
        <w:t>管理费、公务用车运行维护费以及其他费用。</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615639" w:rsidRDefault="003078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615639" w:rsidSect="0061563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87" w:rsidRDefault="00307887" w:rsidP="00615639">
      <w:r>
        <w:separator/>
      </w:r>
    </w:p>
  </w:endnote>
  <w:endnote w:type="continuationSeparator" w:id="0">
    <w:p w:rsidR="00307887" w:rsidRDefault="00307887" w:rsidP="006156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39" w:rsidRDefault="006156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87" w:rsidRDefault="00307887" w:rsidP="00615639">
      <w:r>
        <w:separator/>
      </w:r>
    </w:p>
  </w:footnote>
  <w:footnote w:type="continuationSeparator" w:id="0">
    <w:p w:rsidR="00307887" w:rsidRDefault="00307887" w:rsidP="00615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FDAAC"/>
    <w:multiLevelType w:val="singleLevel"/>
    <w:tmpl w:val="4A4FDAAC"/>
    <w:lvl w:ilvl="0">
      <w:start w:val="1"/>
      <w:numFmt w:val="decimal"/>
      <w:suff w:val="nothing"/>
      <w:lvlText w:val="%1．"/>
      <w:lvlJc w:val="left"/>
    </w:lvl>
  </w:abstractNum>
  <w:abstractNum w:abstractNumId="1">
    <w:nsid w:val="5971BE17"/>
    <w:multiLevelType w:val="singleLevel"/>
    <w:tmpl w:val="5971BE17"/>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99A02E7"/>
    <w:rsid w:val="0002492B"/>
    <w:rsid w:val="000D3F25"/>
    <w:rsid w:val="00280B8D"/>
    <w:rsid w:val="002F112D"/>
    <w:rsid w:val="00307887"/>
    <w:rsid w:val="004269FE"/>
    <w:rsid w:val="004E7B11"/>
    <w:rsid w:val="00563D04"/>
    <w:rsid w:val="00615639"/>
    <w:rsid w:val="00730C2E"/>
    <w:rsid w:val="007A338F"/>
    <w:rsid w:val="007B4E04"/>
    <w:rsid w:val="008B199C"/>
    <w:rsid w:val="00A3667D"/>
    <w:rsid w:val="00C01243"/>
    <w:rsid w:val="00C9623B"/>
    <w:rsid w:val="00D803B5"/>
    <w:rsid w:val="00F75731"/>
    <w:rsid w:val="03B8080A"/>
    <w:rsid w:val="04884D20"/>
    <w:rsid w:val="04F13413"/>
    <w:rsid w:val="075E419A"/>
    <w:rsid w:val="097B1E5F"/>
    <w:rsid w:val="09EB0644"/>
    <w:rsid w:val="0A4A5C05"/>
    <w:rsid w:val="0A7A7F35"/>
    <w:rsid w:val="0ADD3300"/>
    <w:rsid w:val="0B3243F9"/>
    <w:rsid w:val="0EAB5B84"/>
    <w:rsid w:val="100A3998"/>
    <w:rsid w:val="10AC700D"/>
    <w:rsid w:val="113629DC"/>
    <w:rsid w:val="12CE550A"/>
    <w:rsid w:val="143336A4"/>
    <w:rsid w:val="14751603"/>
    <w:rsid w:val="152D58CE"/>
    <w:rsid w:val="16B9312A"/>
    <w:rsid w:val="18B24B6C"/>
    <w:rsid w:val="1F461EA1"/>
    <w:rsid w:val="29691064"/>
    <w:rsid w:val="2C203486"/>
    <w:rsid w:val="2DCE791B"/>
    <w:rsid w:val="32760B74"/>
    <w:rsid w:val="333C5BC9"/>
    <w:rsid w:val="34F27D54"/>
    <w:rsid w:val="357D5465"/>
    <w:rsid w:val="35895392"/>
    <w:rsid w:val="3DEF22BB"/>
    <w:rsid w:val="3E1B5F37"/>
    <w:rsid w:val="44492612"/>
    <w:rsid w:val="47033FB1"/>
    <w:rsid w:val="48894852"/>
    <w:rsid w:val="49B843C1"/>
    <w:rsid w:val="49FC76A4"/>
    <w:rsid w:val="4ED10D17"/>
    <w:rsid w:val="4FF55E8F"/>
    <w:rsid w:val="507E6053"/>
    <w:rsid w:val="52E458E9"/>
    <w:rsid w:val="54366F32"/>
    <w:rsid w:val="559770E7"/>
    <w:rsid w:val="55B85ED0"/>
    <w:rsid w:val="57F617FC"/>
    <w:rsid w:val="58827127"/>
    <w:rsid w:val="5C303ED9"/>
    <w:rsid w:val="5C7104AC"/>
    <w:rsid w:val="5E247EEF"/>
    <w:rsid w:val="637D5C00"/>
    <w:rsid w:val="63E664FD"/>
    <w:rsid w:val="65A64520"/>
    <w:rsid w:val="65BF3DFC"/>
    <w:rsid w:val="65D742AB"/>
    <w:rsid w:val="675366F7"/>
    <w:rsid w:val="6A2E00C7"/>
    <w:rsid w:val="6AD12572"/>
    <w:rsid w:val="6B333801"/>
    <w:rsid w:val="6CEF69B7"/>
    <w:rsid w:val="6E675C65"/>
    <w:rsid w:val="6E946CB2"/>
    <w:rsid w:val="702415C5"/>
    <w:rsid w:val="70BD621C"/>
    <w:rsid w:val="71204799"/>
    <w:rsid w:val="723B3D6B"/>
    <w:rsid w:val="72C77B4C"/>
    <w:rsid w:val="72F642D2"/>
    <w:rsid w:val="78046669"/>
    <w:rsid w:val="78D15606"/>
    <w:rsid w:val="799A02E7"/>
    <w:rsid w:val="7CC23FCF"/>
    <w:rsid w:val="7DB54D99"/>
    <w:rsid w:val="7DEB5357"/>
    <w:rsid w:val="7F306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uiPriority="99" w:unhideWhenUsed="1" w:qFormat="1"/>
    <w:lsdException w:name="header" w:qFormat="1"/>
    <w:lsdException w:name="footer" w:qFormat="1"/>
    <w:lsdException w:name="caption" w:semiHidden="1" w:unhideWhenUsed="1" w:qFormat="1"/>
    <w:lsdException w:name="footnote reference" w:uiPriority="99" w:unhideWhenUsed="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63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615639"/>
    <w:pPr>
      <w:jc w:val="left"/>
    </w:pPr>
  </w:style>
  <w:style w:type="paragraph" w:styleId="a4">
    <w:name w:val="footer"/>
    <w:basedOn w:val="a"/>
    <w:qFormat/>
    <w:rsid w:val="00615639"/>
    <w:pPr>
      <w:tabs>
        <w:tab w:val="center" w:pos="4153"/>
        <w:tab w:val="right" w:pos="8306"/>
      </w:tabs>
      <w:snapToGrid w:val="0"/>
      <w:jc w:val="left"/>
    </w:pPr>
    <w:rPr>
      <w:sz w:val="18"/>
    </w:rPr>
  </w:style>
  <w:style w:type="paragraph" w:styleId="a5">
    <w:name w:val="header"/>
    <w:basedOn w:val="a"/>
    <w:qFormat/>
    <w:rsid w:val="0061563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615639"/>
    <w:pPr>
      <w:jc w:val="left"/>
    </w:pPr>
    <w:rPr>
      <w:kern w:val="0"/>
      <w:sz w:val="24"/>
    </w:rPr>
  </w:style>
  <w:style w:type="character" w:styleId="a7">
    <w:name w:val="FollowedHyperlink"/>
    <w:basedOn w:val="a0"/>
    <w:qFormat/>
    <w:rsid w:val="00615639"/>
    <w:rPr>
      <w:color w:val="800080"/>
      <w:u w:val="none"/>
    </w:rPr>
  </w:style>
  <w:style w:type="character" w:styleId="a8">
    <w:name w:val="Hyperlink"/>
    <w:basedOn w:val="a0"/>
    <w:qFormat/>
    <w:rsid w:val="00615639"/>
    <w:rPr>
      <w:color w:val="0000FF"/>
      <w:u w:val="none"/>
    </w:rPr>
  </w:style>
  <w:style w:type="character" w:customStyle="1" w:styleId="y-active">
    <w:name w:val="y-active"/>
    <w:basedOn w:val="a0"/>
    <w:qFormat/>
    <w:rsid w:val="00615639"/>
    <w:rPr>
      <w:color w:val="FFFFFF"/>
    </w:rPr>
  </w:style>
  <w:style w:type="character" w:customStyle="1" w:styleId="li-tm">
    <w:name w:val="li-tm"/>
    <w:basedOn w:val="a0"/>
    <w:qFormat/>
    <w:rsid w:val="00615639"/>
    <w:rPr>
      <w:color w:val="A7A7A7"/>
      <w:sz w:val="14"/>
      <w:szCs w:val="14"/>
    </w:rPr>
  </w:style>
  <w:style w:type="character" w:customStyle="1" w:styleId="icon">
    <w:name w:val="icon"/>
    <w:basedOn w:val="a0"/>
    <w:qFormat/>
    <w:rsid w:val="00615639"/>
  </w:style>
  <w:style w:type="character" w:customStyle="1" w:styleId="icon1">
    <w:name w:val="icon1"/>
    <w:basedOn w:val="a0"/>
    <w:qFormat/>
    <w:rsid w:val="00615639"/>
  </w:style>
  <w:style w:type="character" w:customStyle="1" w:styleId="pos">
    <w:name w:val="pos"/>
    <w:basedOn w:val="a0"/>
    <w:qFormat/>
    <w:rsid w:val="00615639"/>
    <w:rPr>
      <w:color w:val="666666"/>
      <w:sz w:val="14"/>
      <w:szCs w:val="14"/>
    </w:rPr>
  </w:style>
  <w:style w:type="character" w:customStyle="1" w:styleId="working">
    <w:name w:val="working"/>
    <w:basedOn w:val="a0"/>
    <w:qFormat/>
    <w:rsid w:val="00615639"/>
    <w:rPr>
      <w:color w:val="959595"/>
    </w:rPr>
  </w:style>
  <w:style w:type="character" w:customStyle="1" w:styleId="name">
    <w:name w:val="name"/>
    <w:basedOn w:val="a0"/>
    <w:qFormat/>
    <w:rsid w:val="00615639"/>
    <w:rPr>
      <w:color w:val="333333"/>
      <w:sz w:val="19"/>
      <w:szCs w:val="19"/>
    </w:rPr>
  </w:style>
  <w:style w:type="character" w:customStyle="1" w:styleId="small-tit">
    <w:name w:val="small-tit"/>
    <w:basedOn w:val="a0"/>
    <w:qFormat/>
    <w:rsid w:val="00615639"/>
    <w:rPr>
      <w:color w:val="898989"/>
    </w:rPr>
  </w:style>
  <w:style w:type="character" w:customStyle="1" w:styleId="gwdsnopic">
    <w:name w:val="gwds_nopic"/>
    <w:basedOn w:val="a0"/>
    <w:qFormat/>
    <w:rsid w:val="00615639"/>
  </w:style>
  <w:style w:type="character" w:customStyle="1" w:styleId="gwdsnopic1">
    <w:name w:val="gwds_nopic1"/>
    <w:basedOn w:val="a0"/>
    <w:qFormat/>
    <w:rsid w:val="00615639"/>
  </w:style>
  <w:style w:type="character" w:customStyle="1" w:styleId="gwdsnopic2">
    <w:name w:val="gwds_nopic2"/>
    <w:basedOn w:val="a0"/>
    <w:qFormat/>
    <w:rsid w:val="0061563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850</Words>
  <Characters>4846</Characters>
  <Application>Microsoft Office Word</Application>
  <DocSecurity>0</DocSecurity>
  <Lines>40</Lines>
  <Paragraphs>11</Paragraphs>
  <ScaleCrop>false</ScaleCrop>
  <Company>Microsoft</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夏日阳光</dc:creator>
  <cp:lastModifiedBy>Administrator</cp:lastModifiedBy>
  <cp:revision>26</cp:revision>
  <cp:lastPrinted>2019-09-04T09:15:00Z</cp:lastPrinted>
  <dcterms:created xsi:type="dcterms:W3CDTF">2019-09-03T09:32:00Z</dcterms:created>
  <dcterms:modified xsi:type="dcterms:W3CDTF">2020-11-04T10:04:00Z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