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7</w:t>
      </w:r>
      <w:r>
        <w:rPr>
          <w:rFonts w:hint="eastAsia" w:asciiTheme="majorEastAsia" w:hAnsiTheme="majorEastAsia" w:eastAsiaTheme="majorEastAsia"/>
          <w:sz w:val="44"/>
          <w:szCs w:val="44"/>
        </w:rPr>
        <w:t>年高新区政府决算公开目录</w:t>
      </w:r>
    </w:p>
    <w:p>
      <w:pPr>
        <w:spacing w:line="220" w:lineRule="atLeast"/>
        <w:ind w:firstLine="640" w:firstLineChars="200"/>
        <w:rPr>
          <w:rFonts w:hint="eastAsia"/>
          <w:sz w:val="32"/>
          <w:szCs w:val="32"/>
        </w:rPr>
      </w:pPr>
    </w:p>
    <w:p>
      <w:pPr>
        <w:spacing w:line="220" w:lineRule="atLeas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一、区级政府决算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1、2017年度南阳高新区总决算。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2、2017年高新区三公经费支出情况说明。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3、2017年高新区预算绩效评价开展情况说明。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4、高新区2017年决算收支情况说明和2018年上半年预算执行情况说明。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5、高新区2017年转移支付情况说明。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6、南阳高新区举债情况说明。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56ADA"/>
    <w:rsid w:val="003D37D8"/>
    <w:rsid w:val="00426133"/>
    <w:rsid w:val="004358AB"/>
    <w:rsid w:val="00825619"/>
    <w:rsid w:val="008B7726"/>
    <w:rsid w:val="00BD6124"/>
    <w:rsid w:val="00C21EF7"/>
    <w:rsid w:val="00C6563E"/>
    <w:rsid w:val="00D31D50"/>
    <w:rsid w:val="47A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15</TotalTime>
  <ScaleCrop>false</ScaleCrop>
  <LinksUpToDate>false</LinksUpToDate>
  <CharactersWithSpaces>163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Lenovo-PC</dc:creator>
  <cp:lastModifiedBy>Lenovo-PC</cp:lastModifiedBy>
  <dcterms:modified xsi:type="dcterms:W3CDTF">2019-01-16T01:30:41Z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