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0" w:firstLineChars="0"/>
        <w:jc w:val="center"/>
        <w:rPr>
          <w:rFonts w:ascii="仿宋_GB2312"/>
          <w:szCs w:val="32"/>
        </w:rPr>
      </w:pPr>
      <w:r>
        <w:rPr>
          <w:rFonts w:hint="eastAsia" w:ascii="方正小标宋简体" w:eastAsia="方正小标宋简体"/>
          <w:sz w:val="36"/>
          <w:szCs w:val="36"/>
        </w:rPr>
        <w:t>201</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年度河南省南阳市高新技术产业开发区社会综合管理委员会办公室决算公开</w:t>
      </w:r>
    </w:p>
    <w:p>
      <w:pPr>
        <w:kinsoku w:val="0"/>
        <w:overflowPunct w:val="0"/>
        <w:adjustRightInd w:val="0"/>
        <w:snapToGrid w:val="0"/>
        <w:spacing w:line="360" w:lineRule="auto"/>
        <w:ind w:left="-142" w:right="51" w:firstLine="39" w:firstLineChars="7"/>
        <w:jc w:val="center"/>
        <w:rPr>
          <w:rFonts w:hint="eastAsia" w:ascii="黑体" w:eastAsia="黑体" w:cs="黑体"/>
          <w:sz w:val="56"/>
          <w:szCs w:val="56"/>
        </w:rPr>
      </w:pPr>
      <w:r>
        <w:rPr>
          <w:rFonts w:hint="eastAsia" w:ascii="黑体" w:eastAsia="黑体" w:cs="黑体"/>
          <w:sz w:val="56"/>
          <w:szCs w:val="56"/>
        </w:rPr>
        <w:t>目</w:t>
      </w:r>
      <w:r>
        <w:rPr>
          <w:rFonts w:ascii="黑体" w:eastAsia="黑体" w:cs="黑体"/>
          <w:spacing w:val="2"/>
          <w:sz w:val="56"/>
          <w:szCs w:val="56"/>
        </w:rPr>
        <w:t xml:space="preserve"> </w:t>
      </w:r>
      <w:r>
        <w:rPr>
          <w:rFonts w:hint="eastAsia" w:ascii="黑体" w:eastAsia="黑体" w:cs="黑体"/>
          <w:sz w:val="56"/>
          <w:szCs w:val="56"/>
        </w:rPr>
        <w:t>录</w:t>
      </w:r>
    </w:p>
    <w:p>
      <w:pPr>
        <w:kinsoku w:val="0"/>
        <w:overflowPunct w:val="0"/>
        <w:adjustRightInd w:val="0"/>
        <w:snapToGrid w:val="0"/>
        <w:spacing w:line="360" w:lineRule="auto"/>
        <w:ind w:left="-142" w:right="51" w:firstLine="22" w:firstLineChars="7"/>
        <w:rPr>
          <w:rFonts w:ascii="黑体" w:eastAsia="黑体" w:cs="黑体"/>
          <w:w w:val="99"/>
          <w:szCs w:val="32"/>
        </w:rPr>
      </w:pPr>
      <w:r>
        <w:rPr>
          <w:rFonts w:hint="eastAsia" w:ascii="黑体" w:eastAsia="黑体" w:cs="黑体"/>
          <w:szCs w:val="32"/>
        </w:rPr>
        <w:t xml:space="preserve">      第一部分河南省南阳市高新技术产业开发区社会综合管理委员会办公室概况</w:t>
      </w:r>
      <w:r>
        <w:rPr>
          <w:rFonts w:ascii="黑体" w:eastAsia="黑体" w:cs="黑体"/>
          <w:w w:val="99"/>
          <w:szCs w:val="32"/>
        </w:rPr>
        <w:t xml:space="preserve"> </w:t>
      </w:r>
    </w:p>
    <w:p>
      <w:pPr>
        <w:kinsoku w:val="0"/>
        <w:overflowPunct w:val="0"/>
        <w:adjustRightInd w:val="0"/>
        <w:snapToGrid w:val="0"/>
        <w:spacing w:line="360" w:lineRule="auto"/>
        <w:ind w:right="3569" w:firstLine="960" w:firstLineChars="300"/>
        <w:jc w:val="left"/>
        <w:rPr>
          <w:rFonts w:ascii="仿宋_GB2312" w:cs="仿宋_GB2312"/>
          <w:szCs w:val="32"/>
        </w:rPr>
      </w:pPr>
      <w:r>
        <w:rPr>
          <w:rFonts w:hint="eastAsia" w:ascii="仿宋_GB2312" w:cs="仿宋_GB2312"/>
          <w:szCs w:val="32"/>
        </w:rPr>
        <w:t>一、主要职能</w:t>
      </w:r>
    </w:p>
    <w:p>
      <w:pPr>
        <w:kinsoku w:val="0"/>
        <w:overflowPunct w:val="0"/>
        <w:adjustRightInd w:val="0"/>
        <w:snapToGrid w:val="0"/>
        <w:spacing w:line="360" w:lineRule="auto"/>
        <w:ind w:right="3569" w:firstLine="960" w:firstLineChars="300"/>
        <w:jc w:val="left"/>
        <w:rPr>
          <w:rFonts w:ascii="仿宋_GB2312" w:cs="仿宋_GB2312"/>
          <w:szCs w:val="32"/>
        </w:rPr>
      </w:pPr>
      <w:r>
        <w:rPr>
          <w:rFonts w:hint="eastAsia" w:ascii="仿宋_GB2312" w:cs="仿宋_GB2312"/>
          <w:szCs w:val="32"/>
        </w:rPr>
        <w:t>二、部门决算单位构成</w:t>
      </w:r>
    </w:p>
    <w:p>
      <w:pPr>
        <w:kinsoku w:val="0"/>
        <w:overflowPunct w:val="0"/>
        <w:adjustRightInd w:val="0"/>
        <w:snapToGrid w:val="0"/>
        <w:spacing w:line="360" w:lineRule="auto"/>
        <w:ind w:left="101" w:firstLine="640"/>
        <w:rPr>
          <w:rFonts w:ascii="黑体" w:eastAsia="黑体" w:cs="黑体"/>
          <w:szCs w:val="32"/>
        </w:rPr>
      </w:pPr>
      <w:r>
        <w:rPr>
          <w:rFonts w:hint="eastAsia" w:ascii="黑体" w:eastAsia="黑体" w:cs="黑体"/>
          <w:szCs w:val="32"/>
        </w:rPr>
        <w:t>第二部分河南省南阳市高新技术产业开发区社会综合管理委员会办公室2</w:t>
      </w:r>
      <w:r>
        <w:rPr>
          <w:rFonts w:ascii="黑体" w:eastAsia="黑体" w:cs="黑体"/>
          <w:szCs w:val="32"/>
        </w:rPr>
        <w:t>01</w:t>
      </w:r>
      <w:r>
        <w:rPr>
          <w:rFonts w:hint="eastAsia" w:ascii="黑体" w:eastAsia="黑体" w:cs="黑体"/>
          <w:szCs w:val="32"/>
          <w:lang w:val="en-US" w:eastAsia="zh-CN"/>
        </w:rPr>
        <w:t>7</w:t>
      </w:r>
      <w:r>
        <w:rPr>
          <w:rFonts w:hint="eastAsia" w:ascii="黑体" w:eastAsia="黑体" w:cs="黑体"/>
          <w:szCs w:val="32"/>
        </w:rPr>
        <w:t>年度部门决算表</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一、收入支出决算总表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二、收入决算表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三、支出决算表</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四、财政拨款收入支出决算总表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五、一般公共预算财政拨款支出决算表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六、一般公共预算财政拨款基本支出决算表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七、一般公共预算财政拨款“三公”经费支出决算表</w:t>
      </w:r>
      <w:r>
        <w:rPr>
          <w:rFonts w:ascii="仿宋_GB2312" w:cs="仿宋_GB2312"/>
          <w:szCs w:val="32"/>
        </w:rPr>
        <w:t xml:space="preserve"> </w:t>
      </w:r>
    </w:p>
    <w:p>
      <w:pPr>
        <w:kinsoku w:val="0"/>
        <w:overflowPunct w:val="0"/>
        <w:adjustRightInd w:val="0"/>
        <w:snapToGrid w:val="0"/>
        <w:spacing w:line="360" w:lineRule="auto"/>
        <w:ind w:right="51" w:firstLine="960" w:firstLineChars="300"/>
        <w:jc w:val="left"/>
        <w:rPr>
          <w:rFonts w:ascii="仿宋_GB2312" w:cs="仿宋_GB2312"/>
          <w:szCs w:val="32"/>
        </w:rPr>
      </w:pPr>
      <w:r>
        <w:rPr>
          <w:rFonts w:hint="eastAsia" w:ascii="仿宋_GB2312" w:cs="仿宋_GB2312"/>
          <w:szCs w:val="32"/>
        </w:rPr>
        <w:t>八、政府性基金预算财政拨款收入支出决算表</w:t>
      </w:r>
    </w:p>
    <w:p>
      <w:pPr>
        <w:kinsoku w:val="0"/>
        <w:overflowPunct w:val="0"/>
        <w:adjustRightInd w:val="0"/>
        <w:snapToGrid w:val="0"/>
        <w:spacing w:line="360" w:lineRule="auto"/>
        <w:ind w:left="101" w:right="521" w:firstLine="640"/>
        <w:rPr>
          <w:rFonts w:ascii="黑体" w:eastAsia="黑体" w:cs="黑体"/>
          <w:szCs w:val="32"/>
        </w:rPr>
      </w:pPr>
      <w:r>
        <w:rPr>
          <w:rFonts w:hint="eastAsia" w:ascii="黑体" w:eastAsia="黑体" w:cs="黑体"/>
          <w:szCs w:val="32"/>
        </w:rPr>
        <w:t>第三部分河南省南阳市高新技术产业开发区社会综合管理委员会办公室</w:t>
      </w:r>
      <w:r>
        <w:rPr>
          <w:rFonts w:ascii="黑体" w:eastAsia="黑体" w:cs="黑体"/>
          <w:szCs w:val="32"/>
        </w:rPr>
        <w:t>201</w:t>
      </w:r>
      <w:r>
        <w:rPr>
          <w:rFonts w:hint="eastAsia" w:ascii="黑体" w:eastAsia="黑体" w:cs="黑体"/>
          <w:szCs w:val="32"/>
          <w:lang w:val="en-US" w:eastAsia="zh-CN"/>
        </w:rPr>
        <w:t>7</w:t>
      </w:r>
      <w:r>
        <w:rPr>
          <w:rFonts w:hint="eastAsia" w:ascii="黑体" w:eastAsia="黑体" w:cs="黑体"/>
          <w:szCs w:val="32"/>
        </w:rPr>
        <w:t>年度部门决算情况说明</w:t>
      </w:r>
      <w:r>
        <w:rPr>
          <w:rFonts w:ascii="黑体" w:eastAsia="黑体" w:cs="黑体"/>
          <w:szCs w:val="32"/>
        </w:rPr>
        <w:t xml:space="preserve"> </w:t>
      </w:r>
    </w:p>
    <w:p>
      <w:pPr>
        <w:numPr>
          <w:ilvl w:val="0"/>
          <w:numId w:val="1"/>
        </w:numPr>
        <w:kinsoku w:val="0"/>
        <w:overflowPunct w:val="0"/>
        <w:adjustRightInd w:val="0"/>
        <w:snapToGrid w:val="0"/>
        <w:spacing w:line="360" w:lineRule="auto"/>
        <w:ind w:left="101" w:right="521" w:firstLine="640"/>
        <w:rPr>
          <w:rFonts w:hint="eastAsia" w:ascii="黑体" w:eastAsia="黑体" w:cs="黑体"/>
          <w:szCs w:val="32"/>
        </w:rPr>
      </w:pPr>
      <w:r>
        <w:rPr>
          <w:rFonts w:hint="eastAsia" w:ascii="黑体" w:eastAsia="黑体" w:cs="黑体"/>
          <w:szCs w:val="32"/>
        </w:rPr>
        <w:t>名词解释</w:t>
      </w:r>
    </w:p>
    <w:p>
      <w:pPr>
        <w:numPr>
          <w:ilvl w:val="0"/>
          <w:numId w:val="0"/>
        </w:numPr>
        <w:kinsoku w:val="0"/>
        <w:overflowPunct w:val="0"/>
        <w:adjustRightInd w:val="0"/>
        <w:snapToGrid w:val="0"/>
        <w:spacing w:line="360" w:lineRule="auto"/>
        <w:ind w:leftChars="200" w:right="521" w:rightChars="0"/>
        <w:rPr>
          <w:rFonts w:hint="eastAsia" w:ascii="黑体" w:eastAsia="黑体" w:cs="黑体"/>
          <w:szCs w:val="32"/>
        </w:rPr>
      </w:pPr>
    </w:p>
    <w:p>
      <w:pPr>
        <w:adjustRightInd w:val="0"/>
        <w:snapToGrid w:val="0"/>
        <w:spacing w:line="360" w:lineRule="auto"/>
        <w:ind w:firstLine="0" w:firstLineChars="0"/>
        <w:jc w:val="center"/>
        <w:rPr>
          <w:rFonts w:hint="eastAsia" w:ascii="方正小标宋简体" w:eastAsia="方正小标宋简体"/>
          <w:sz w:val="36"/>
          <w:szCs w:val="36"/>
        </w:rPr>
      </w:pPr>
    </w:p>
    <w:p>
      <w:pPr>
        <w:adjustRightInd w:val="0"/>
        <w:snapToGrid w:val="0"/>
        <w:spacing w:line="360" w:lineRule="auto"/>
        <w:ind w:firstLine="0" w:firstLineChars="0"/>
        <w:jc w:val="center"/>
        <w:rPr>
          <w:rFonts w:ascii="仿宋_GB2312"/>
          <w:szCs w:val="32"/>
        </w:rPr>
      </w:pPr>
      <w:r>
        <w:rPr>
          <w:rFonts w:hint="eastAsia" w:ascii="方正小标宋简体" w:eastAsia="方正小标宋简体"/>
          <w:sz w:val="36"/>
          <w:szCs w:val="36"/>
        </w:rPr>
        <w:t>201</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年度河南省南阳市高新技术产业开发区社会综合管理委员会办公室决算公开</w:t>
      </w: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szCs w:val="32"/>
        </w:rPr>
        <w:t>第一部分</w:t>
      </w: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szCs w:val="32"/>
        </w:rPr>
        <w:t>河南省南阳市高新技术产业开发区社会综合管理委员会办公室</w:t>
      </w: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szCs w:val="32"/>
        </w:rPr>
        <w:t>概况</w:t>
      </w:r>
    </w:p>
    <w:p>
      <w:pPr>
        <w:adjustRightInd w:val="0"/>
        <w:snapToGrid w:val="0"/>
        <w:spacing w:line="360" w:lineRule="auto"/>
        <w:ind w:firstLine="640"/>
        <w:rPr>
          <w:rFonts w:ascii="黑体" w:hAnsi="黑体" w:eastAsia="黑体"/>
          <w:szCs w:val="32"/>
        </w:rPr>
      </w:pPr>
      <w:r>
        <w:rPr>
          <w:rFonts w:hint="eastAsia" w:ascii="黑体" w:hAnsi="黑体" w:eastAsia="黑体"/>
          <w:szCs w:val="32"/>
        </w:rPr>
        <w:t>一、河南省南阳市高新技术产业开发区社会综合管理委员会办公室主要职责</w:t>
      </w:r>
    </w:p>
    <w:p>
      <w:pPr>
        <w:adjustRightInd w:val="0"/>
        <w:snapToGrid w:val="0"/>
        <w:spacing w:line="360" w:lineRule="auto"/>
        <w:ind w:firstLine="640"/>
        <w:rPr>
          <w:rFonts w:ascii="仿宋_GB2312" w:cs="仿宋_GB2312"/>
          <w:szCs w:val="32"/>
        </w:rPr>
      </w:pPr>
      <w:r>
        <w:rPr>
          <w:rFonts w:hint="eastAsia" w:ascii="仿宋_GB2312" w:cs="仿宋_GB2312"/>
          <w:szCs w:val="32"/>
        </w:rPr>
        <w:t>（一）贯彻落实中央、省以及市委、市政府有关加强和创新社会管理的决策部署。</w:t>
      </w:r>
    </w:p>
    <w:p>
      <w:pPr>
        <w:adjustRightInd w:val="0"/>
        <w:snapToGrid w:val="0"/>
        <w:spacing w:line="360" w:lineRule="auto"/>
        <w:ind w:firstLine="640"/>
        <w:rPr>
          <w:rFonts w:ascii="仿宋_GB2312" w:cs="仿宋_GB2312"/>
          <w:szCs w:val="32"/>
        </w:rPr>
      </w:pPr>
      <w:r>
        <w:rPr>
          <w:rFonts w:hint="eastAsia" w:ascii="仿宋_GB2312" w:cs="仿宋_GB2312"/>
          <w:szCs w:val="32"/>
        </w:rPr>
        <w:t>（二）对各街道一个时期社会综合管理工作作出总体部署。</w:t>
      </w:r>
    </w:p>
    <w:p>
      <w:pPr>
        <w:adjustRightInd w:val="0"/>
        <w:snapToGrid w:val="0"/>
        <w:spacing w:line="360" w:lineRule="auto"/>
        <w:ind w:firstLine="640"/>
        <w:rPr>
          <w:rFonts w:ascii="仿宋_GB2312" w:cs="仿宋_GB2312"/>
          <w:szCs w:val="32"/>
        </w:rPr>
      </w:pPr>
      <w:r>
        <w:rPr>
          <w:rFonts w:hint="eastAsia" w:ascii="仿宋_GB2312" w:cs="仿宋_GB2312"/>
          <w:szCs w:val="32"/>
        </w:rPr>
        <w:t>（三）协调、指导各街道深入推进社会管理创新。</w:t>
      </w:r>
    </w:p>
    <w:p>
      <w:pPr>
        <w:adjustRightInd w:val="0"/>
        <w:snapToGrid w:val="0"/>
        <w:spacing w:line="360" w:lineRule="auto"/>
        <w:ind w:firstLine="640"/>
        <w:rPr>
          <w:rFonts w:ascii="仿宋_GB2312" w:cs="仿宋_GB2312"/>
          <w:szCs w:val="32"/>
        </w:rPr>
      </w:pPr>
      <w:r>
        <w:rPr>
          <w:rFonts w:hint="eastAsia" w:ascii="仿宋_GB2312" w:cs="仿宋_GB2312"/>
          <w:szCs w:val="32"/>
        </w:rPr>
        <w:t>（四）对各街道开展社会管理综合治理工作情况进行督促检查、考核评估。</w:t>
      </w:r>
    </w:p>
    <w:p>
      <w:pPr>
        <w:adjustRightInd w:val="0"/>
        <w:snapToGrid w:val="0"/>
        <w:spacing w:line="360" w:lineRule="auto"/>
        <w:ind w:firstLine="640"/>
        <w:rPr>
          <w:rFonts w:ascii="仿宋_GB2312" w:cs="仿宋_GB2312"/>
          <w:szCs w:val="32"/>
        </w:rPr>
      </w:pPr>
      <w:r>
        <w:rPr>
          <w:rFonts w:hint="eastAsia" w:ascii="仿宋_GB2312" w:cs="仿宋_GB2312"/>
          <w:szCs w:val="32"/>
        </w:rPr>
        <w:t>（五）总结推广社会管理综合治理工作典型经验，表彰先进，推动后进。</w:t>
      </w:r>
    </w:p>
    <w:p>
      <w:pPr>
        <w:adjustRightInd w:val="0"/>
        <w:snapToGrid w:val="0"/>
        <w:spacing w:line="360" w:lineRule="auto"/>
        <w:ind w:firstLine="640"/>
        <w:rPr>
          <w:rFonts w:ascii="仿宋_GB2312" w:cs="仿宋_GB2312"/>
          <w:szCs w:val="32"/>
        </w:rPr>
      </w:pPr>
      <w:r>
        <w:rPr>
          <w:rFonts w:hint="eastAsia" w:ascii="仿宋_GB2312" w:cs="仿宋_GB2312"/>
          <w:szCs w:val="32"/>
        </w:rPr>
        <w:t>（六）加强对社会管理综合治理工作的统筹协调，研究解决突出问题，促进各街道、区直各部门密切协作，形成合力。</w:t>
      </w:r>
    </w:p>
    <w:p>
      <w:pPr>
        <w:adjustRightInd w:val="0"/>
        <w:snapToGrid w:val="0"/>
        <w:spacing w:line="360" w:lineRule="auto"/>
        <w:ind w:firstLine="640"/>
        <w:rPr>
          <w:rFonts w:ascii="仿宋_GB2312" w:cs="仿宋_GB2312"/>
          <w:szCs w:val="32"/>
        </w:rPr>
      </w:pPr>
      <w:r>
        <w:rPr>
          <w:rFonts w:hint="eastAsia" w:ascii="仿宋_GB2312" w:cs="仿宋_GB2312"/>
          <w:szCs w:val="32"/>
        </w:rPr>
        <w:t>（七）密切关注、定期分析社会管理综合治理工作形势，组织开展调查研究，提出加强和创新社会管理重大政策措施的建议，供党工委、管委会决策参考。</w:t>
      </w:r>
    </w:p>
    <w:p>
      <w:pPr>
        <w:adjustRightInd w:val="0"/>
        <w:snapToGrid w:val="0"/>
        <w:spacing w:line="360" w:lineRule="auto"/>
        <w:ind w:firstLine="640"/>
        <w:rPr>
          <w:rFonts w:ascii="仿宋_GB2312" w:cs="仿宋_GB2312"/>
          <w:szCs w:val="32"/>
        </w:rPr>
      </w:pPr>
      <w:r>
        <w:rPr>
          <w:rFonts w:hint="eastAsia" w:ascii="仿宋_GB2312" w:cs="仿宋_GB2312"/>
          <w:szCs w:val="32"/>
        </w:rPr>
        <w:t>（八）协调、指导社会管理法治建设。</w:t>
      </w:r>
    </w:p>
    <w:p>
      <w:pPr>
        <w:adjustRightInd w:val="0"/>
        <w:snapToGrid w:val="0"/>
        <w:spacing w:line="360" w:lineRule="auto"/>
        <w:ind w:firstLine="640"/>
        <w:rPr>
          <w:rFonts w:ascii="黑体" w:hAnsi="黑体" w:eastAsia="黑体"/>
          <w:szCs w:val="32"/>
        </w:rPr>
      </w:pPr>
      <w:r>
        <w:rPr>
          <w:rFonts w:hint="eastAsia" w:ascii="仿宋_GB2312" w:cs="仿宋_GB2312"/>
          <w:szCs w:val="32"/>
        </w:rPr>
        <w:t>（九）办理市委、市政府和上级综治委交办的有关事项。</w:t>
      </w:r>
    </w:p>
    <w:p>
      <w:pPr>
        <w:adjustRightInd w:val="0"/>
        <w:snapToGrid w:val="0"/>
        <w:spacing w:line="360" w:lineRule="auto"/>
        <w:ind w:firstLine="640"/>
        <w:rPr>
          <w:rFonts w:ascii="黑体" w:hAnsi="黑体" w:eastAsia="黑体"/>
          <w:szCs w:val="32"/>
        </w:rPr>
      </w:pPr>
      <w:r>
        <w:rPr>
          <w:rFonts w:hint="eastAsia" w:ascii="黑体" w:hAnsi="黑体" w:eastAsia="黑体"/>
          <w:szCs w:val="32"/>
        </w:rPr>
        <w:t>二、河南省南阳市高新技术产业开发区社会综合管理委员会办公室决算单位构成</w:t>
      </w:r>
    </w:p>
    <w:p>
      <w:pPr>
        <w:adjustRightInd w:val="0"/>
        <w:snapToGrid w:val="0"/>
        <w:spacing w:line="360" w:lineRule="auto"/>
        <w:ind w:firstLine="640"/>
        <w:rPr>
          <w:rFonts w:ascii="黑体" w:hAnsi="黑体" w:eastAsia="黑体"/>
          <w:szCs w:val="32"/>
        </w:rPr>
      </w:pPr>
      <w:r>
        <w:rPr>
          <w:rFonts w:hint="eastAsia" w:hAnsi="宋体" w:cs="Courier New"/>
        </w:rPr>
        <w:t>河南省南阳市高新技术产业开发区社会综合管理委员会办公室</w:t>
      </w:r>
      <w:r>
        <w:rPr>
          <w:rFonts w:hint="eastAsia"/>
          <w:spacing w:val="2"/>
        </w:rPr>
        <w:t>部门</w:t>
      </w:r>
      <w:r>
        <w:rPr>
          <w:rFonts w:hint="eastAsia"/>
        </w:rPr>
        <w:t>决</w:t>
      </w:r>
      <w:r>
        <w:rPr>
          <w:rFonts w:hint="eastAsia"/>
          <w:spacing w:val="2"/>
        </w:rPr>
        <w:t>算包括</w:t>
      </w:r>
      <w:r>
        <w:rPr>
          <w:rFonts w:hint="eastAsia"/>
          <w:spacing w:val="2"/>
          <w:lang w:eastAsia="zh-CN"/>
        </w:rPr>
        <w:t>机关</w:t>
      </w:r>
      <w:r>
        <w:rPr>
          <w:rFonts w:hint="eastAsia" w:ascii="仿宋_GB2312" w:cs="仿宋_GB2312"/>
          <w:kern w:val="0"/>
          <w:szCs w:val="32"/>
          <w:lang w:eastAsia="zh-CN"/>
        </w:rPr>
        <w:t>本级决算</w:t>
      </w:r>
      <w:bookmarkStart w:id="0" w:name="_GoBack"/>
      <w:bookmarkEnd w:id="0"/>
      <w:r>
        <w:rPr>
          <w:rFonts w:hint="eastAsia" w:ascii="仿宋_GB2312" w:cs="仿宋_GB2312"/>
          <w:kern w:val="0"/>
          <w:szCs w:val="32"/>
        </w:rPr>
        <w:t>。</w:t>
      </w: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szCs w:val="32"/>
        </w:rPr>
        <w:t>第二部分</w:t>
      </w: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szCs w:val="32"/>
        </w:rPr>
        <w:t>河南省南阳市高新技术产业开发区社会综合管理委员会办公室</w:t>
      </w:r>
    </w:p>
    <w:p>
      <w:pPr>
        <w:adjustRightInd w:val="0"/>
        <w:snapToGrid w:val="0"/>
        <w:spacing w:line="360" w:lineRule="auto"/>
        <w:ind w:firstLine="0" w:firstLineChars="0"/>
        <w:jc w:val="center"/>
        <w:rPr>
          <w:rFonts w:ascii="黑体" w:hAnsi="黑体" w:eastAsia="黑体"/>
          <w:szCs w:val="32"/>
        </w:rPr>
      </w:pPr>
      <w:r>
        <w:rPr>
          <w:rFonts w:hint="eastAsia" w:ascii="黑体" w:hAnsi="黑体" w:eastAsia="黑体"/>
          <w:szCs w:val="32"/>
        </w:rPr>
        <w:t>201</w:t>
      </w:r>
      <w:r>
        <w:rPr>
          <w:rFonts w:hint="eastAsia" w:ascii="黑体" w:hAnsi="黑体" w:eastAsia="黑体"/>
          <w:szCs w:val="32"/>
          <w:lang w:val="en-US" w:eastAsia="zh-CN"/>
        </w:rPr>
        <w:t>7</w:t>
      </w:r>
      <w:r>
        <w:rPr>
          <w:rFonts w:hint="eastAsia" w:ascii="黑体" w:hAnsi="黑体" w:eastAsia="黑体"/>
          <w:szCs w:val="32"/>
        </w:rPr>
        <w:t>年度部门决算表</w:t>
      </w:r>
    </w:p>
    <w:p>
      <w:pPr>
        <w:adjustRightInd w:val="0"/>
        <w:snapToGrid w:val="0"/>
        <w:spacing w:line="360" w:lineRule="auto"/>
        <w:ind w:firstLine="640"/>
        <w:rPr>
          <w:rFonts w:ascii="黑体" w:hAnsi="黑体" w:eastAsia="黑体"/>
          <w:szCs w:val="32"/>
        </w:rPr>
      </w:pPr>
      <w:r>
        <w:rPr>
          <w:rFonts w:hint="eastAsia" w:ascii="黑体" w:hAnsi="黑体" w:eastAsia="黑体"/>
          <w:szCs w:val="32"/>
        </w:rPr>
        <w:t>见附件</w:t>
      </w:r>
    </w:p>
    <w:p>
      <w:pPr>
        <w:adjustRightInd w:val="0"/>
        <w:snapToGrid w:val="0"/>
        <w:spacing w:line="360" w:lineRule="auto"/>
        <w:ind w:firstLine="0" w:firstLineChars="0"/>
        <w:jc w:val="center"/>
        <w:rPr>
          <w:rFonts w:hint="eastAsia" w:ascii="黑体" w:hAnsi="黑体" w:eastAsia="黑体"/>
          <w:szCs w:val="32"/>
        </w:rPr>
      </w:pPr>
      <w:r>
        <w:rPr>
          <w:rFonts w:hint="eastAsia" w:ascii="黑体" w:hAnsi="黑体" w:eastAsia="黑体"/>
          <w:szCs w:val="32"/>
        </w:rPr>
        <w:t>第三部分</w:t>
      </w:r>
    </w:p>
    <w:p>
      <w:pPr>
        <w:adjustRightInd w:val="0"/>
        <w:snapToGrid w:val="0"/>
        <w:spacing w:line="360" w:lineRule="auto"/>
        <w:ind w:firstLine="0" w:firstLineChars="0"/>
        <w:jc w:val="center"/>
        <w:rPr>
          <w:rFonts w:hint="eastAsia" w:ascii="黑体" w:hAnsi="黑体" w:eastAsia="黑体"/>
          <w:szCs w:val="32"/>
        </w:rPr>
      </w:pPr>
      <w:r>
        <w:rPr>
          <w:rFonts w:hint="eastAsia" w:ascii="黑体" w:hAnsi="黑体" w:eastAsia="黑体"/>
          <w:szCs w:val="32"/>
        </w:rPr>
        <w:t>2017年度部门决算情况说明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一、关于收入支出决算总体情况说明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年度收、支总计均为</w:t>
      </w:r>
      <w:r>
        <w:rPr>
          <w:rFonts w:ascii="仿宋" w:hAnsi="Times New Roman" w:eastAsia="仿宋" w:cs="仿宋"/>
          <w:sz w:val="32"/>
          <w:szCs w:val="32"/>
        </w:rPr>
        <w:t>71.19</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年相比，收、支总计各增加</w:t>
      </w:r>
      <w:r>
        <w:rPr>
          <w:rFonts w:ascii="仿宋" w:hAnsi="Times New Roman" w:eastAsia="仿宋" w:cs="仿宋"/>
          <w:sz w:val="32"/>
          <w:szCs w:val="32"/>
        </w:rPr>
        <w:t>23.76</w:t>
      </w:r>
      <w:r>
        <w:rPr>
          <w:rFonts w:hint="eastAsia" w:ascii="仿宋" w:hAnsi="Times New Roman" w:eastAsia="仿宋" w:cs="仿宋"/>
          <w:sz w:val="32"/>
          <w:szCs w:val="32"/>
        </w:rPr>
        <w:t>万元，增长</w:t>
      </w:r>
      <w:r>
        <w:rPr>
          <w:rFonts w:ascii="仿宋" w:hAnsi="Times New Roman" w:eastAsia="仿宋" w:cs="仿宋"/>
          <w:sz w:val="32"/>
          <w:szCs w:val="32"/>
        </w:rPr>
        <w:t>50.1%</w:t>
      </w:r>
      <w:r>
        <w:rPr>
          <w:rFonts w:hint="eastAsia" w:ascii="仿宋" w:hAnsi="Times New Roman" w:eastAsia="仿宋" w:cs="仿宋"/>
          <w:sz w:val="32"/>
          <w:szCs w:val="32"/>
        </w:rPr>
        <w:t>。主要原因是</w:t>
      </w:r>
      <w:r>
        <w:rPr>
          <w:rFonts w:hint="eastAsia" w:ascii="仿宋" w:hAnsi="Times New Roman" w:eastAsia="仿宋" w:cs="仿宋"/>
          <w:sz w:val="32"/>
          <w:szCs w:val="32"/>
          <w:lang w:eastAsia="zh-CN"/>
        </w:rPr>
        <w:t>加强社会综治等各项工作</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二、关于收入决算情况说明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年度收入合计</w:t>
      </w:r>
      <w:r>
        <w:rPr>
          <w:rFonts w:ascii="仿宋" w:hAnsi="Times New Roman" w:eastAsia="仿宋" w:cs="仿宋"/>
          <w:sz w:val="32"/>
          <w:szCs w:val="32"/>
        </w:rPr>
        <w:t>61.43</w:t>
      </w:r>
      <w:r>
        <w:rPr>
          <w:rFonts w:hint="eastAsia" w:ascii="仿宋" w:hAnsi="Times New Roman" w:eastAsia="仿宋" w:cs="仿宋"/>
          <w:sz w:val="32"/>
          <w:szCs w:val="32"/>
        </w:rPr>
        <w:t>万元，其中：财政拨款收入</w:t>
      </w:r>
      <w:r>
        <w:rPr>
          <w:rFonts w:ascii="仿宋" w:hAnsi="Times New Roman" w:eastAsia="仿宋" w:cs="仿宋"/>
          <w:sz w:val="32"/>
          <w:szCs w:val="32"/>
        </w:rPr>
        <w:t>61.43</w:t>
      </w:r>
      <w:r>
        <w:rPr>
          <w:rFonts w:hint="eastAsia" w:ascii="仿宋" w:hAnsi="Times New Roman" w:eastAsia="仿宋" w:cs="仿宋"/>
          <w:sz w:val="32"/>
          <w:szCs w:val="32"/>
        </w:rPr>
        <w:t>万元，占</w:t>
      </w:r>
      <w:r>
        <w:rPr>
          <w:rFonts w:ascii="仿宋" w:hAnsi="Times New Roman" w:eastAsia="仿宋" w:cs="仿宋"/>
          <w:sz w:val="32"/>
          <w:szCs w:val="32"/>
        </w:rPr>
        <w:t>100%</w:t>
      </w:r>
      <w:r>
        <w:rPr>
          <w:rFonts w:hint="eastAsia" w:ascii="仿宋" w:hAnsi="Times New Roman" w:eastAsia="仿宋" w:cs="仿宋"/>
          <w:sz w:val="32"/>
          <w:szCs w:val="32"/>
        </w:rPr>
        <w:t>；上级补助收入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；事业收入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；经营收入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；附属单位上缴收入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；其他收入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三、关于支出决算情况说明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年度支出合计</w:t>
      </w:r>
      <w:r>
        <w:rPr>
          <w:rFonts w:ascii="仿宋" w:hAnsi="Times New Roman" w:eastAsia="仿宋" w:cs="仿宋"/>
          <w:sz w:val="32"/>
          <w:szCs w:val="32"/>
        </w:rPr>
        <w:t>64.21</w:t>
      </w:r>
      <w:r>
        <w:rPr>
          <w:rFonts w:hint="eastAsia" w:ascii="仿宋" w:hAnsi="Times New Roman" w:eastAsia="仿宋" w:cs="仿宋"/>
          <w:sz w:val="32"/>
          <w:szCs w:val="32"/>
        </w:rPr>
        <w:t>万元，其中：基本支出</w:t>
      </w:r>
      <w:r>
        <w:rPr>
          <w:rFonts w:ascii="仿宋" w:hAnsi="Times New Roman" w:eastAsia="仿宋" w:cs="仿宋"/>
          <w:sz w:val="32"/>
          <w:szCs w:val="32"/>
        </w:rPr>
        <w:t>64.21</w:t>
      </w:r>
      <w:r>
        <w:rPr>
          <w:rFonts w:hint="eastAsia" w:ascii="仿宋" w:hAnsi="Times New Roman" w:eastAsia="仿宋" w:cs="仿宋"/>
          <w:sz w:val="32"/>
          <w:szCs w:val="32"/>
        </w:rPr>
        <w:t>万元，占</w:t>
      </w:r>
      <w:r>
        <w:rPr>
          <w:rFonts w:ascii="仿宋" w:hAnsi="Times New Roman" w:eastAsia="仿宋" w:cs="仿宋"/>
          <w:sz w:val="32"/>
          <w:szCs w:val="32"/>
        </w:rPr>
        <w:t>100%</w:t>
      </w:r>
      <w:r>
        <w:rPr>
          <w:rFonts w:hint="eastAsia" w:ascii="仿宋" w:hAnsi="Times New Roman" w:eastAsia="仿宋" w:cs="仿宋"/>
          <w:sz w:val="32"/>
          <w:szCs w:val="32"/>
        </w:rPr>
        <w:t>；项目支出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；上缴上级支出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；经营支出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；对附属单位支出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四、关于财政拨款收入支出决算总体情况说明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年财政拨款收、支总计均为</w:t>
      </w:r>
      <w:r>
        <w:rPr>
          <w:rFonts w:ascii="仿宋" w:hAnsi="Times New Roman" w:eastAsia="仿宋" w:cs="仿宋"/>
          <w:sz w:val="32"/>
          <w:szCs w:val="32"/>
        </w:rPr>
        <w:t>71.19</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年相比，财政拨款收、支总计各增加</w:t>
      </w:r>
      <w:r>
        <w:rPr>
          <w:rFonts w:ascii="仿宋" w:hAnsi="Times New Roman" w:eastAsia="仿宋" w:cs="仿宋"/>
          <w:sz w:val="32"/>
          <w:szCs w:val="32"/>
        </w:rPr>
        <w:t>23.76</w:t>
      </w:r>
      <w:r>
        <w:rPr>
          <w:rFonts w:hint="eastAsia" w:ascii="仿宋" w:hAnsi="Times New Roman" w:eastAsia="仿宋" w:cs="仿宋"/>
          <w:sz w:val="32"/>
          <w:szCs w:val="32"/>
        </w:rPr>
        <w:t>万元，增长</w:t>
      </w:r>
      <w:r>
        <w:rPr>
          <w:rFonts w:ascii="仿宋" w:hAnsi="Times New Roman" w:eastAsia="仿宋" w:cs="仿宋"/>
          <w:sz w:val="32"/>
          <w:szCs w:val="32"/>
        </w:rPr>
        <w:t>50.1%</w:t>
      </w:r>
      <w:r>
        <w:rPr>
          <w:rFonts w:hint="eastAsia" w:ascii="仿宋" w:hAnsi="Times New Roman" w:eastAsia="仿宋" w:cs="仿宋"/>
          <w:sz w:val="32"/>
          <w:szCs w:val="32"/>
        </w:rPr>
        <w:t>。主要原因是加强社会综治等各项工作。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五、关于一般公共预算财政拨款支出决算情况说明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（一）总体情况。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年一般公共预算财政拨款支出</w:t>
      </w:r>
      <w:r>
        <w:rPr>
          <w:rFonts w:ascii="仿宋" w:hAnsi="Times New Roman" w:eastAsia="仿宋" w:cs="仿宋"/>
          <w:sz w:val="32"/>
          <w:szCs w:val="32"/>
        </w:rPr>
        <w:t>64.21</w:t>
      </w:r>
      <w:r>
        <w:rPr>
          <w:rFonts w:hint="eastAsia" w:ascii="仿宋" w:hAnsi="Times New Roman" w:eastAsia="仿宋" w:cs="仿宋"/>
          <w:sz w:val="32"/>
          <w:szCs w:val="32"/>
        </w:rPr>
        <w:t>万元，占支出合计的</w:t>
      </w:r>
      <w:r>
        <w:rPr>
          <w:rFonts w:ascii="仿宋" w:hAnsi="Times New Roman" w:eastAsia="仿宋" w:cs="仿宋"/>
          <w:sz w:val="32"/>
          <w:szCs w:val="32"/>
        </w:rPr>
        <w:t>100%</w:t>
      </w:r>
      <w:r>
        <w:rPr>
          <w:rFonts w:hint="eastAsia" w:ascii="仿宋" w:hAnsi="Times New Roman" w:eastAsia="仿宋" w:cs="仿宋"/>
          <w:sz w:val="32"/>
          <w:szCs w:val="32"/>
        </w:rPr>
        <w:t>。与</w:t>
      </w:r>
      <w:r>
        <w:rPr>
          <w:rFonts w:ascii="仿宋" w:hAnsi="Times New Roman" w:eastAsia="仿宋" w:cs="仿宋"/>
          <w:sz w:val="32"/>
          <w:szCs w:val="32"/>
        </w:rPr>
        <w:t>2016</w:t>
      </w:r>
      <w:r>
        <w:rPr>
          <w:rFonts w:hint="eastAsia" w:ascii="仿宋" w:hAnsi="Times New Roman" w:eastAsia="仿宋" w:cs="仿宋"/>
          <w:sz w:val="32"/>
          <w:szCs w:val="32"/>
        </w:rPr>
        <w:t>年相比，一般公共预算财政拨款支出增加</w:t>
      </w:r>
      <w:r>
        <w:rPr>
          <w:rFonts w:ascii="仿宋" w:hAnsi="Times New Roman" w:eastAsia="仿宋" w:cs="仿宋"/>
          <w:sz w:val="32"/>
          <w:szCs w:val="32"/>
        </w:rPr>
        <w:t>16.78</w:t>
      </w:r>
      <w:r>
        <w:rPr>
          <w:rFonts w:hint="eastAsia" w:ascii="仿宋" w:hAnsi="Times New Roman" w:eastAsia="仿宋" w:cs="仿宋"/>
          <w:sz w:val="32"/>
          <w:szCs w:val="32"/>
        </w:rPr>
        <w:t>万元，增长</w:t>
      </w:r>
      <w:r>
        <w:rPr>
          <w:rFonts w:ascii="仿宋" w:hAnsi="Times New Roman" w:eastAsia="仿宋" w:cs="仿宋"/>
          <w:sz w:val="32"/>
          <w:szCs w:val="32"/>
        </w:rPr>
        <w:t>35.38%</w:t>
      </w:r>
      <w:r>
        <w:rPr>
          <w:rFonts w:hint="eastAsia" w:ascii="仿宋" w:hAnsi="Times New Roman" w:eastAsia="仿宋" w:cs="仿宋"/>
          <w:sz w:val="32"/>
          <w:szCs w:val="32"/>
        </w:rPr>
        <w:t>。变动的主要原因是加强社会综治等各项工作</w:t>
      </w:r>
      <w:r>
        <w:rPr>
          <w:rFonts w:hint="eastAsia" w:ascii="仿宋" w:hAnsi="Times New Roman"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（二）结构情况。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年度一般公共预算财政拨款支出</w:t>
      </w:r>
      <w:r>
        <w:rPr>
          <w:rFonts w:ascii="仿宋" w:hAnsi="Times New Roman" w:eastAsia="仿宋" w:cs="仿宋"/>
          <w:sz w:val="32"/>
          <w:szCs w:val="32"/>
        </w:rPr>
        <w:t>64.21</w:t>
      </w:r>
      <w:r>
        <w:rPr>
          <w:rFonts w:hint="eastAsia" w:ascii="仿宋" w:hAnsi="Times New Roman" w:eastAsia="仿宋" w:cs="仿宋"/>
          <w:sz w:val="32"/>
          <w:szCs w:val="32"/>
        </w:rPr>
        <w:t>万元，主要用于以下方面：一般公共服务（类）支出</w:t>
      </w:r>
      <w:r>
        <w:rPr>
          <w:rFonts w:ascii="仿宋" w:hAnsi="Times New Roman" w:eastAsia="仿宋" w:cs="仿宋"/>
          <w:sz w:val="32"/>
          <w:szCs w:val="32"/>
        </w:rPr>
        <w:t>64.21</w:t>
      </w:r>
      <w:r>
        <w:rPr>
          <w:rFonts w:hint="eastAsia" w:ascii="仿宋" w:hAnsi="Times New Roman" w:eastAsia="仿宋" w:cs="仿宋"/>
          <w:sz w:val="32"/>
          <w:szCs w:val="32"/>
        </w:rPr>
        <w:t>万元，占</w:t>
      </w:r>
      <w:r>
        <w:rPr>
          <w:rFonts w:ascii="仿宋" w:hAnsi="Times New Roman" w:eastAsia="仿宋" w:cs="仿宋"/>
          <w:sz w:val="32"/>
          <w:szCs w:val="32"/>
        </w:rPr>
        <w:t>100%</w:t>
      </w:r>
      <w:r>
        <w:rPr>
          <w:rFonts w:hint="eastAsia" w:ascii="仿宋" w:hAnsi="Times New Roman" w:eastAsia="仿宋" w:cs="仿宋"/>
          <w:sz w:val="32"/>
          <w:szCs w:val="32"/>
        </w:rPr>
        <w:t>；外交（类）支出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；国防（类）支出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；公共安全（类）支出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；教育（类）支出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；科学技术（类）支出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；文化体育与传媒（类）支出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；社会保障和就业（类）支出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；医疗卫生和计划生育（类）支出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；节能环保（类）支出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；城乡社区（类）支出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；农林水（类）支出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；交通运输（类）支出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；资源勘探信息（类）支出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；商业服务业（类）支出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；金融（类）支出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；援助其他地区（类）支出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；国土海洋气象（类）支出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；住房保障（类）支出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；粮油物资储备（类）支出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；其他（类）支出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；债务还本（类）支出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；债务付息（类）支出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（三）具体情况。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年度一般公共预算财政拨款支出年初预算为</w:t>
      </w:r>
      <w:r>
        <w:rPr>
          <w:rFonts w:ascii="仿宋" w:hAnsi="Times New Roman" w:eastAsia="仿宋" w:cs="仿宋"/>
          <w:sz w:val="32"/>
          <w:szCs w:val="32"/>
        </w:rPr>
        <w:t>61.43</w:t>
      </w:r>
      <w:r>
        <w:rPr>
          <w:rFonts w:hint="eastAsia" w:ascii="仿宋" w:hAnsi="Times New Roman" w:eastAsia="仿宋" w:cs="仿宋"/>
          <w:sz w:val="32"/>
          <w:szCs w:val="32"/>
        </w:rPr>
        <w:t>万元，支出决算为</w:t>
      </w:r>
      <w:r>
        <w:rPr>
          <w:rFonts w:ascii="仿宋" w:hAnsi="Times New Roman" w:eastAsia="仿宋" w:cs="仿宋"/>
          <w:sz w:val="32"/>
          <w:szCs w:val="32"/>
        </w:rPr>
        <w:t>64.21</w:t>
      </w:r>
      <w:r>
        <w:rPr>
          <w:rFonts w:hint="eastAsia" w:ascii="仿宋" w:hAnsi="Times New Roman" w:eastAsia="仿宋" w:cs="仿宋"/>
          <w:sz w:val="32"/>
          <w:szCs w:val="32"/>
        </w:rPr>
        <w:t>万元，完成年初预算的</w:t>
      </w:r>
      <w:r>
        <w:rPr>
          <w:rFonts w:ascii="仿宋" w:hAnsi="Times New Roman" w:eastAsia="仿宋" w:cs="仿宋"/>
          <w:sz w:val="32"/>
          <w:szCs w:val="32"/>
        </w:rPr>
        <w:t>104.53%</w:t>
      </w:r>
      <w:r>
        <w:rPr>
          <w:rFonts w:hint="eastAsia" w:ascii="仿宋" w:hAnsi="Times New Roman" w:eastAsia="仿宋" w:cs="仿宋"/>
          <w:sz w:val="32"/>
          <w:szCs w:val="32"/>
        </w:rPr>
        <w:t>。决算数与年初预算数存在差异的主要原因：</w:t>
      </w:r>
      <w:r>
        <w:rPr>
          <w:rFonts w:hint="eastAsia" w:ascii="仿宋" w:hAnsi="Times New Roman" w:eastAsia="仿宋" w:cs="仿宋"/>
          <w:sz w:val="32"/>
          <w:szCs w:val="32"/>
          <w:lang w:eastAsia="zh-CN"/>
        </w:rPr>
        <w:t>基本按照年初预算执行</w:t>
      </w:r>
      <w:r>
        <w:rPr>
          <w:rFonts w:hint="eastAsia" w:ascii="仿宋" w:hAnsi="Times New Roman" w:eastAsia="仿宋" w:cs="仿宋"/>
          <w:sz w:val="32"/>
          <w:szCs w:val="32"/>
        </w:rPr>
        <w:t>。其中：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1</w:t>
      </w:r>
      <w:r>
        <w:rPr>
          <w:rFonts w:hint="eastAsia" w:ascii="仿宋" w:hAnsi="Times New Roman" w:eastAsia="仿宋" w:cs="仿宋"/>
          <w:sz w:val="32"/>
          <w:szCs w:val="32"/>
        </w:rPr>
        <w:t>．一般公共服务（类）党委办公厅（室）及相关机构事务（款）行政运行（项）。年初预算为</w:t>
      </w:r>
      <w:r>
        <w:rPr>
          <w:rFonts w:hint="eastAsia" w:ascii="仿宋" w:hAnsi="Times New Roman" w:eastAsia="仿宋" w:cs="仿宋"/>
          <w:sz w:val="32"/>
          <w:szCs w:val="32"/>
          <w:lang w:val="en-US" w:eastAsia="zh-CN"/>
        </w:rPr>
        <w:t>31.7</w:t>
      </w:r>
      <w:r>
        <w:rPr>
          <w:rFonts w:hint="eastAsia" w:ascii="仿宋" w:hAnsi="Times New Roman" w:eastAsia="仿宋" w:cs="仿宋"/>
          <w:sz w:val="32"/>
          <w:szCs w:val="32"/>
        </w:rPr>
        <w:t>万元，支出决算为</w:t>
      </w:r>
      <w:r>
        <w:rPr>
          <w:rFonts w:hint="eastAsia" w:ascii="仿宋" w:hAnsi="Times New Roman" w:eastAsia="仿宋" w:cs="仿宋"/>
          <w:sz w:val="32"/>
          <w:szCs w:val="32"/>
          <w:lang w:val="en-US" w:eastAsia="zh-CN"/>
        </w:rPr>
        <w:t>64.21</w:t>
      </w:r>
      <w:r>
        <w:rPr>
          <w:rFonts w:hint="eastAsia" w:ascii="仿宋" w:hAnsi="Times New Roman" w:eastAsia="仿宋" w:cs="仿宋"/>
          <w:sz w:val="32"/>
          <w:szCs w:val="32"/>
        </w:rPr>
        <w:t>万元，完成年初预算的</w:t>
      </w:r>
      <w:r>
        <w:rPr>
          <w:rFonts w:hint="eastAsia" w:ascii="仿宋" w:hAnsi="Times New Roman" w:eastAsia="仿宋" w:cs="仿宋"/>
          <w:sz w:val="32"/>
          <w:szCs w:val="32"/>
          <w:lang w:val="en-US" w:eastAsia="zh-CN"/>
        </w:rPr>
        <w:t>202.56</w:t>
      </w:r>
      <w:r>
        <w:rPr>
          <w:rFonts w:ascii="仿宋" w:hAnsi="Times New Roman" w:eastAsia="仿宋" w:cs="仿宋"/>
          <w:sz w:val="32"/>
          <w:szCs w:val="32"/>
        </w:rPr>
        <w:t>%</w:t>
      </w:r>
      <w:r>
        <w:rPr>
          <w:rFonts w:hint="eastAsia" w:ascii="仿宋" w:hAnsi="Times New Roman" w:eastAsia="仿宋" w:cs="仿宋"/>
          <w:sz w:val="32"/>
          <w:szCs w:val="32"/>
        </w:rPr>
        <w:t>。决算数大于预算数的主要原因是</w:t>
      </w:r>
      <w:r>
        <w:rPr>
          <w:rFonts w:hint="eastAsia" w:ascii="仿宋" w:eastAsia="仿宋" w:cs="仿宋"/>
          <w:sz w:val="32"/>
          <w:szCs w:val="32"/>
          <w:lang w:eastAsia="zh-CN"/>
        </w:rPr>
        <w:t>包含项目支出</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六、关于一般公共预算财政拨款基本支出决算情况说明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年一般公共预算财政拨款基本支出</w:t>
      </w:r>
      <w:r>
        <w:rPr>
          <w:rFonts w:ascii="仿宋" w:hAnsi="Times New Roman" w:eastAsia="仿宋" w:cs="仿宋"/>
          <w:sz w:val="32"/>
          <w:szCs w:val="32"/>
        </w:rPr>
        <w:t>64.21</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年相比，增加</w:t>
      </w:r>
      <w:r>
        <w:rPr>
          <w:rFonts w:ascii="仿宋" w:hAnsi="Times New Roman" w:eastAsia="仿宋" w:cs="仿宋"/>
          <w:sz w:val="32"/>
          <w:szCs w:val="32"/>
        </w:rPr>
        <w:t>16.78</w:t>
      </w:r>
      <w:r>
        <w:rPr>
          <w:rFonts w:hint="eastAsia" w:ascii="仿宋" w:hAnsi="Times New Roman" w:eastAsia="仿宋" w:cs="仿宋"/>
          <w:sz w:val="32"/>
          <w:szCs w:val="32"/>
        </w:rPr>
        <w:t>万元，增长</w:t>
      </w:r>
      <w:r>
        <w:rPr>
          <w:rFonts w:ascii="仿宋" w:hAnsi="Times New Roman" w:eastAsia="仿宋" w:cs="仿宋"/>
          <w:sz w:val="32"/>
          <w:szCs w:val="32"/>
        </w:rPr>
        <w:t>35.38%</w:t>
      </w:r>
      <w:r>
        <w:rPr>
          <w:rFonts w:hint="eastAsia" w:ascii="仿宋" w:hAnsi="Times New Roman" w:eastAsia="仿宋" w:cs="仿宋"/>
          <w:sz w:val="32"/>
          <w:szCs w:val="32"/>
        </w:rPr>
        <w:t>。变动的主要原因：</w:t>
      </w:r>
      <w:r>
        <w:rPr>
          <w:rFonts w:hint="eastAsia" w:ascii="仿宋" w:eastAsia="仿宋" w:cs="仿宋"/>
          <w:sz w:val="32"/>
          <w:szCs w:val="32"/>
          <w:lang w:eastAsia="zh-CN"/>
        </w:rPr>
        <w:t>工资调整及公用经费支出增加。</w:t>
      </w:r>
      <w:r>
        <w:rPr>
          <w:rFonts w:hint="eastAsia" w:ascii="仿宋" w:hAnsi="Times New Roman" w:eastAsia="仿宋" w:cs="仿宋"/>
          <w:sz w:val="32"/>
          <w:szCs w:val="32"/>
        </w:rPr>
        <w:t>其中：人员经费</w:t>
      </w:r>
      <w:r>
        <w:rPr>
          <w:rFonts w:ascii="仿宋" w:hAnsi="Times New Roman" w:eastAsia="仿宋" w:cs="仿宋"/>
          <w:sz w:val="32"/>
          <w:szCs w:val="32"/>
        </w:rPr>
        <w:t>28.4</w:t>
      </w:r>
      <w:r>
        <w:rPr>
          <w:rFonts w:hint="eastAsia" w:ascii="仿宋" w:hAnsi="Times New Roman" w:eastAsia="仿宋" w:cs="仿宋"/>
          <w:sz w:val="32"/>
          <w:szCs w:val="32"/>
        </w:rPr>
        <w:t>万元，主要包括：基本工资、津贴补贴、 奖金、社会保障缴费、伙食补助费、绩效工资、其他工资福利 支出、离休费、退休费、退职（役）费、抚恤金、生活补助、 医疗费、助学金、奖励金、住房公积金、提租补贴、购房补贴、 其他对个人和家庭的补助支出；公用经费</w:t>
      </w:r>
      <w:r>
        <w:rPr>
          <w:rFonts w:ascii="仿宋" w:hAnsi="Times New Roman" w:eastAsia="仿宋" w:cs="仿宋"/>
          <w:sz w:val="32"/>
          <w:szCs w:val="32"/>
        </w:rPr>
        <w:t>35.82</w:t>
      </w:r>
      <w:r>
        <w:rPr>
          <w:rFonts w:hint="eastAsia" w:ascii="仿宋" w:hAnsi="Times New Roman" w:eastAsia="仿宋" w:cs="仿宋"/>
          <w:sz w:val="32"/>
          <w:szCs w:val="32"/>
        </w:rPr>
        <w:t>万元，主要包括：主要包括：办公费、印刷费、咨询费、手续费、水费、电费、邮电费、取暖费、物业管理费、差旅费、因公出国（境）费、维 修（护）费、租赁费、会议费、培训费、公务接待费、专用材料费、劳务费、委托业务费、工会经费、福利费、公务用车运 行维护费、其他交通费用、税金及附加费用、其他商品和服务支出、办公设备购置、专用设备购置、大型修缮、信息网络及软件购置更新、其他资本性支出。</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七、关于一般公共预算财政拨款</w:t>
      </w:r>
      <w:r>
        <w:rPr>
          <w:rFonts w:ascii="黑体" w:hAnsi="Times New Roman" w:eastAsia="黑体" w:cs="黑体"/>
          <w:sz w:val="32"/>
          <w:szCs w:val="32"/>
        </w:rPr>
        <w:t>“</w:t>
      </w:r>
      <w:r>
        <w:rPr>
          <w:rFonts w:hint="eastAsia" w:ascii="黑体" w:hAnsi="Times New Roman" w:eastAsia="黑体" w:cs="黑体"/>
          <w:sz w:val="32"/>
          <w:szCs w:val="32"/>
        </w:rPr>
        <w:t>三公</w:t>
      </w:r>
      <w:r>
        <w:rPr>
          <w:rFonts w:ascii="黑体" w:hAnsi="Times New Roman" w:eastAsia="黑体" w:cs="黑体"/>
          <w:sz w:val="32"/>
          <w:szCs w:val="32"/>
        </w:rPr>
        <w:t>”</w:t>
      </w:r>
      <w:r>
        <w:rPr>
          <w:rFonts w:hint="eastAsia" w:ascii="黑体" w:hAnsi="Times New Roman" w:eastAsia="黑体" w:cs="黑体"/>
          <w:sz w:val="32"/>
          <w:szCs w:val="32"/>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楷体" w:hAnsi="Times New Roman" w:eastAsia="楷体" w:cs="楷体"/>
          <w:sz w:val="32"/>
          <w:szCs w:val="32"/>
        </w:rPr>
        <w:t>（一）</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经费财政拨款支出决算总体情况说明。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经费财政拨款支出预算为</w:t>
      </w:r>
      <w:r>
        <w:rPr>
          <w:rFonts w:ascii="仿宋" w:hAnsi="Times New Roman" w:eastAsia="仿宋" w:cs="仿宋"/>
          <w:sz w:val="32"/>
          <w:szCs w:val="32"/>
        </w:rPr>
        <w:t>0.15</w:t>
      </w:r>
      <w:r>
        <w:rPr>
          <w:rFonts w:hint="eastAsia" w:ascii="仿宋" w:hAnsi="Times New Roman" w:eastAsia="仿宋" w:cs="仿宋"/>
          <w:sz w:val="32"/>
          <w:szCs w:val="32"/>
        </w:rPr>
        <w:t>万元，支出决算为</w:t>
      </w:r>
      <w:r>
        <w:rPr>
          <w:rFonts w:ascii="仿宋" w:hAnsi="Times New Roman" w:eastAsia="仿宋" w:cs="仿宋"/>
          <w:sz w:val="32"/>
          <w:szCs w:val="32"/>
        </w:rPr>
        <w:t>0</w:t>
      </w:r>
      <w:r>
        <w:rPr>
          <w:rFonts w:hint="eastAsia" w:ascii="仿宋" w:hAnsi="Times New Roman" w:eastAsia="仿宋" w:cs="仿宋"/>
          <w:sz w:val="32"/>
          <w:szCs w:val="32"/>
        </w:rPr>
        <w:t>万元，完成预算的</w:t>
      </w:r>
      <w:r>
        <w:rPr>
          <w:rFonts w:ascii="仿宋" w:hAnsi="Times New Roman" w:eastAsia="仿宋" w:cs="仿宋"/>
          <w:sz w:val="32"/>
          <w:szCs w:val="32"/>
        </w:rPr>
        <w:t>0%</w:t>
      </w:r>
      <w:r>
        <w:rPr>
          <w:rFonts w:hint="eastAsia" w:ascii="仿宋" w:hAnsi="Times New Roman" w:eastAsia="仿宋" w:cs="仿宋"/>
          <w:sz w:val="32"/>
          <w:szCs w:val="32"/>
        </w:rPr>
        <w:t>。</w:t>
      </w: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经费支出决算数与预算数存在差异的主要原因</w:t>
      </w:r>
      <w:r>
        <w:rPr>
          <w:rFonts w:hint="eastAsia" w:ascii="仿宋" w:hAnsi="Times New Roman" w:eastAsia="仿宋" w:cs="仿宋"/>
          <w:sz w:val="32"/>
          <w:szCs w:val="32"/>
          <w:lang w:eastAsia="zh-CN"/>
        </w:rPr>
        <w:t>是无“三公”经费支出</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hint="eastAsia" w:ascii="楷体" w:hAnsi="Times New Roman" w:eastAsia="楷体" w:cs="楷体"/>
          <w:sz w:val="32"/>
          <w:szCs w:val="32"/>
        </w:rPr>
        <w:t>（二）</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经费财政拨款支出决算具体情况说明。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经费财政拨款支出决算中，因公出国（境）费支出决算</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，完成预算的</w:t>
      </w:r>
      <w:r>
        <w:rPr>
          <w:rFonts w:ascii="仿宋" w:hAnsi="Times New Roman" w:eastAsia="仿宋" w:cs="仿宋"/>
          <w:sz w:val="32"/>
          <w:szCs w:val="32"/>
        </w:rPr>
        <w:t>0%</w:t>
      </w:r>
      <w:r>
        <w:rPr>
          <w:rFonts w:hint="eastAsia" w:ascii="仿宋" w:hAnsi="Times New Roman" w:eastAsia="仿宋" w:cs="仿宋"/>
          <w:sz w:val="32"/>
          <w:szCs w:val="32"/>
        </w:rPr>
        <w:t>；公务用车购置及运行费支出决算</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，完成预算的</w:t>
      </w:r>
      <w:r>
        <w:rPr>
          <w:rFonts w:ascii="仿宋" w:hAnsi="Times New Roman" w:eastAsia="仿宋" w:cs="仿宋"/>
          <w:sz w:val="32"/>
          <w:szCs w:val="32"/>
        </w:rPr>
        <w:t>0%</w:t>
      </w:r>
      <w:r>
        <w:rPr>
          <w:rFonts w:hint="eastAsia" w:ascii="仿宋" w:hAnsi="Times New Roman" w:eastAsia="仿宋" w:cs="仿宋"/>
          <w:sz w:val="32"/>
          <w:szCs w:val="32"/>
        </w:rPr>
        <w:t>；公务接待费支出决算</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，完成预算的</w:t>
      </w:r>
      <w:r>
        <w:rPr>
          <w:rFonts w:ascii="仿宋" w:hAnsi="Times New Roman" w:eastAsia="仿宋" w:cs="仿宋"/>
          <w:sz w:val="32"/>
          <w:szCs w:val="32"/>
        </w:rPr>
        <w:t>0%</w:t>
      </w:r>
      <w:r>
        <w:rPr>
          <w:rFonts w:hint="eastAsia" w:ascii="仿宋" w:hAnsi="Times New Roman" w:eastAsia="仿宋" w:cs="仿宋"/>
          <w:sz w:val="32"/>
          <w:szCs w:val="32"/>
        </w:rPr>
        <w:t>。具体情况如下：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1</w:t>
      </w:r>
      <w:r>
        <w:rPr>
          <w:rFonts w:hint="eastAsia" w:ascii="仿宋" w:hAnsi="Times New Roman" w:eastAsia="仿宋" w:cs="仿宋"/>
          <w:sz w:val="32"/>
          <w:szCs w:val="32"/>
        </w:rPr>
        <w:t>．因公出国（境）费支出</w:t>
      </w:r>
      <w:r>
        <w:rPr>
          <w:rFonts w:ascii="仿宋" w:hAnsi="Times New Roman" w:eastAsia="仿宋" w:cs="仿宋"/>
          <w:sz w:val="32"/>
          <w:szCs w:val="32"/>
        </w:rPr>
        <w:t>0</w:t>
      </w:r>
      <w:r>
        <w:rPr>
          <w:rFonts w:hint="eastAsia" w:ascii="仿宋" w:hAnsi="Times New Roman" w:eastAsia="仿宋" w:cs="仿宋"/>
          <w:sz w:val="32"/>
          <w:szCs w:val="32"/>
        </w:rPr>
        <w:t>万元。全年安排河南省南阳市高新技术产业开发区社会综合治理委员会办公室机关因公出国（境）团组</w:t>
      </w:r>
      <w:r>
        <w:rPr>
          <w:rFonts w:ascii="仿宋" w:hAnsi="Times New Roman" w:eastAsia="仿宋" w:cs="仿宋"/>
          <w:sz w:val="32"/>
          <w:szCs w:val="32"/>
        </w:rPr>
        <w:t>0</w:t>
      </w:r>
      <w:r>
        <w:rPr>
          <w:rFonts w:hint="eastAsia" w:ascii="仿宋" w:hAnsi="Times New Roman" w:eastAsia="仿宋" w:cs="仿宋"/>
          <w:sz w:val="32"/>
          <w:szCs w:val="32"/>
        </w:rPr>
        <w:t>个，累计</w:t>
      </w:r>
      <w:r>
        <w:rPr>
          <w:rFonts w:ascii="仿宋" w:hAnsi="Times New Roman" w:eastAsia="仿宋" w:cs="仿宋"/>
          <w:sz w:val="32"/>
          <w:szCs w:val="32"/>
        </w:rPr>
        <w:t>0</w:t>
      </w:r>
      <w:r>
        <w:rPr>
          <w:rFonts w:hint="eastAsia" w:ascii="仿宋" w:hAnsi="Times New Roman" w:eastAsia="仿宋" w:cs="仿宋"/>
          <w:sz w:val="32"/>
          <w:szCs w:val="32"/>
        </w:rPr>
        <w:t>人次。</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hint="eastAsia" w:ascii="仿宋" w:hAnsi="Times New Roman" w:eastAsia="仿宋" w:cs="仿宋"/>
          <w:sz w:val="32"/>
          <w:szCs w:val="32"/>
          <w:lang w:eastAsia="zh-CN"/>
        </w:rPr>
      </w:pPr>
      <w:r>
        <w:rPr>
          <w:rFonts w:hint="eastAsia" w:ascii="仿宋" w:hAnsi="Times New Roman" w:eastAsia="仿宋" w:cs="仿宋"/>
          <w:sz w:val="32"/>
          <w:szCs w:val="32"/>
        </w:rPr>
        <w:t>因公出国（境）费支出决算比</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0</w:t>
      </w:r>
      <w:r>
        <w:rPr>
          <w:rFonts w:hint="eastAsia" w:ascii="仿宋" w:hAnsi="Times New Roman" w:eastAsia="仿宋" w:cs="仿宋"/>
          <w:sz w:val="32"/>
          <w:szCs w:val="32"/>
        </w:rPr>
        <w:t>万元，增长</w:t>
      </w:r>
      <w:r>
        <w:rPr>
          <w:rFonts w:ascii="仿宋" w:hAnsi="Times New Roman" w:eastAsia="仿宋" w:cs="仿宋"/>
          <w:sz w:val="32"/>
          <w:szCs w:val="32"/>
        </w:rPr>
        <w:t>0%</w:t>
      </w:r>
      <w:r>
        <w:rPr>
          <w:rFonts w:hint="eastAsia" w:ascii="仿宋" w:hAnsi="Times New Roman"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2</w:t>
      </w:r>
      <w:r>
        <w:rPr>
          <w:rFonts w:hint="eastAsia" w:ascii="仿宋" w:hAnsi="Times New Roman" w:eastAsia="仿宋" w:cs="仿宋"/>
          <w:sz w:val="32"/>
          <w:szCs w:val="32"/>
        </w:rPr>
        <w:t>．公务用车购置及运行费支出</w:t>
      </w:r>
      <w:r>
        <w:rPr>
          <w:rFonts w:ascii="仿宋" w:hAnsi="Times New Roman" w:eastAsia="仿宋" w:cs="仿宋"/>
          <w:sz w:val="32"/>
          <w:szCs w:val="32"/>
        </w:rPr>
        <w:t>0</w:t>
      </w:r>
      <w:r>
        <w:rPr>
          <w:rFonts w:hint="eastAsia" w:ascii="仿宋" w:hAnsi="Times New Roman" w:eastAsia="仿宋" w:cs="仿宋"/>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公务用车购置支出为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公务用车运行支出</w:t>
      </w:r>
      <w:r>
        <w:rPr>
          <w:rFonts w:ascii="仿宋" w:hAnsi="Times New Roman" w:eastAsia="仿宋" w:cs="仿宋"/>
          <w:sz w:val="32"/>
          <w:szCs w:val="32"/>
        </w:rPr>
        <w:t>0</w:t>
      </w:r>
      <w:r>
        <w:rPr>
          <w:rFonts w:hint="eastAsia" w:ascii="仿宋" w:hAnsi="Times New Roman" w:eastAsia="仿宋" w:cs="仿宋"/>
          <w:sz w:val="32"/>
          <w:szCs w:val="32"/>
        </w:rPr>
        <w:t>万元。</w:t>
      </w:r>
      <w:r>
        <w:rPr>
          <w:rFonts w:ascii="仿宋" w:hAnsi="Times New Roman" w:eastAsia="仿宋" w:cs="仿宋"/>
          <w:sz w:val="32"/>
          <w:szCs w:val="32"/>
        </w:rPr>
        <w:t>2017</w:t>
      </w:r>
      <w:r>
        <w:rPr>
          <w:rFonts w:hint="eastAsia" w:ascii="仿宋" w:hAnsi="Times New Roman" w:eastAsia="仿宋" w:cs="仿宋"/>
          <w:sz w:val="32"/>
          <w:szCs w:val="32"/>
        </w:rPr>
        <w:t>年期末，部门财政拨款公务用车保有量为</w:t>
      </w:r>
      <w:r>
        <w:rPr>
          <w:rFonts w:ascii="仿宋" w:hAnsi="Times New Roman" w:eastAsia="仿宋" w:cs="仿宋"/>
          <w:sz w:val="32"/>
          <w:szCs w:val="32"/>
        </w:rPr>
        <w:t>0</w:t>
      </w:r>
      <w:r>
        <w:rPr>
          <w:rFonts w:hint="eastAsia" w:ascii="仿宋" w:hAnsi="Times New Roman" w:eastAsia="仿宋" w:cs="仿宋"/>
          <w:sz w:val="32"/>
          <w:szCs w:val="32"/>
        </w:rPr>
        <w:t>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公务用车购置运行费支出决算比</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0</w:t>
      </w:r>
      <w:r>
        <w:rPr>
          <w:rFonts w:hint="eastAsia" w:ascii="仿宋" w:hAnsi="Times New Roman" w:eastAsia="仿宋" w:cs="仿宋"/>
          <w:sz w:val="32"/>
          <w:szCs w:val="32"/>
        </w:rPr>
        <w:t>万元，增长</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ascii="仿宋" w:hAnsi="Times New Roman" w:eastAsia="仿宋" w:cs="仿宋"/>
          <w:sz w:val="32"/>
          <w:szCs w:val="32"/>
        </w:rPr>
        <w:t>3</w:t>
      </w:r>
      <w:r>
        <w:rPr>
          <w:rFonts w:hint="eastAsia" w:ascii="仿宋" w:hAnsi="Times New Roman" w:eastAsia="仿宋" w:cs="仿宋"/>
          <w:sz w:val="32"/>
          <w:szCs w:val="32"/>
        </w:rPr>
        <w:t>．公务接待费支出</w:t>
      </w:r>
      <w:r>
        <w:rPr>
          <w:rFonts w:ascii="仿宋" w:hAnsi="Times New Roman" w:eastAsia="仿宋" w:cs="仿宋"/>
          <w:sz w:val="32"/>
          <w:szCs w:val="32"/>
        </w:rPr>
        <w:t>0</w:t>
      </w:r>
      <w:r>
        <w:rPr>
          <w:rFonts w:hint="eastAsia" w:ascii="仿宋" w:hAnsi="Times New Roman" w:eastAsia="仿宋" w:cs="仿宋"/>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外宾接待支出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其他国内公务接待支出</w:t>
      </w:r>
      <w:r>
        <w:rPr>
          <w:rFonts w:ascii="仿宋" w:hAnsi="Times New Roman" w:eastAsia="仿宋" w:cs="仿宋"/>
          <w:sz w:val="32"/>
          <w:szCs w:val="32"/>
        </w:rPr>
        <w:t>0</w:t>
      </w:r>
      <w:r>
        <w:rPr>
          <w:rFonts w:hint="eastAsia" w:ascii="仿宋" w:hAnsi="Times New Roman" w:eastAsia="仿宋" w:cs="仿宋"/>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公务接待费支出决算比</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0</w:t>
      </w:r>
      <w:r>
        <w:rPr>
          <w:rFonts w:hint="eastAsia" w:ascii="仿宋" w:hAnsi="Times New Roman" w:eastAsia="仿宋" w:cs="仿宋"/>
          <w:sz w:val="32"/>
          <w:szCs w:val="32"/>
        </w:rPr>
        <w:t>万元，增长</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仿宋" w:hAnsi="Times New Roman" w:eastAsia="仿宋" w:cs="仿宋"/>
          <w:sz w:val="32"/>
          <w:szCs w:val="32"/>
        </w:rPr>
        <w:t>河南省南阳市高新技术产业开发区社会综合治理委员会办公室</w:t>
      </w:r>
      <w:r>
        <w:rPr>
          <w:rFonts w:ascii="仿宋" w:hAnsi="Times New Roman" w:eastAsia="仿宋" w:cs="仿宋"/>
          <w:sz w:val="32"/>
          <w:szCs w:val="32"/>
        </w:rPr>
        <w:t>2017</w:t>
      </w:r>
      <w:r>
        <w:rPr>
          <w:rFonts w:hint="eastAsia" w:ascii="仿宋" w:hAnsi="Times New Roman" w:eastAsia="仿宋" w:cs="仿宋"/>
          <w:sz w:val="32"/>
          <w:szCs w:val="32"/>
        </w:rPr>
        <w:t>年度共接待国内来访团组</w:t>
      </w:r>
      <w:r>
        <w:rPr>
          <w:rFonts w:ascii="仿宋" w:hAnsi="Times New Roman" w:eastAsia="仿宋" w:cs="仿宋"/>
          <w:sz w:val="32"/>
          <w:szCs w:val="32"/>
        </w:rPr>
        <w:t>0</w:t>
      </w:r>
      <w:r>
        <w:rPr>
          <w:rFonts w:hint="eastAsia" w:ascii="仿宋" w:hAnsi="Times New Roman" w:eastAsia="仿宋" w:cs="仿宋"/>
          <w:sz w:val="32"/>
          <w:szCs w:val="32"/>
        </w:rPr>
        <w:t>个、来访人员</w:t>
      </w:r>
      <w:r>
        <w:rPr>
          <w:rFonts w:ascii="仿宋" w:hAnsi="Times New Roman" w:eastAsia="仿宋" w:cs="仿宋"/>
          <w:sz w:val="32"/>
          <w:szCs w:val="32"/>
        </w:rPr>
        <w:t>0</w:t>
      </w:r>
      <w:r>
        <w:rPr>
          <w:rFonts w:hint="eastAsia" w:ascii="仿宋" w:hAnsi="Times New Roman" w:eastAsia="仿宋" w:cs="仿宋"/>
          <w:sz w:val="32"/>
          <w:szCs w:val="32"/>
        </w:rPr>
        <w:t>人次（不包括陪同人员）。</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八、关于预算绩效情况说明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hint="eastAsia" w:ascii="楷体" w:hAnsi="Times New Roman" w:eastAsia="楷体" w:cs="楷体"/>
          <w:sz w:val="32"/>
          <w:szCs w:val="32"/>
        </w:rPr>
      </w:pPr>
      <w:r>
        <w:rPr>
          <w:rFonts w:hint="eastAsia" w:ascii="楷体" w:hAnsi="Times New Roman" w:eastAsia="楷体" w:cs="楷体"/>
          <w:sz w:val="32"/>
          <w:szCs w:val="32"/>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hint="eastAsia" w:ascii="仿宋" w:hAnsi="Times New Roman" w:eastAsia="仿宋" w:cs="仿宋"/>
          <w:sz w:val="32"/>
          <w:szCs w:val="32"/>
          <w:lang w:val="en-US" w:eastAsia="zh-CN"/>
        </w:rPr>
      </w:pPr>
      <w:r>
        <w:rPr>
          <w:rFonts w:hint="eastAsia" w:ascii="仿宋" w:hAnsi="Times New Roman" w:eastAsia="仿宋" w:cs="仿宋"/>
          <w:sz w:val="32"/>
          <w:szCs w:val="32"/>
          <w:lang w:val="en-US" w:eastAsia="zh-CN"/>
        </w:rPr>
        <w:t>2017年</w:t>
      </w:r>
      <w:r>
        <w:rPr>
          <w:rFonts w:hint="eastAsia" w:ascii="仿宋" w:eastAsia="仿宋" w:cs="仿宋"/>
          <w:sz w:val="32"/>
          <w:szCs w:val="32"/>
          <w:lang w:val="en-US" w:eastAsia="zh-CN"/>
        </w:rPr>
        <w:t>我单位未开展预算绩效管理工作。</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firstLine="640"/>
        <w:jc w:val="left"/>
        <w:textAlignment w:val="auto"/>
        <w:outlineLvl w:val="9"/>
        <w:rPr>
          <w:rFonts w:hint="eastAsia" w:ascii="楷体" w:hAnsi="Times New Roman" w:eastAsia="楷体" w:cs="楷体"/>
          <w:sz w:val="32"/>
          <w:szCs w:val="32"/>
        </w:rPr>
      </w:pPr>
      <w:r>
        <w:rPr>
          <w:rFonts w:hint="eastAsia" w:ascii="楷体" w:hAnsi="Times New Roman" w:eastAsia="楷体" w:cs="楷体"/>
          <w:sz w:val="32"/>
          <w:szCs w:val="32"/>
        </w:rPr>
        <w:t>项目绩效自评结果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hint="eastAsia" w:ascii="楷体" w:hAnsi="Times New Roman" w:eastAsia="楷体" w:cs="楷体"/>
          <w:sz w:val="32"/>
          <w:szCs w:val="32"/>
        </w:rPr>
      </w:pPr>
      <w:r>
        <w:rPr>
          <w:rFonts w:hint="eastAsia" w:ascii="仿宋" w:hAnsi="Times New Roman" w:eastAsia="仿宋" w:cs="仿宋"/>
          <w:sz w:val="32"/>
          <w:szCs w:val="32"/>
          <w:lang w:val="en-US" w:eastAsia="zh-CN"/>
        </w:rPr>
        <w:t>2017年</w:t>
      </w:r>
      <w:r>
        <w:rPr>
          <w:rFonts w:hint="eastAsia" w:ascii="仿宋" w:eastAsia="仿宋" w:cs="仿宋"/>
          <w:sz w:val="32"/>
          <w:szCs w:val="32"/>
          <w:lang w:val="en-US" w:eastAsia="zh-CN"/>
        </w:rPr>
        <w:t>我单位未开展预算绩效评价管理工作。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九、关于政府性基金预算财政拨款支出决算情况说明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年度政府性基金预算财政拨款支出年初预算为</w:t>
      </w:r>
      <w:r>
        <w:rPr>
          <w:rFonts w:ascii="仿宋" w:hAnsi="Times New Roman" w:eastAsia="仿宋" w:cs="仿宋"/>
          <w:sz w:val="32"/>
          <w:szCs w:val="32"/>
        </w:rPr>
        <w:t>0</w:t>
      </w:r>
      <w:r>
        <w:rPr>
          <w:rFonts w:hint="eastAsia" w:ascii="仿宋" w:hAnsi="Times New Roman" w:eastAsia="仿宋" w:cs="仿宋"/>
          <w:sz w:val="32"/>
          <w:szCs w:val="32"/>
        </w:rPr>
        <w:t>万元，支出决算为</w:t>
      </w:r>
      <w:r>
        <w:rPr>
          <w:rFonts w:ascii="仿宋" w:hAnsi="Times New Roman" w:eastAsia="仿宋" w:cs="仿宋"/>
          <w:sz w:val="32"/>
          <w:szCs w:val="32"/>
        </w:rPr>
        <w:t>0</w:t>
      </w:r>
      <w:r>
        <w:rPr>
          <w:rFonts w:hint="eastAsia" w:ascii="仿宋" w:hAnsi="Times New Roman" w:eastAsia="仿宋" w:cs="仿宋"/>
          <w:sz w:val="32"/>
          <w:szCs w:val="32"/>
        </w:rPr>
        <w:t>万元，完成年初预算的</w:t>
      </w:r>
      <w:r>
        <w:rPr>
          <w:rFonts w:ascii="仿宋" w:hAnsi="Times New Roman" w:eastAsia="仿宋" w:cs="仿宋"/>
          <w:sz w:val="32"/>
          <w:szCs w:val="32"/>
        </w:rPr>
        <w:t>0%</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十、机关运行经费支出情况说明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年度机关运行经费支出</w:t>
      </w:r>
      <w:r>
        <w:rPr>
          <w:rFonts w:ascii="仿宋" w:hAnsi="Times New Roman" w:eastAsia="仿宋" w:cs="仿宋"/>
          <w:sz w:val="32"/>
          <w:szCs w:val="32"/>
        </w:rPr>
        <w:t>35.82</w:t>
      </w:r>
      <w:r>
        <w:rPr>
          <w:rFonts w:hint="eastAsia" w:ascii="仿宋" w:hAnsi="Times New Roman" w:eastAsia="仿宋" w:cs="仿宋"/>
          <w:sz w:val="32"/>
          <w:szCs w:val="32"/>
        </w:rPr>
        <w:t>万元，较</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30.92</w:t>
      </w:r>
      <w:r>
        <w:rPr>
          <w:rFonts w:hint="eastAsia" w:ascii="仿宋" w:hAnsi="Times New Roman" w:eastAsia="仿宋" w:cs="仿宋"/>
          <w:sz w:val="32"/>
          <w:szCs w:val="32"/>
        </w:rPr>
        <w:t>万元，增长</w:t>
      </w:r>
      <w:r>
        <w:rPr>
          <w:rFonts w:ascii="仿宋" w:hAnsi="Times New Roman" w:eastAsia="仿宋" w:cs="仿宋"/>
          <w:sz w:val="32"/>
          <w:szCs w:val="32"/>
        </w:rPr>
        <w:t>631.61%</w:t>
      </w:r>
      <w:r>
        <w:rPr>
          <w:rFonts w:hint="eastAsia" w:ascii="仿宋" w:hAnsi="Times New Roman" w:eastAsia="仿宋" w:cs="仿宋"/>
          <w:sz w:val="32"/>
          <w:szCs w:val="32"/>
        </w:rPr>
        <w:t>。增加的主要原因是：</w:t>
      </w:r>
      <w:r>
        <w:rPr>
          <w:rFonts w:hint="eastAsia" w:ascii="仿宋" w:hAnsi="Times New Roman" w:eastAsia="仿宋" w:cs="仿宋"/>
          <w:sz w:val="32"/>
          <w:szCs w:val="32"/>
          <w:lang w:eastAsia="zh-CN"/>
        </w:rPr>
        <w:t>印刷费及其他商品和服务支出增加</w:t>
      </w:r>
      <w:r>
        <w:rPr>
          <w:rFonts w:hint="eastAsia" w:ascii="仿宋" w:eastAsia="仿宋" w:cs="仿宋"/>
          <w:sz w:val="32"/>
          <w:szCs w:val="32"/>
          <w:lang w:eastAsia="zh-CN"/>
        </w:rPr>
        <w:t>较</w:t>
      </w:r>
      <w:r>
        <w:rPr>
          <w:rFonts w:hint="eastAsia" w:ascii="仿宋" w:hAnsi="Times New Roman" w:eastAsia="仿宋" w:cs="仿宋"/>
          <w:sz w:val="32"/>
          <w:szCs w:val="32"/>
          <w:lang w:eastAsia="zh-CN"/>
        </w:rPr>
        <w:t>多</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十一、政府采购支出情况说明</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outlineLvl w:val="9"/>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年度政府采购支出总额</w:t>
      </w:r>
      <w:r>
        <w:rPr>
          <w:rFonts w:ascii="仿宋" w:hAnsi="Times New Roman" w:eastAsia="仿宋" w:cs="仿宋"/>
          <w:sz w:val="32"/>
          <w:szCs w:val="32"/>
        </w:rPr>
        <w:t>1.47</w:t>
      </w:r>
      <w:r>
        <w:rPr>
          <w:rFonts w:hint="eastAsia" w:ascii="仿宋" w:hAnsi="Times New Roman" w:eastAsia="仿宋" w:cs="仿宋"/>
          <w:sz w:val="32"/>
          <w:szCs w:val="32"/>
        </w:rPr>
        <w:t>万元，其中：政府采购货物支出</w:t>
      </w:r>
      <w:r>
        <w:rPr>
          <w:rFonts w:ascii="仿宋" w:hAnsi="Times New Roman" w:eastAsia="仿宋" w:cs="仿宋"/>
          <w:sz w:val="32"/>
          <w:szCs w:val="32"/>
        </w:rPr>
        <w:t>1.47</w:t>
      </w:r>
      <w:r>
        <w:rPr>
          <w:rFonts w:hint="eastAsia" w:ascii="仿宋" w:hAnsi="Times New Roman" w:eastAsia="仿宋" w:cs="仿宋"/>
          <w:sz w:val="32"/>
          <w:szCs w:val="32"/>
        </w:rPr>
        <w:t>万元，政府采购工程支出</w:t>
      </w:r>
      <w:r>
        <w:rPr>
          <w:rFonts w:ascii="仿宋" w:hAnsi="Times New Roman" w:eastAsia="仿宋" w:cs="仿宋"/>
          <w:sz w:val="32"/>
          <w:szCs w:val="32"/>
        </w:rPr>
        <w:t>0</w:t>
      </w:r>
      <w:r>
        <w:rPr>
          <w:rFonts w:hint="eastAsia" w:ascii="仿宋" w:hAnsi="Times New Roman" w:eastAsia="仿宋" w:cs="仿宋"/>
          <w:sz w:val="32"/>
          <w:szCs w:val="32"/>
        </w:rPr>
        <w:t>万元，政府采购服务支出</w:t>
      </w:r>
      <w:r>
        <w:rPr>
          <w:rFonts w:ascii="仿宋" w:hAnsi="Times New Roman" w:eastAsia="仿宋" w:cs="仿宋"/>
          <w:sz w:val="32"/>
          <w:szCs w:val="32"/>
        </w:rPr>
        <w:t>0</w:t>
      </w:r>
      <w:r>
        <w:rPr>
          <w:rFonts w:hint="eastAsia" w:ascii="仿宋" w:hAnsi="Times New Roman" w:eastAsia="仿宋" w:cs="仿宋"/>
          <w:sz w:val="32"/>
          <w:szCs w:val="32"/>
        </w:rPr>
        <w:t>万元。其中：授予小微企业合同金额</w:t>
      </w:r>
      <w:r>
        <w:rPr>
          <w:rFonts w:hint="eastAsia" w:ascii="仿宋" w:hAnsi="Times New Roman" w:eastAsia="仿宋" w:cs="仿宋"/>
          <w:sz w:val="32"/>
          <w:szCs w:val="32"/>
          <w:lang w:val="en-US" w:eastAsia="zh-CN"/>
        </w:rPr>
        <w:t>1.47</w:t>
      </w:r>
      <w:r>
        <w:rPr>
          <w:rFonts w:hint="eastAsia" w:ascii="仿宋" w:hAnsi="Times New Roman" w:eastAsia="仿宋" w:cs="仿宋"/>
          <w:sz w:val="32"/>
          <w:szCs w:val="32"/>
        </w:rPr>
        <w:t>万元，占政府采购支出总额的</w:t>
      </w:r>
      <w:r>
        <w:rPr>
          <w:rFonts w:hint="eastAsia" w:ascii="仿宋" w:hAnsi="Times New Roman" w:eastAsia="仿宋" w:cs="仿宋"/>
          <w:sz w:val="32"/>
          <w:szCs w:val="32"/>
          <w:lang w:val="en-US" w:eastAsia="zh-CN"/>
        </w:rPr>
        <w:t>100</w:t>
      </w:r>
      <w:r>
        <w:rPr>
          <w:rFonts w:ascii="仿宋" w:hAnsi="Times New Roman" w:eastAsia="仿宋" w:cs="仿宋"/>
          <w:sz w:val="32"/>
          <w:szCs w:val="32"/>
        </w:rPr>
        <w:t>%</w:t>
      </w:r>
      <w:r>
        <w:rPr>
          <w:rFonts w:hint="eastAsia" w:ascii="仿宋" w:hAnsi="Times New Roman"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jc w:val="left"/>
        <w:textAlignment w:val="auto"/>
        <w:outlineLvl w:val="9"/>
        <w:rPr>
          <w:rFonts w:ascii="仿宋" w:hAnsi="Times New Roman" w:eastAsia="仿宋" w:cs="仿宋"/>
          <w:sz w:val="32"/>
          <w:szCs w:val="32"/>
        </w:rPr>
      </w:pPr>
      <w:r>
        <w:rPr>
          <w:rFonts w:hint="eastAsia" w:ascii="黑体" w:hAnsi="Times New Roman" w:eastAsia="黑体" w:cs="黑体"/>
          <w:sz w:val="32"/>
          <w:szCs w:val="32"/>
        </w:rPr>
        <w:t>十二、国有资产占用情况说明</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outlineLvl w:val="9"/>
        <w:rPr>
          <w:rFonts w:ascii="Times New Roman" w:hAnsi="Times New Roman" w:eastAsia="仿宋" w:cs="Times New Roman"/>
          <w:sz w:val="52"/>
          <w:szCs w:val="52"/>
        </w:rPr>
      </w:pPr>
      <w:r>
        <w:rPr>
          <w:rFonts w:ascii="仿宋" w:hAnsi="Times New Roman" w:eastAsia="仿宋" w:cs="仿宋"/>
          <w:sz w:val="32"/>
          <w:szCs w:val="32"/>
        </w:rPr>
        <w:t xml:space="preserve">  2017</w:t>
      </w:r>
      <w:r>
        <w:rPr>
          <w:rFonts w:hint="eastAsia" w:ascii="仿宋" w:hAnsi="Times New Roman" w:eastAsia="仿宋" w:cs="仿宋"/>
          <w:sz w:val="32"/>
          <w:szCs w:val="32"/>
        </w:rPr>
        <w:t>年期末，河南省南阳市高新技术产业开发区社会综合治理委员会办公室共有车辆</w:t>
      </w:r>
      <w:r>
        <w:rPr>
          <w:rFonts w:ascii="仿宋" w:hAnsi="Times New Roman" w:eastAsia="仿宋" w:cs="仿宋"/>
          <w:sz w:val="32"/>
          <w:szCs w:val="32"/>
        </w:rPr>
        <w:t>0</w:t>
      </w:r>
      <w:r>
        <w:rPr>
          <w:rFonts w:hint="eastAsia" w:ascii="仿宋" w:hAnsi="Times New Roman" w:eastAsia="仿宋" w:cs="仿宋"/>
          <w:sz w:val="32"/>
          <w:szCs w:val="32"/>
        </w:rPr>
        <w:t>辆，其中：一般公务用车</w:t>
      </w:r>
      <w:r>
        <w:rPr>
          <w:rFonts w:ascii="仿宋" w:hAnsi="Times New Roman" w:eastAsia="仿宋" w:cs="仿宋"/>
          <w:sz w:val="32"/>
          <w:szCs w:val="32"/>
        </w:rPr>
        <w:t>0</w:t>
      </w:r>
      <w:r>
        <w:rPr>
          <w:rFonts w:hint="eastAsia" w:ascii="仿宋" w:hAnsi="Times New Roman" w:eastAsia="仿宋" w:cs="仿宋"/>
          <w:sz w:val="32"/>
          <w:szCs w:val="32"/>
        </w:rPr>
        <w:t>辆、一般执法执勤用车</w:t>
      </w:r>
      <w:r>
        <w:rPr>
          <w:rFonts w:ascii="仿宋" w:hAnsi="Times New Roman" w:eastAsia="仿宋" w:cs="仿宋"/>
          <w:sz w:val="32"/>
          <w:szCs w:val="32"/>
        </w:rPr>
        <w:t>0</w:t>
      </w:r>
      <w:r>
        <w:rPr>
          <w:rFonts w:hint="eastAsia" w:ascii="仿宋" w:hAnsi="Times New Roman" w:eastAsia="仿宋" w:cs="仿宋"/>
          <w:sz w:val="32"/>
          <w:szCs w:val="32"/>
        </w:rPr>
        <w:t>辆、特种专业技术用车</w:t>
      </w:r>
      <w:r>
        <w:rPr>
          <w:rFonts w:ascii="仿宋" w:hAnsi="Times New Roman" w:eastAsia="仿宋" w:cs="仿宋"/>
          <w:sz w:val="32"/>
          <w:szCs w:val="32"/>
        </w:rPr>
        <w:t>0</w:t>
      </w:r>
      <w:r>
        <w:rPr>
          <w:rFonts w:hint="eastAsia" w:ascii="仿宋" w:hAnsi="Times New Roman" w:eastAsia="仿宋" w:cs="仿宋"/>
          <w:sz w:val="32"/>
          <w:szCs w:val="32"/>
        </w:rPr>
        <w:t>辆，其他用车</w:t>
      </w:r>
      <w:r>
        <w:rPr>
          <w:rFonts w:ascii="仿宋" w:hAnsi="Times New Roman" w:eastAsia="仿宋" w:cs="仿宋"/>
          <w:sz w:val="32"/>
          <w:szCs w:val="32"/>
        </w:rPr>
        <w:t>0</w:t>
      </w:r>
      <w:r>
        <w:rPr>
          <w:rFonts w:hint="eastAsia" w:ascii="仿宋" w:hAnsi="Times New Roman" w:eastAsia="仿宋" w:cs="仿宋"/>
          <w:sz w:val="32"/>
          <w:szCs w:val="32"/>
        </w:rPr>
        <w:t>辆，单位价值</w:t>
      </w:r>
      <w:r>
        <w:rPr>
          <w:rFonts w:ascii="仿宋" w:hAnsi="Times New Roman" w:eastAsia="仿宋" w:cs="仿宋"/>
          <w:sz w:val="32"/>
          <w:szCs w:val="32"/>
        </w:rPr>
        <w:t>50</w:t>
      </w:r>
      <w:r>
        <w:rPr>
          <w:rFonts w:hint="eastAsia" w:ascii="仿宋" w:hAnsi="Times New Roman" w:eastAsia="仿宋" w:cs="仿宋"/>
          <w:sz w:val="32"/>
          <w:szCs w:val="32"/>
        </w:rPr>
        <w:t>万元以上通用设备</w:t>
      </w:r>
      <w:r>
        <w:rPr>
          <w:rFonts w:ascii="仿宋" w:hAnsi="Times New Roman" w:eastAsia="仿宋" w:cs="仿宋"/>
          <w:sz w:val="32"/>
          <w:szCs w:val="32"/>
        </w:rPr>
        <w:t>0</w:t>
      </w:r>
      <w:r>
        <w:rPr>
          <w:rFonts w:hint="eastAsia" w:ascii="仿宋" w:hAnsi="Times New Roman" w:eastAsia="仿宋" w:cs="仿宋"/>
          <w:sz w:val="32"/>
          <w:szCs w:val="32"/>
        </w:rPr>
        <w:t>台（套），单位价值</w:t>
      </w:r>
      <w:r>
        <w:rPr>
          <w:rFonts w:ascii="仿宋" w:hAnsi="Times New Roman" w:eastAsia="仿宋" w:cs="仿宋"/>
          <w:sz w:val="32"/>
          <w:szCs w:val="32"/>
        </w:rPr>
        <w:t>100</w:t>
      </w:r>
      <w:r>
        <w:rPr>
          <w:rFonts w:hint="eastAsia" w:ascii="仿宋" w:hAnsi="Times New Roman" w:eastAsia="仿宋" w:cs="仿宋"/>
          <w:sz w:val="32"/>
          <w:szCs w:val="32"/>
        </w:rPr>
        <w:t>万元以上专用设备</w:t>
      </w:r>
      <w:r>
        <w:rPr>
          <w:rFonts w:ascii="仿宋" w:hAnsi="Times New Roman" w:eastAsia="仿宋" w:cs="仿宋"/>
          <w:sz w:val="32"/>
          <w:szCs w:val="32"/>
        </w:rPr>
        <w:t>0</w:t>
      </w:r>
      <w:r>
        <w:rPr>
          <w:rFonts w:hint="eastAsia" w:ascii="仿宋" w:hAnsi="Times New Roman" w:eastAsia="仿宋" w:cs="仿宋"/>
          <w:sz w:val="32"/>
          <w:szCs w:val="32"/>
        </w:rPr>
        <w:t>台（套）。</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9"/>
        <w:rPr>
          <w:rFonts w:ascii="Times New Roman" w:hAnsi="Times New Roman" w:eastAsia="仿宋" w:cs="Times New Roman"/>
          <w:szCs w:val="21"/>
        </w:rPr>
      </w:pPr>
    </w:p>
    <w:p>
      <w:pPr>
        <w:kinsoku w:val="0"/>
        <w:overflowPunct w:val="0"/>
        <w:adjustRightInd w:val="0"/>
        <w:snapToGrid w:val="0"/>
        <w:spacing w:line="360" w:lineRule="auto"/>
        <w:ind w:right="521" w:firstLine="0" w:firstLineChars="0"/>
        <w:jc w:val="center"/>
        <w:rPr>
          <w:rFonts w:ascii="黑体" w:eastAsia="黑体" w:cs="黑体"/>
          <w:szCs w:val="32"/>
        </w:rPr>
      </w:pPr>
      <w:r>
        <w:rPr>
          <w:rFonts w:hint="eastAsia" w:ascii="黑体" w:eastAsia="黑体" w:cs="黑体"/>
          <w:szCs w:val="32"/>
        </w:rPr>
        <w:t>第四部分</w:t>
      </w:r>
      <w:r>
        <w:rPr>
          <w:rFonts w:hint="eastAsia" w:ascii="黑体" w:eastAsia="黑体" w:cs="黑体"/>
          <w:spacing w:val="-32"/>
          <w:szCs w:val="32"/>
        </w:rPr>
        <w:t xml:space="preserve">  </w:t>
      </w:r>
      <w:r>
        <w:rPr>
          <w:rFonts w:hint="eastAsia" w:ascii="黑体" w:eastAsia="黑体" w:cs="黑体"/>
          <w:szCs w:val="32"/>
        </w:rPr>
        <w:t>名词解释</w:t>
      </w:r>
    </w:p>
    <w:p>
      <w:pPr>
        <w:kinsoku w:val="0"/>
        <w:overflowPunct w:val="0"/>
        <w:adjustRightInd w:val="0"/>
        <w:snapToGrid w:val="0"/>
        <w:spacing w:line="360" w:lineRule="auto"/>
        <w:ind w:left="101" w:right="521" w:firstLine="512"/>
        <w:jc w:val="center"/>
        <w:rPr>
          <w:rFonts w:ascii="黑体" w:eastAsia="黑体" w:cs="黑体"/>
          <w:spacing w:val="-32"/>
          <w:szCs w:val="32"/>
        </w:rPr>
      </w:pP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一、财政拨款收入：是指财政当年拨付的资金。</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二、事业收入：是指事业单位开展专业活动及辅助活动所取 得的收入。</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 xml:space="preserve">三、其他收入：是指部门取得的除“财政拨款”、“事业收入”、“事业单位经营收入”等以外的收入。 </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五、上年结转和结余：是指以前年度支出预算因客观条件变化未执行完毕、结转到本年度按有关规定继续使用的资金，既包括财政拨款结转和结余，也包括事业收入、经营收入、其他收入的结转和结余。</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六、基本支出：是指为保障机构正常运转、完成日常工作任务所必需的开支，其内容包括人员经费和日常公用经费两部分。</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七、项目支出：是指在基本支出之外，为完成特定的行政工作任务或事业发展目标所发生的支出。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八、一般公共服务（类）××事务（款）：是指</w:t>
      </w:r>
      <w:r>
        <w:rPr>
          <w:rFonts w:hint="eastAsia" w:hAnsi="宋体" w:cs="Courier New"/>
        </w:rPr>
        <w:t>河南省南阳市高新技术产业开发区社会综合管理委员会办公室</w:t>
      </w:r>
      <w:r>
        <w:rPr>
          <w:rFonts w:hint="eastAsia" w:hAnsi="宋体" w:cs="Courier New"/>
          <w:kern w:val="2"/>
        </w:rPr>
        <w:t>用于保障机构正常运行、开展××业务等活动的支出。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（一）行政运行（项）：是指为保障</w:t>
      </w:r>
      <w:r>
        <w:rPr>
          <w:rFonts w:hint="eastAsia" w:hAnsi="宋体" w:cs="Courier New"/>
        </w:rPr>
        <w:t>河南省南阳市高新技术产业开发区社会综合管理委员会办公室</w:t>
      </w:r>
      <w:r>
        <w:rPr>
          <w:rFonts w:hint="eastAsia" w:hAnsi="宋体" w:cs="Courier New"/>
          <w:kern w:val="2"/>
        </w:rPr>
        <w:t>各行政机构正常运转、完成日常工作任务安排的支出。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（二）一般行政管理事务（项）：是指</w:t>
      </w:r>
      <w:r>
        <w:rPr>
          <w:rFonts w:hint="eastAsia" w:hAnsi="宋体" w:cs="Courier New"/>
        </w:rPr>
        <w:t>河南省南阳市高新技术产业开发区社会综合管理委员会办公室</w:t>
      </w:r>
      <w:r>
        <w:rPr>
          <w:rFonts w:hint="eastAsia" w:hAnsi="宋体" w:cs="Courier New"/>
          <w:kern w:val="2"/>
        </w:rPr>
        <w:t>机关及所属二级单位的项目支出。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（三）机关服务（项）：是指为</w:t>
      </w:r>
      <w:r>
        <w:rPr>
          <w:rFonts w:hint="eastAsia" w:hAnsi="宋体" w:cs="Courier New"/>
        </w:rPr>
        <w:t>河南省南阳市高新技术产业开发区社会综合管理委员会办公室</w:t>
      </w:r>
      <w:r>
        <w:rPr>
          <w:rFonts w:hint="eastAsia" w:hAnsi="宋体" w:cs="Courier New"/>
          <w:kern w:val="2"/>
        </w:rPr>
        <w:t>机关提供后勤保障服务的机关服务局的支出。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（四）事业运行（项）：是指事业单位用于保障机构正常运转的基本支出。</w:t>
      </w:r>
    </w:p>
    <w:p>
      <w:pPr>
        <w:pStyle w:val="2"/>
        <w:kinsoku w:val="0"/>
        <w:overflowPunct w:val="0"/>
        <w:snapToGrid w:val="0"/>
        <w:spacing w:line="360" w:lineRule="auto"/>
        <w:ind w:left="0" w:firstLine="640" w:firstLineChars="200"/>
        <w:jc w:val="both"/>
        <w:rPr>
          <w:rFonts w:hAnsi="宋体" w:cs="Courier New"/>
          <w:kern w:val="2"/>
        </w:rPr>
      </w:pPr>
      <w:r>
        <w:rPr>
          <w:rFonts w:hint="eastAsia" w:hAnsi="宋体" w:cs="Courier New"/>
          <w:kern w:val="2"/>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insoku w:val="0"/>
        <w:overflowPunct w:val="0"/>
        <w:snapToGrid w:val="0"/>
        <w:spacing w:line="360" w:lineRule="auto"/>
        <w:ind w:left="0" w:firstLine="640" w:firstLineChars="200"/>
        <w:jc w:val="both"/>
      </w:pPr>
      <w:r>
        <w:rPr>
          <w:rFonts w:hint="eastAsia" w:hAnsi="宋体" w:cs="Courier New"/>
          <w:kern w:val="2"/>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2"/>
        <w:kinsoku w:val="0"/>
        <w:overflowPunct w:val="0"/>
        <w:snapToGrid w:val="0"/>
        <w:spacing w:line="360" w:lineRule="auto"/>
        <w:ind w:left="0" w:firstLine="640" w:firstLineChars="200"/>
        <w:jc w:val="both"/>
        <w:rPr>
          <w:rFonts w:hAnsi="宋体" w:cs="Courier New"/>
          <w:kern w:val="2"/>
        </w:rPr>
      </w:pPr>
    </w:p>
    <w:p>
      <w:pPr>
        <w:pStyle w:val="2"/>
        <w:kinsoku w:val="0"/>
        <w:overflowPunct w:val="0"/>
        <w:snapToGrid w:val="0"/>
        <w:spacing w:line="360" w:lineRule="auto"/>
        <w:ind w:left="0"/>
        <w:jc w:val="both"/>
        <w:rPr>
          <w:rFonts w:hAnsi="宋体" w:cs="Courier New"/>
          <w:kern w:val="2"/>
        </w:rPr>
      </w:pPr>
    </w:p>
    <w:p>
      <w:pPr>
        <w:pStyle w:val="2"/>
        <w:kinsoku w:val="0"/>
        <w:overflowPunct w:val="0"/>
        <w:snapToGrid w:val="0"/>
        <w:spacing w:line="360" w:lineRule="auto"/>
        <w:ind w:left="0" w:firstLine="640" w:firstLineChars="200"/>
        <w:jc w:val="both"/>
        <w:rPr>
          <w:rFonts w:hAnsi="宋体" w:cs="Courier New"/>
          <w:kern w:val="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BA6AAB"/>
    <w:multiLevelType w:val="singleLevel"/>
    <w:tmpl w:val="B8BA6AAB"/>
    <w:lvl w:ilvl="0" w:tentative="0">
      <w:start w:val="2"/>
      <w:numFmt w:val="chineseCounting"/>
      <w:suff w:val="nothing"/>
      <w:lvlText w:val="（%1）"/>
      <w:lvlJc w:val="left"/>
      <w:rPr>
        <w:rFonts w:hint="eastAsia"/>
      </w:rPr>
    </w:lvl>
  </w:abstractNum>
  <w:abstractNum w:abstractNumId="1">
    <w:nsid w:val="2712C04B"/>
    <w:multiLevelType w:val="singleLevel"/>
    <w:tmpl w:val="2712C04B"/>
    <w:lvl w:ilvl="0" w:tentative="0">
      <w:start w:val="4"/>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4B6D"/>
    <w:rsid w:val="00091DFA"/>
    <w:rsid w:val="000C21C9"/>
    <w:rsid w:val="001D0B78"/>
    <w:rsid w:val="00236016"/>
    <w:rsid w:val="003313E4"/>
    <w:rsid w:val="003D3B40"/>
    <w:rsid w:val="00444B6D"/>
    <w:rsid w:val="004F73DF"/>
    <w:rsid w:val="00510FFB"/>
    <w:rsid w:val="00550E29"/>
    <w:rsid w:val="00587549"/>
    <w:rsid w:val="005B16A9"/>
    <w:rsid w:val="005C01D0"/>
    <w:rsid w:val="00602B23"/>
    <w:rsid w:val="00611427"/>
    <w:rsid w:val="00693E01"/>
    <w:rsid w:val="00714DD8"/>
    <w:rsid w:val="00726832"/>
    <w:rsid w:val="007367F4"/>
    <w:rsid w:val="008003AD"/>
    <w:rsid w:val="00843D87"/>
    <w:rsid w:val="008A54B0"/>
    <w:rsid w:val="008E532D"/>
    <w:rsid w:val="00A71FBB"/>
    <w:rsid w:val="00A9336D"/>
    <w:rsid w:val="00AA0B2F"/>
    <w:rsid w:val="00B04C5B"/>
    <w:rsid w:val="00B653DE"/>
    <w:rsid w:val="00BF27B9"/>
    <w:rsid w:val="00C27F00"/>
    <w:rsid w:val="00D52204"/>
    <w:rsid w:val="00D771C8"/>
    <w:rsid w:val="00D93E65"/>
    <w:rsid w:val="00DA3370"/>
    <w:rsid w:val="00EA0F57"/>
    <w:rsid w:val="00EC7079"/>
    <w:rsid w:val="00EF6395"/>
    <w:rsid w:val="00F67B8F"/>
    <w:rsid w:val="00F74F5E"/>
    <w:rsid w:val="00FA5EC1"/>
    <w:rsid w:val="00FD1A98"/>
    <w:rsid w:val="00FF630D"/>
    <w:rsid w:val="0D093668"/>
    <w:rsid w:val="10E50D32"/>
    <w:rsid w:val="2A585DF4"/>
    <w:rsid w:val="36005DFF"/>
    <w:rsid w:val="37634293"/>
    <w:rsid w:val="44B176C0"/>
    <w:rsid w:val="5BC31A64"/>
    <w:rsid w:val="66D20090"/>
    <w:rsid w:val="74060412"/>
    <w:rsid w:val="78EB47AB"/>
    <w:rsid w:val="7A6F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qFormat/>
    <w:uiPriority w:val="1"/>
    <w:pPr>
      <w:autoSpaceDE w:val="0"/>
      <w:autoSpaceDN w:val="0"/>
      <w:adjustRightInd w:val="0"/>
      <w:spacing w:line="240" w:lineRule="auto"/>
      <w:ind w:left="761" w:firstLine="0" w:firstLineChars="0"/>
      <w:jc w:val="left"/>
    </w:pPr>
    <w:rPr>
      <w:rFonts w:ascii="仿宋_GB2312" w:cs="仿宋_GB2312"/>
      <w:kern w:val="0"/>
      <w:szCs w:val="32"/>
    </w:rPr>
  </w:style>
  <w:style w:type="paragraph" w:styleId="3">
    <w:name w:val="footer"/>
    <w:basedOn w:val="1"/>
    <w:link w:val="8"/>
    <w:semiHidden/>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正文文本 Char"/>
    <w:basedOn w:val="5"/>
    <w:link w:val="2"/>
    <w:qFormat/>
    <w:uiPriority w:val="1"/>
    <w:rPr>
      <w:rFonts w:ascii="仿宋_GB2312" w:hAnsi="Times New Roman" w:eastAsia="仿宋_GB2312" w:cs="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5AAFE-7EFE-451E-AF56-3244755E9F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562</Words>
  <Characters>3204</Characters>
  <Lines>26</Lines>
  <Paragraphs>7</Paragraphs>
  <TotalTime>3</TotalTime>
  <ScaleCrop>false</ScaleCrop>
  <LinksUpToDate>false</LinksUpToDate>
  <CharactersWithSpaces>3759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2017-05-25T08:22:00Z</dcterms:created>
  <dc:creator>User</dc:creator>
  <cp:lastModifiedBy>lenovo</cp:lastModifiedBy>
  <cp:lastPrinted>2017-11-06T04:47:00Z</cp:lastPrinted>
  <dcterms:modified xsi:type="dcterms:W3CDTF">2018-09-18T06:46:19Z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