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center"/>
        <w:rPr>
          <w:rFonts w:ascii="仿宋_GB2312"/>
          <w:szCs w:val="32"/>
        </w:rPr>
      </w:pPr>
      <w:r>
        <w:rPr>
          <w:rFonts w:hint="eastAsia" w:ascii="方正小标宋简体" w:eastAsia="方正小标宋简体"/>
          <w:sz w:val="36"/>
          <w:szCs w:val="36"/>
        </w:rPr>
        <w:t>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年度河南省南阳市高新技术产业开发区信访领导小组办公室决算公开</w:t>
      </w:r>
    </w:p>
    <w:p>
      <w:pPr>
        <w:kinsoku w:val="0"/>
        <w:overflowPunct w:val="0"/>
        <w:adjustRightInd w:val="0"/>
        <w:snapToGrid w:val="0"/>
        <w:spacing w:line="360" w:lineRule="auto"/>
        <w:ind w:left="-142" w:right="51" w:firstLine="39" w:firstLineChars="7"/>
        <w:jc w:val="center"/>
        <w:rPr>
          <w:rFonts w:hint="eastAsia" w:ascii="黑体" w:eastAsia="黑体" w:cs="黑体"/>
          <w:sz w:val="56"/>
          <w:szCs w:val="56"/>
        </w:rPr>
      </w:pPr>
      <w:r>
        <w:rPr>
          <w:rFonts w:hint="eastAsia" w:ascii="黑体" w:eastAsia="黑体" w:cs="黑体"/>
          <w:sz w:val="56"/>
          <w:szCs w:val="56"/>
        </w:rPr>
        <w:t>目</w:t>
      </w:r>
      <w:r>
        <w:rPr>
          <w:rFonts w:ascii="黑体" w:eastAsia="黑体" w:cs="黑体"/>
          <w:spacing w:val="2"/>
          <w:sz w:val="56"/>
          <w:szCs w:val="56"/>
        </w:rPr>
        <w:t xml:space="preserve"> </w:t>
      </w:r>
      <w:r>
        <w:rPr>
          <w:rFonts w:hint="eastAsia" w:ascii="黑体" w:eastAsia="黑体" w:cs="黑体"/>
          <w:sz w:val="56"/>
          <w:szCs w:val="56"/>
        </w:rPr>
        <w:t>录</w:t>
      </w:r>
    </w:p>
    <w:p>
      <w:pPr>
        <w:kinsoku w:val="0"/>
        <w:overflowPunct w:val="0"/>
        <w:adjustRightInd w:val="0"/>
        <w:snapToGrid w:val="0"/>
        <w:spacing w:line="360" w:lineRule="auto"/>
        <w:ind w:left="-142" w:right="51" w:firstLine="22" w:firstLineChars="7"/>
        <w:rPr>
          <w:rFonts w:ascii="黑体" w:eastAsia="黑体" w:cs="黑体"/>
          <w:w w:val="99"/>
          <w:szCs w:val="32"/>
        </w:rPr>
      </w:pPr>
      <w:r>
        <w:rPr>
          <w:rFonts w:hint="eastAsia" w:ascii="黑体" w:eastAsia="黑体" w:cs="黑体"/>
          <w:szCs w:val="32"/>
        </w:rPr>
        <w:t xml:space="preserve">      第一部分河南省南阳市高新技术产业开发区信访领导小组办公室概况</w:t>
      </w:r>
      <w:r>
        <w:rPr>
          <w:rFonts w:ascii="黑体" w:eastAsia="黑体" w:cs="黑体"/>
          <w:w w:val="99"/>
          <w:szCs w:val="32"/>
        </w:rPr>
        <w:t xml:space="preserve"> </w:t>
      </w:r>
    </w:p>
    <w:p>
      <w:pPr>
        <w:kinsoku w:val="0"/>
        <w:overflowPunct w:val="0"/>
        <w:adjustRightInd w:val="0"/>
        <w:snapToGrid w:val="0"/>
        <w:spacing w:line="360" w:lineRule="auto"/>
        <w:ind w:right="3569" w:firstLine="960" w:firstLineChars="300"/>
        <w:jc w:val="left"/>
        <w:rPr>
          <w:rFonts w:ascii="仿宋_GB2312" w:cs="仿宋_GB2312"/>
          <w:szCs w:val="32"/>
        </w:rPr>
      </w:pPr>
      <w:r>
        <w:rPr>
          <w:rFonts w:hint="eastAsia" w:ascii="仿宋_GB2312" w:cs="仿宋_GB2312"/>
          <w:szCs w:val="32"/>
        </w:rPr>
        <w:t>一、主要职能</w:t>
      </w:r>
    </w:p>
    <w:p>
      <w:pPr>
        <w:kinsoku w:val="0"/>
        <w:overflowPunct w:val="0"/>
        <w:adjustRightInd w:val="0"/>
        <w:snapToGrid w:val="0"/>
        <w:spacing w:line="360" w:lineRule="auto"/>
        <w:ind w:right="3569" w:firstLine="960" w:firstLineChars="300"/>
        <w:jc w:val="left"/>
        <w:rPr>
          <w:rFonts w:ascii="仿宋_GB2312" w:cs="仿宋_GB2312"/>
          <w:szCs w:val="32"/>
        </w:rPr>
      </w:pPr>
      <w:r>
        <w:rPr>
          <w:rFonts w:hint="eastAsia" w:ascii="仿宋_GB2312" w:cs="仿宋_GB2312"/>
          <w:szCs w:val="32"/>
        </w:rPr>
        <w:t>二、部门决算单位构成</w:t>
      </w:r>
    </w:p>
    <w:p>
      <w:pPr>
        <w:kinsoku w:val="0"/>
        <w:overflowPunct w:val="0"/>
        <w:adjustRightInd w:val="0"/>
        <w:snapToGrid w:val="0"/>
        <w:spacing w:line="360" w:lineRule="auto"/>
        <w:ind w:left="101" w:firstLine="640"/>
        <w:rPr>
          <w:rFonts w:ascii="黑体" w:eastAsia="黑体" w:cs="黑体"/>
          <w:szCs w:val="32"/>
        </w:rPr>
      </w:pPr>
      <w:r>
        <w:rPr>
          <w:rFonts w:hint="eastAsia" w:ascii="黑体" w:eastAsia="黑体" w:cs="黑体"/>
          <w:szCs w:val="32"/>
        </w:rPr>
        <w:t>第二部分河南省南阳市高新技术产业开发区信访领导小组办公室2</w:t>
      </w:r>
      <w:r>
        <w:rPr>
          <w:rFonts w:ascii="黑体" w:eastAsia="黑体" w:cs="黑体"/>
          <w:szCs w:val="32"/>
        </w:rPr>
        <w:t>01</w:t>
      </w:r>
      <w:r>
        <w:rPr>
          <w:rFonts w:hint="eastAsia" w:ascii="黑体" w:eastAsia="黑体" w:cs="黑体"/>
          <w:szCs w:val="32"/>
          <w:lang w:val="en-US" w:eastAsia="zh-CN"/>
        </w:rPr>
        <w:t>7</w:t>
      </w:r>
      <w:r>
        <w:rPr>
          <w:rFonts w:hint="eastAsia" w:ascii="黑体" w:eastAsia="黑体" w:cs="黑体"/>
          <w:szCs w:val="32"/>
        </w:rPr>
        <w:t>年度部门决算表</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一、收入支出决算总表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二、收入决算表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三、支出决算表</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四、财政拨款收入支出决算总表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五、一般公共预算财政拨款支出决算表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六、一般公共预算财政拨款基本支出决算表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七、一般公共预算财政拨款“三公”经费支出决算表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八、政府性基金预算财政拨款收入支出决算表</w:t>
      </w:r>
    </w:p>
    <w:p>
      <w:pPr>
        <w:kinsoku w:val="0"/>
        <w:overflowPunct w:val="0"/>
        <w:adjustRightInd w:val="0"/>
        <w:snapToGrid w:val="0"/>
        <w:spacing w:line="360" w:lineRule="auto"/>
        <w:ind w:left="101" w:right="521" w:firstLine="640"/>
        <w:rPr>
          <w:rFonts w:ascii="黑体" w:eastAsia="黑体" w:cs="黑体"/>
          <w:szCs w:val="32"/>
        </w:rPr>
      </w:pPr>
      <w:r>
        <w:rPr>
          <w:rFonts w:hint="eastAsia" w:ascii="黑体" w:eastAsia="黑体" w:cs="黑体"/>
          <w:szCs w:val="32"/>
        </w:rPr>
        <w:t>第三部分河南省南阳市高新技术产业开发区信访领导小组办公室</w:t>
      </w:r>
      <w:r>
        <w:rPr>
          <w:rFonts w:ascii="黑体" w:eastAsia="黑体" w:cs="黑体"/>
          <w:szCs w:val="32"/>
        </w:rPr>
        <w:t>201</w:t>
      </w:r>
      <w:r>
        <w:rPr>
          <w:rFonts w:hint="eastAsia" w:ascii="黑体" w:eastAsia="黑体" w:cs="黑体"/>
          <w:szCs w:val="32"/>
          <w:lang w:val="en-US" w:eastAsia="zh-CN"/>
        </w:rPr>
        <w:t>7</w:t>
      </w:r>
      <w:r>
        <w:rPr>
          <w:rFonts w:hint="eastAsia" w:ascii="黑体" w:eastAsia="黑体" w:cs="黑体"/>
          <w:szCs w:val="32"/>
        </w:rPr>
        <w:t>年度部门决算情况说明</w:t>
      </w:r>
      <w:r>
        <w:rPr>
          <w:rFonts w:ascii="黑体" w:eastAsia="黑体" w:cs="黑体"/>
          <w:szCs w:val="32"/>
        </w:rPr>
        <w:t xml:space="preserve"> </w:t>
      </w:r>
    </w:p>
    <w:p>
      <w:pPr>
        <w:numPr>
          <w:ilvl w:val="0"/>
          <w:numId w:val="1"/>
        </w:numPr>
        <w:kinsoku w:val="0"/>
        <w:overflowPunct w:val="0"/>
        <w:adjustRightInd w:val="0"/>
        <w:snapToGrid w:val="0"/>
        <w:spacing w:line="360" w:lineRule="auto"/>
        <w:ind w:left="101" w:right="521" w:firstLine="640"/>
        <w:rPr>
          <w:rFonts w:hint="eastAsia" w:ascii="黑体" w:eastAsia="黑体" w:cs="黑体"/>
          <w:szCs w:val="32"/>
        </w:rPr>
      </w:pPr>
      <w:r>
        <w:rPr>
          <w:rFonts w:hint="eastAsia" w:ascii="黑体" w:eastAsia="黑体" w:cs="黑体"/>
          <w:szCs w:val="32"/>
        </w:rPr>
        <w:t>名词解释</w:t>
      </w:r>
    </w:p>
    <w:p>
      <w:pPr>
        <w:adjustRightInd w:val="0"/>
        <w:snapToGrid w:val="0"/>
        <w:spacing w:line="360" w:lineRule="auto"/>
        <w:ind w:firstLine="0" w:firstLineChars="0"/>
        <w:rPr>
          <w:rFonts w:ascii="黑体" w:hAnsi="黑体" w:eastAsia="黑体"/>
          <w:szCs w:val="32"/>
        </w:rPr>
      </w:pPr>
    </w:p>
    <w:p>
      <w:pPr>
        <w:adjustRightInd w:val="0"/>
        <w:snapToGrid w:val="0"/>
        <w:spacing w:line="360" w:lineRule="auto"/>
        <w:ind w:firstLine="0" w:firstLineChars="0"/>
        <w:jc w:val="center"/>
        <w:rPr>
          <w:rFonts w:ascii="方正小标宋简体" w:eastAsia="方正小标宋简体"/>
          <w:sz w:val="36"/>
          <w:szCs w:val="36"/>
        </w:rPr>
      </w:pPr>
      <w:r>
        <w:rPr>
          <w:rFonts w:hint="eastAsia" w:ascii="方正小标宋简体" w:eastAsia="方正小标宋简体"/>
          <w:sz w:val="36"/>
          <w:szCs w:val="36"/>
        </w:rPr>
        <w:t>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年度河南省南阳市高新技术产业开发区</w:t>
      </w:r>
      <w:r>
        <w:rPr>
          <w:rFonts w:hint="eastAsia" w:ascii="方正小标宋简体" w:eastAsia="方正小标宋简体"/>
          <w:sz w:val="36"/>
          <w:szCs w:val="36"/>
          <w:lang w:eastAsia="zh-CN"/>
        </w:rPr>
        <w:t>信访领导小组</w:t>
      </w:r>
      <w:r>
        <w:rPr>
          <w:rFonts w:hint="eastAsia" w:ascii="方正小标宋简体" w:eastAsia="方正小标宋简体"/>
          <w:sz w:val="36"/>
          <w:szCs w:val="36"/>
        </w:rPr>
        <w:t>办公室决算公开</w:t>
      </w:r>
    </w:p>
    <w:p>
      <w:pPr>
        <w:kinsoku w:val="0"/>
        <w:overflowPunct w:val="0"/>
        <w:adjustRightInd w:val="0"/>
        <w:snapToGrid w:val="0"/>
        <w:spacing w:line="360" w:lineRule="auto"/>
        <w:ind w:left="101" w:right="3569" w:firstLine="640"/>
        <w:rPr>
          <w:rFonts w:ascii="仿宋_GB2312"/>
          <w:szCs w:val="32"/>
        </w:rPr>
      </w:pP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第一部分</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cs="黑体"/>
          <w:szCs w:val="32"/>
        </w:rPr>
        <w:t>河南省南阳市高新技术产业开发区信访领导小组办公室</w:t>
      </w:r>
      <w:r>
        <w:rPr>
          <w:rFonts w:hint="eastAsia" w:ascii="黑体" w:hAnsi="黑体" w:eastAsia="黑体"/>
          <w:szCs w:val="32"/>
        </w:rPr>
        <w:t>概况</w:t>
      </w:r>
    </w:p>
    <w:p>
      <w:pPr>
        <w:adjustRightInd w:val="0"/>
        <w:snapToGrid w:val="0"/>
        <w:spacing w:line="360" w:lineRule="auto"/>
        <w:ind w:firstLine="640"/>
        <w:jc w:val="center"/>
        <w:rPr>
          <w:rFonts w:ascii="黑体" w:hAnsi="黑体" w:eastAsia="黑体"/>
          <w:szCs w:val="32"/>
        </w:rPr>
      </w:pPr>
    </w:p>
    <w:p>
      <w:pPr>
        <w:adjustRightInd w:val="0"/>
        <w:snapToGrid w:val="0"/>
        <w:spacing w:line="360" w:lineRule="auto"/>
        <w:ind w:firstLine="640"/>
        <w:rPr>
          <w:rFonts w:ascii="黑体" w:hAnsi="黑体" w:eastAsia="黑体"/>
          <w:szCs w:val="32"/>
        </w:rPr>
      </w:pPr>
      <w:r>
        <w:rPr>
          <w:rFonts w:hint="eastAsia" w:ascii="黑体" w:hAnsi="黑体" w:eastAsia="黑体"/>
          <w:szCs w:val="32"/>
        </w:rPr>
        <w:t>一、</w:t>
      </w:r>
      <w:r>
        <w:rPr>
          <w:rFonts w:hint="eastAsia" w:ascii="黑体" w:hAnsi="黑体" w:eastAsia="黑体" w:cs="黑体"/>
          <w:szCs w:val="32"/>
        </w:rPr>
        <w:t>河南省南阳市高新技术产业开发区信访领导小组办公室</w:t>
      </w:r>
      <w:r>
        <w:rPr>
          <w:rFonts w:hint="eastAsia" w:ascii="黑体" w:hAnsi="黑体" w:eastAsia="黑体"/>
          <w:szCs w:val="32"/>
        </w:rPr>
        <w:t>主要职责</w:t>
      </w:r>
    </w:p>
    <w:p>
      <w:pPr>
        <w:kinsoku w:val="0"/>
        <w:overflowPunct w:val="0"/>
        <w:adjustRightInd w:val="0"/>
        <w:snapToGrid w:val="0"/>
        <w:spacing w:line="360" w:lineRule="auto"/>
        <w:ind w:right="51" w:firstLine="480" w:firstLineChars="150"/>
        <w:jc w:val="left"/>
        <w:rPr>
          <w:rFonts w:ascii="仿宋_GB2312" w:cs="仿宋_GB2312"/>
          <w:szCs w:val="32"/>
        </w:rPr>
      </w:pPr>
      <w:r>
        <w:rPr>
          <w:rFonts w:ascii="仿宋_GB2312" w:cs="仿宋_GB2312"/>
          <w:szCs w:val="32"/>
        </w:rPr>
        <w:t>（</w:t>
      </w:r>
      <w:r>
        <w:rPr>
          <w:rFonts w:hint="eastAsia" w:ascii="仿宋_GB2312" w:cs="仿宋_GB2312"/>
          <w:szCs w:val="32"/>
        </w:rPr>
        <w:t>一</w:t>
      </w:r>
      <w:r>
        <w:rPr>
          <w:rFonts w:ascii="仿宋_GB2312" w:cs="仿宋_GB2312"/>
          <w:szCs w:val="32"/>
        </w:rPr>
        <w:t>）推动党的群众路线的贯彻落实，推动与群众利益相关政策的实施，推动相关部门尽职尽责处理好群众反映的利益诉求，以解决问题为目标和重点，依法规范各级各部门的施政行为，纠正各种“不作为”。</w:t>
      </w:r>
      <w:r>
        <w:rPr>
          <w:rFonts w:ascii="仿宋_GB2312" w:cs="仿宋_GB2312"/>
          <w:szCs w:val="32"/>
        </w:rPr>
        <w:br w:type="textWrapping"/>
      </w:r>
      <w:r>
        <w:rPr>
          <w:rFonts w:hint="eastAsia" w:ascii="仿宋_GB2312" w:cs="仿宋_GB2312"/>
          <w:szCs w:val="32"/>
        </w:rPr>
        <w:t xml:space="preserve">  </w:t>
      </w:r>
      <w:r>
        <w:rPr>
          <w:rFonts w:ascii="仿宋_GB2312" w:cs="仿宋_GB2312"/>
          <w:szCs w:val="32"/>
        </w:rPr>
        <w:t>(二)拟定全区有关信访工作的政策，并负责组织实施。</w:t>
      </w:r>
      <w:r>
        <w:rPr>
          <w:rFonts w:ascii="仿宋_GB2312" w:cs="仿宋_GB2312"/>
          <w:szCs w:val="32"/>
        </w:rPr>
        <w:br w:type="textWrapping"/>
      </w:r>
      <w:r>
        <w:rPr>
          <w:rFonts w:hint="eastAsia" w:ascii="仿宋_GB2312" w:cs="仿宋_GB2312"/>
          <w:szCs w:val="32"/>
        </w:rPr>
        <w:t xml:space="preserve">  </w:t>
      </w:r>
      <w:r>
        <w:rPr>
          <w:rFonts w:ascii="仿宋_GB2312" w:cs="仿宋_GB2312"/>
          <w:szCs w:val="32"/>
        </w:rPr>
        <w:t>(三)代表区委、区政府受理人民群众给区委、区政府及其主要领导人的来信，接待群众来访，为来信来访群众提供有关法律、法规和政策咨询服务。</w:t>
      </w:r>
      <w:r>
        <w:rPr>
          <w:rFonts w:ascii="仿宋_GB2312" w:cs="仿宋_GB2312"/>
          <w:szCs w:val="32"/>
        </w:rPr>
        <w:br w:type="textWrapping"/>
      </w:r>
      <w:r>
        <w:rPr>
          <w:rFonts w:hint="eastAsia" w:ascii="仿宋_GB2312" w:cs="仿宋_GB2312"/>
          <w:szCs w:val="32"/>
        </w:rPr>
        <w:t xml:space="preserve">  </w:t>
      </w:r>
      <w:r>
        <w:rPr>
          <w:rFonts w:ascii="仿宋_GB2312" w:cs="仿宋_GB2312"/>
          <w:szCs w:val="32"/>
        </w:rPr>
        <w:t>(四)承办上级领导机关和区委、区政府领导交办的信访事项，督促检查领导同志批示件的落实情况；向有关单位交办信访事项，督促检查重要信访事项的处理和落实；审结要结果案件。</w:t>
      </w:r>
      <w:r>
        <w:rPr>
          <w:rFonts w:ascii="仿宋_GB2312" w:cs="仿宋_GB2312"/>
          <w:szCs w:val="32"/>
        </w:rPr>
        <w:br w:type="textWrapping"/>
      </w:r>
      <w:r>
        <w:rPr>
          <w:rFonts w:hint="eastAsia" w:ascii="仿宋_GB2312" w:cs="仿宋_GB2312"/>
          <w:szCs w:val="32"/>
        </w:rPr>
        <w:t xml:space="preserve">  </w:t>
      </w:r>
      <w:r>
        <w:rPr>
          <w:rFonts w:ascii="仿宋_GB2312" w:cs="仿宋_GB2312"/>
          <w:szCs w:val="32"/>
        </w:rPr>
        <w:t>(五)协调处理跨单位、跨部门的重要信访、群众集体赴京、到省、去市、来区上访和突发上访事件；对重要案件实施个案监督，并提出对有关责任人的处理意见和建议。</w:t>
      </w:r>
      <w:r>
        <w:rPr>
          <w:rFonts w:ascii="仿宋_GB2312" w:cs="仿宋_GB2312"/>
          <w:szCs w:val="32"/>
        </w:rPr>
        <w:br w:type="textWrapping"/>
      </w:r>
      <w:r>
        <w:rPr>
          <w:rFonts w:hint="eastAsia" w:ascii="仿宋_GB2312" w:cs="仿宋_GB2312"/>
          <w:szCs w:val="32"/>
        </w:rPr>
        <w:t xml:space="preserve">  </w:t>
      </w:r>
      <w:r>
        <w:rPr>
          <w:rFonts w:ascii="仿宋_GB2312" w:cs="仿宋_GB2312"/>
          <w:szCs w:val="32"/>
        </w:rPr>
        <w:t>(六)分析研究群众工作和信访工作形势，征集群众建议，及时向区委、区政府提供信访信息，并对重要问题提出意见和建议。</w:t>
      </w:r>
      <w:r>
        <w:rPr>
          <w:rFonts w:ascii="仿宋_GB2312" w:cs="仿宋_GB2312"/>
          <w:szCs w:val="32"/>
        </w:rPr>
        <w:br w:type="textWrapping"/>
      </w:r>
      <w:r>
        <w:rPr>
          <w:rFonts w:hint="eastAsia" w:ascii="仿宋_GB2312" w:cs="仿宋_GB2312"/>
          <w:szCs w:val="32"/>
        </w:rPr>
        <w:t xml:space="preserve">  </w:t>
      </w:r>
      <w:r>
        <w:rPr>
          <w:rFonts w:ascii="仿宋_GB2312" w:cs="仿宋_GB2312"/>
          <w:szCs w:val="32"/>
        </w:rPr>
        <w:t>(七)指导全区群众工作和信访工作，组织交流工作经验，提出改进措施；组织信访干部的培训；指导全区信访部门办公规范化建设。</w:t>
      </w:r>
      <w:r>
        <w:rPr>
          <w:rFonts w:ascii="仿宋_GB2312" w:cs="仿宋_GB2312"/>
          <w:szCs w:val="32"/>
        </w:rPr>
        <w:br w:type="textWrapping"/>
      </w:r>
      <w:r>
        <w:rPr>
          <w:rFonts w:hint="eastAsia" w:ascii="仿宋_GB2312" w:cs="仿宋_GB2312"/>
          <w:szCs w:val="32"/>
        </w:rPr>
        <w:t xml:space="preserve">  </w:t>
      </w:r>
      <w:r>
        <w:rPr>
          <w:rFonts w:ascii="仿宋_GB2312" w:cs="仿宋_GB2312"/>
          <w:szCs w:val="32"/>
        </w:rPr>
        <w:t>(八)负责信访工作的宣传和信息发布。</w:t>
      </w:r>
      <w:r>
        <w:rPr>
          <w:rFonts w:ascii="仿宋_GB2312" w:cs="仿宋_GB2312"/>
          <w:szCs w:val="32"/>
        </w:rPr>
        <w:br w:type="textWrapping"/>
      </w:r>
      <w:r>
        <w:rPr>
          <w:rFonts w:hint="eastAsia" w:ascii="仿宋_GB2312" w:cs="仿宋_GB2312"/>
          <w:szCs w:val="32"/>
        </w:rPr>
        <w:t xml:space="preserve">  </w:t>
      </w:r>
      <w:r>
        <w:rPr>
          <w:rFonts w:ascii="仿宋_GB2312" w:cs="仿宋_GB2312"/>
          <w:szCs w:val="32"/>
        </w:rPr>
        <w:t>(九)承办区委、区政府交办的其他事项。</w:t>
      </w:r>
    </w:p>
    <w:p>
      <w:pPr>
        <w:adjustRightInd w:val="0"/>
        <w:snapToGrid w:val="0"/>
        <w:spacing w:line="360" w:lineRule="auto"/>
        <w:ind w:firstLine="640"/>
        <w:rPr>
          <w:rFonts w:ascii="黑体" w:hAnsi="黑体" w:eastAsia="黑体"/>
          <w:szCs w:val="32"/>
        </w:rPr>
      </w:pPr>
      <w:r>
        <w:rPr>
          <w:rFonts w:hint="eastAsia" w:ascii="黑体" w:hAnsi="黑体" w:eastAsia="黑体"/>
          <w:szCs w:val="32"/>
        </w:rPr>
        <w:t>二、</w:t>
      </w:r>
      <w:r>
        <w:rPr>
          <w:rFonts w:hint="eastAsia" w:ascii="黑体" w:hAnsi="黑体" w:eastAsia="黑体" w:cs="黑体"/>
          <w:szCs w:val="32"/>
        </w:rPr>
        <w:t>河南省南阳市高新技术产业开发区信访领导小组办公室</w:t>
      </w:r>
      <w:r>
        <w:rPr>
          <w:rFonts w:hint="eastAsia" w:ascii="黑体" w:hAnsi="黑体" w:eastAsia="黑体"/>
          <w:szCs w:val="32"/>
        </w:rPr>
        <w:t>决算单位构成</w:t>
      </w:r>
    </w:p>
    <w:p>
      <w:pPr>
        <w:kinsoku w:val="0"/>
        <w:overflowPunct w:val="0"/>
        <w:adjustRightInd w:val="0"/>
        <w:snapToGrid w:val="0"/>
        <w:spacing w:line="360" w:lineRule="auto"/>
        <w:ind w:right="51" w:firstLine="480" w:firstLineChars="150"/>
        <w:jc w:val="left"/>
        <w:rPr>
          <w:rFonts w:ascii="仿宋_GB2312" w:cs="仿宋_GB2312"/>
          <w:szCs w:val="32"/>
        </w:rPr>
      </w:pPr>
      <w:r>
        <w:rPr>
          <w:rFonts w:hint="eastAsia" w:ascii="仿宋_GB2312" w:cs="仿宋_GB2312"/>
          <w:szCs w:val="32"/>
        </w:rPr>
        <w:t>河南省南阳市高新技术产业开发区信访领导小组办公室部门决算包括机关本级决算。</w:t>
      </w:r>
    </w:p>
    <w:p>
      <w:pPr>
        <w:kinsoku w:val="0"/>
        <w:overflowPunct w:val="0"/>
        <w:adjustRightInd w:val="0"/>
        <w:snapToGrid w:val="0"/>
        <w:spacing w:line="360" w:lineRule="auto"/>
        <w:ind w:firstLine="300"/>
        <w:rPr>
          <w:sz w:val="15"/>
          <w:szCs w:val="15"/>
        </w:rPr>
      </w:pP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第二部分</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cs="黑体"/>
          <w:szCs w:val="32"/>
        </w:rPr>
        <w:t>河南省南阳市高新技术产业开发区信访领导小组办公室</w:t>
      </w:r>
      <w:r>
        <w:rPr>
          <w:rFonts w:hint="eastAsia" w:ascii="黑体" w:hAnsi="黑体" w:eastAsia="黑体"/>
          <w:szCs w:val="32"/>
        </w:rPr>
        <w:t>201</w:t>
      </w:r>
      <w:r>
        <w:rPr>
          <w:rFonts w:hint="eastAsia" w:ascii="黑体" w:hAnsi="黑体" w:eastAsia="黑体"/>
          <w:szCs w:val="32"/>
          <w:lang w:val="en-US" w:eastAsia="zh-CN"/>
        </w:rPr>
        <w:t>7</w:t>
      </w:r>
      <w:r>
        <w:rPr>
          <w:rFonts w:hint="eastAsia" w:ascii="黑体" w:hAnsi="黑体" w:eastAsia="黑体"/>
          <w:szCs w:val="32"/>
        </w:rPr>
        <w:t>年度部门决算表</w:t>
      </w:r>
    </w:p>
    <w:p>
      <w:pPr>
        <w:adjustRightInd w:val="0"/>
        <w:snapToGrid w:val="0"/>
        <w:spacing w:line="360" w:lineRule="auto"/>
        <w:ind w:firstLine="640"/>
        <w:rPr>
          <w:rFonts w:ascii="黑体" w:hAnsi="黑体" w:eastAsia="黑体"/>
          <w:szCs w:val="32"/>
        </w:rPr>
      </w:pPr>
      <w:r>
        <w:rPr>
          <w:rFonts w:hint="eastAsia" w:ascii="黑体" w:hAnsi="黑体" w:eastAsia="黑体"/>
          <w:szCs w:val="32"/>
        </w:rPr>
        <w:t xml:space="preserve"> 见附件</w:t>
      </w:r>
    </w:p>
    <w:p>
      <w:pPr>
        <w:adjustRightInd w:val="0"/>
        <w:snapToGrid w:val="0"/>
        <w:spacing w:line="360" w:lineRule="auto"/>
        <w:ind w:firstLine="0" w:firstLineChars="0"/>
        <w:jc w:val="center"/>
        <w:rPr>
          <w:rFonts w:hint="eastAsia" w:ascii="黑体" w:hAnsi="黑体" w:eastAsia="黑体"/>
          <w:szCs w:val="32"/>
        </w:rPr>
      </w:pPr>
      <w:r>
        <w:rPr>
          <w:rFonts w:hint="eastAsia" w:ascii="黑体" w:hAnsi="黑体" w:eastAsia="黑体"/>
          <w:szCs w:val="32"/>
        </w:rPr>
        <w:t>第三部分</w:t>
      </w:r>
    </w:p>
    <w:p>
      <w:pPr>
        <w:adjustRightInd w:val="0"/>
        <w:snapToGrid w:val="0"/>
        <w:spacing w:line="360" w:lineRule="auto"/>
        <w:ind w:firstLine="0" w:firstLineChars="0"/>
        <w:jc w:val="center"/>
        <w:rPr>
          <w:rFonts w:hint="eastAsia" w:ascii="黑体" w:hAnsi="黑体" w:eastAsia="黑体"/>
          <w:szCs w:val="32"/>
        </w:rPr>
      </w:pPr>
      <w:r>
        <w:rPr>
          <w:rFonts w:hint="eastAsia" w:ascii="黑体" w:hAnsi="黑体" w:eastAsia="黑体"/>
          <w:szCs w:val="32"/>
        </w:rPr>
        <w:t>2017年度部门决算情况说明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一、关于收入支出决算总体情况说明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ascii="仿宋" w:hAnsi="Times New Roman" w:eastAsia="仿宋" w:cs="仿宋"/>
          <w:sz w:val="32"/>
          <w:szCs w:val="32"/>
        </w:rPr>
      </w:pPr>
      <w:r>
        <w:rPr>
          <w:rFonts w:ascii="仿宋" w:hAnsi="Times New Roman" w:eastAsia="仿宋" w:cs="仿宋"/>
          <w:sz w:val="32"/>
          <w:szCs w:val="32"/>
        </w:rPr>
        <w:t xml:space="preserve"> 2017</w:t>
      </w:r>
      <w:r>
        <w:rPr>
          <w:rFonts w:hint="eastAsia" w:ascii="仿宋" w:hAnsi="Times New Roman" w:eastAsia="仿宋" w:cs="仿宋"/>
          <w:sz w:val="32"/>
          <w:szCs w:val="32"/>
        </w:rPr>
        <w:t>年度收、支总计均为</w:t>
      </w:r>
      <w:r>
        <w:rPr>
          <w:rFonts w:ascii="仿宋" w:hAnsi="Times New Roman" w:eastAsia="仿宋" w:cs="仿宋"/>
          <w:sz w:val="32"/>
          <w:szCs w:val="32"/>
        </w:rPr>
        <w:t>173.31</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年相比，收、支总计各增加</w:t>
      </w:r>
      <w:r>
        <w:rPr>
          <w:rFonts w:ascii="仿宋" w:hAnsi="Times New Roman" w:eastAsia="仿宋" w:cs="仿宋"/>
          <w:sz w:val="32"/>
          <w:szCs w:val="32"/>
        </w:rPr>
        <w:t>29.02</w:t>
      </w:r>
      <w:r>
        <w:rPr>
          <w:rFonts w:hint="eastAsia" w:ascii="仿宋" w:hAnsi="Times New Roman" w:eastAsia="仿宋" w:cs="仿宋"/>
          <w:sz w:val="32"/>
          <w:szCs w:val="32"/>
        </w:rPr>
        <w:t>万元，增长</w:t>
      </w:r>
      <w:r>
        <w:rPr>
          <w:rFonts w:ascii="仿宋" w:hAnsi="Times New Roman" w:eastAsia="仿宋" w:cs="仿宋"/>
          <w:sz w:val="32"/>
          <w:szCs w:val="32"/>
        </w:rPr>
        <w:t>20.11%</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加大信访工作力度</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二、关于收入决算情况说明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年度收入合计</w:t>
      </w:r>
      <w:r>
        <w:rPr>
          <w:rFonts w:ascii="仿宋" w:hAnsi="Times New Roman" w:eastAsia="仿宋" w:cs="仿宋"/>
          <w:sz w:val="32"/>
          <w:szCs w:val="32"/>
        </w:rPr>
        <w:t>169.89</w:t>
      </w:r>
      <w:r>
        <w:rPr>
          <w:rFonts w:hint="eastAsia" w:ascii="仿宋" w:hAnsi="Times New Roman" w:eastAsia="仿宋" w:cs="仿宋"/>
          <w:sz w:val="32"/>
          <w:szCs w:val="32"/>
        </w:rPr>
        <w:t>万元，其中：财政拨款收入</w:t>
      </w:r>
      <w:r>
        <w:rPr>
          <w:rFonts w:ascii="仿宋" w:hAnsi="Times New Roman" w:eastAsia="仿宋" w:cs="仿宋"/>
          <w:sz w:val="32"/>
          <w:szCs w:val="32"/>
        </w:rPr>
        <w:t>168.29</w:t>
      </w:r>
      <w:r>
        <w:rPr>
          <w:rFonts w:hint="eastAsia" w:ascii="仿宋" w:hAnsi="Times New Roman" w:eastAsia="仿宋" w:cs="仿宋"/>
          <w:sz w:val="32"/>
          <w:szCs w:val="32"/>
        </w:rPr>
        <w:t>万元，占</w:t>
      </w:r>
      <w:r>
        <w:rPr>
          <w:rFonts w:ascii="仿宋" w:hAnsi="Times New Roman" w:eastAsia="仿宋" w:cs="仿宋"/>
          <w:sz w:val="32"/>
          <w:szCs w:val="32"/>
        </w:rPr>
        <w:t>99.06%</w:t>
      </w:r>
      <w:r>
        <w:rPr>
          <w:rFonts w:hint="eastAsia" w:ascii="仿宋" w:hAnsi="Times New Roman" w:eastAsia="仿宋" w:cs="仿宋"/>
          <w:sz w:val="32"/>
          <w:szCs w:val="32"/>
        </w:rPr>
        <w:t>；上级补助收入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；事业收入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；附属单位上缴收入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；其他收入</w:t>
      </w:r>
      <w:r>
        <w:rPr>
          <w:rFonts w:ascii="仿宋" w:hAnsi="Times New Roman" w:eastAsia="仿宋" w:cs="仿宋"/>
          <w:sz w:val="32"/>
          <w:szCs w:val="32"/>
        </w:rPr>
        <w:t>1.6</w:t>
      </w:r>
      <w:r>
        <w:rPr>
          <w:rFonts w:hint="eastAsia" w:ascii="仿宋" w:hAnsi="Times New Roman" w:eastAsia="仿宋" w:cs="仿宋"/>
          <w:sz w:val="32"/>
          <w:szCs w:val="32"/>
        </w:rPr>
        <w:t>万元，占</w:t>
      </w:r>
      <w:r>
        <w:rPr>
          <w:rFonts w:ascii="仿宋" w:hAnsi="Times New Roman" w:eastAsia="仿宋" w:cs="仿宋"/>
          <w:sz w:val="32"/>
          <w:szCs w:val="32"/>
        </w:rPr>
        <w:t>0.94%</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三、关于支出决算情况说明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年度支出合计</w:t>
      </w:r>
      <w:r>
        <w:rPr>
          <w:rFonts w:ascii="仿宋" w:hAnsi="Times New Roman" w:eastAsia="仿宋" w:cs="仿宋"/>
          <w:sz w:val="32"/>
          <w:szCs w:val="32"/>
        </w:rPr>
        <w:t>170.18</w:t>
      </w:r>
      <w:r>
        <w:rPr>
          <w:rFonts w:hint="eastAsia" w:ascii="仿宋" w:hAnsi="Times New Roman" w:eastAsia="仿宋" w:cs="仿宋"/>
          <w:sz w:val="32"/>
          <w:szCs w:val="32"/>
        </w:rPr>
        <w:t>万元，其中：基本支出</w:t>
      </w:r>
      <w:r>
        <w:rPr>
          <w:rFonts w:ascii="仿宋" w:hAnsi="Times New Roman" w:eastAsia="仿宋" w:cs="仿宋"/>
          <w:sz w:val="32"/>
          <w:szCs w:val="32"/>
        </w:rPr>
        <w:t>76.72</w:t>
      </w:r>
      <w:r>
        <w:rPr>
          <w:rFonts w:hint="eastAsia" w:ascii="仿宋" w:hAnsi="Times New Roman" w:eastAsia="仿宋" w:cs="仿宋"/>
          <w:sz w:val="32"/>
          <w:szCs w:val="32"/>
        </w:rPr>
        <w:t>万元，占</w:t>
      </w:r>
      <w:r>
        <w:rPr>
          <w:rFonts w:ascii="仿宋" w:hAnsi="Times New Roman" w:eastAsia="仿宋" w:cs="仿宋"/>
          <w:sz w:val="32"/>
          <w:szCs w:val="32"/>
        </w:rPr>
        <w:t>45.08%</w:t>
      </w:r>
      <w:r>
        <w:rPr>
          <w:rFonts w:hint="eastAsia" w:ascii="仿宋" w:hAnsi="Times New Roman" w:eastAsia="仿宋" w:cs="仿宋"/>
          <w:sz w:val="32"/>
          <w:szCs w:val="32"/>
        </w:rPr>
        <w:t>；项目支出</w:t>
      </w:r>
      <w:r>
        <w:rPr>
          <w:rFonts w:ascii="仿宋" w:hAnsi="Times New Roman" w:eastAsia="仿宋" w:cs="仿宋"/>
          <w:sz w:val="32"/>
          <w:szCs w:val="32"/>
        </w:rPr>
        <w:t>93.46</w:t>
      </w:r>
      <w:r>
        <w:rPr>
          <w:rFonts w:hint="eastAsia" w:ascii="仿宋" w:hAnsi="Times New Roman" w:eastAsia="仿宋" w:cs="仿宋"/>
          <w:sz w:val="32"/>
          <w:szCs w:val="32"/>
        </w:rPr>
        <w:t>万元，占</w:t>
      </w:r>
      <w:r>
        <w:rPr>
          <w:rFonts w:ascii="仿宋" w:hAnsi="Times New Roman" w:eastAsia="仿宋" w:cs="仿宋"/>
          <w:sz w:val="32"/>
          <w:szCs w:val="32"/>
        </w:rPr>
        <w:t>54.92%</w:t>
      </w:r>
      <w:r>
        <w:rPr>
          <w:rFonts w:hint="eastAsia" w:ascii="仿宋" w:hAnsi="Times New Roman" w:eastAsia="仿宋" w:cs="仿宋"/>
          <w:sz w:val="32"/>
          <w:szCs w:val="32"/>
        </w:rPr>
        <w:t>；上缴上级支出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；对附属单位支出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四、关于财政拨款收入支出决算总体情况说明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年财政拨款收、支总计均为</w:t>
      </w:r>
      <w:r>
        <w:rPr>
          <w:rFonts w:ascii="仿宋" w:hAnsi="Times New Roman" w:eastAsia="仿宋" w:cs="仿宋"/>
          <w:sz w:val="32"/>
          <w:szCs w:val="32"/>
        </w:rPr>
        <w:t>171.71</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年相比，财政拨款收、支总计各增加</w:t>
      </w:r>
      <w:r>
        <w:rPr>
          <w:rFonts w:ascii="仿宋" w:hAnsi="Times New Roman" w:eastAsia="仿宋" w:cs="仿宋"/>
          <w:sz w:val="32"/>
          <w:szCs w:val="32"/>
        </w:rPr>
        <w:t>27.42</w:t>
      </w:r>
      <w:r>
        <w:rPr>
          <w:rFonts w:hint="eastAsia" w:ascii="仿宋" w:hAnsi="Times New Roman" w:eastAsia="仿宋" w:cs="仿宋"/>
          <w:sz w:val="32"/>
          <w:szCs w:val="32"/>
        </w:rPr>
        <w:t>万元，增长</w:t>
      </w:r>
      <w:r>
        <w:rPr>
          <w:rFonts w:ascii="仿宋" w:hAnsi="Times New Roman" w:eastAsia="仿宋" w:cs="仿宋"/>
          <w:sz w:val="32"/>
          <w:szCs w:val="32"/>
        </w:rPr>
        <w:t>19%</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加大信访工作力度</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五、关于一般公共预算财政拨款支出决算情况说明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（一）总体情况。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年一般公共预算财政拨款支出</w:t>
      </w:r>
      <w:r>
        <w:rPr>
          <w:rFonts w:ascii="仿宋" w:hAnsi="Times New Roman" w:eastAsia="仿宋" w:cs="仿宋"/>
          <w:sz w:val="32"/>
          <w:szCs w:val="32"/>
        </w:rPr>
        <w:t>168.58</w:t>
      </w:r>
      <w:r>
        <w:rPr>
          <w:rFonts w:hint="eastAsia" w:ascii="仿宋" w:hAnsi="Times New Roman" w:eastAsia="仿宋" w:cs="仿宋"/>
          <w:sz w:val="32"/>
          <w:szCs w:val="32"/>
        </w:rPr>
        <w:t>万元，占支出合计的</w:t>
      </w:r>
      <w:r>
        <w:rPr>
          <w:rFonts w:ascii="仿宋" w:hAnsi="Times New Roman" w:eastAsia="仿宋" w:cs="仿宋"/>
          <w:sz w:val="32"/>
          <w:szCs w:val="32"/>
        </w:rPr>
        <w:t>99.06%</w:t>
      </w:r>
      <w:r>
        <w:rPr>
          <w:rFonts w:hint="eastAsia" w:ascii="仿宋" w:hAnsi="Times New Roman" w:eastAsia="仿宋" w:cs="仿宋"/>
          <w:sz w:val="32"/>
          <w:szCs w:val="32"/>
        </w:rPr>
        <w:t>。与</w:t>
      </w:r>
      <w:r>
        <w:rPr>
          <w:rFonts w:ascii="仿宋" w:hAnsi="Times New Roman" w:eastAsia="仿宋" w:cs="仿宋"/>
          <w:sz w:val="32"/>
          <w:szCs w:val="32"/>
        </w:rPr>
        <w:t>2016</w:t>
      </w:r>
      <w:r>
        <w:rPr>
          <w:rFonts w:hint="eastAsia" w:ascii="仿宋" w:hAnsi="Times New Roman" w:eastAsia="仿宋" w:cs="仿宋"/>
          <w:sz w:val="32"/>
          <w:szCs w:val="32"/>
        </w:rPr>
        <w:t>年相比，一般公共预算财政拨款支出增加</w:t>
      </w:r>
      <w:r>
        <w:rPr>
          <w:rFonts w:ascii="仿宋" w:hAnsi="Times New Roman" w:eastAsia="仿宋" w:cs="仿宋"/>
          <w:sz w:val="32"/>
          <w:szCs w:val="32"/>
        </w:rPr>
        <w:t>30.15</w:t>
      </w:r>
      <w:r>
        <w:rPr>
          <w:rFonts w:hint="eastAsia" w:ascii="仿宋" w:hAnsi="Times New Roman" w:eastAsia="仿宋" w:cs="仿宋"/>
          <w:sz w:val="32"/>
          <w:szCs w:val="32"/>
        </w:rPr>
        <w:t>万元，增长</w:t>
      </w:r>
      <w:r>
        <w:rPr>
          <w:rFonts w:ascii="仿宋" w:hAnsi="Times New Roman" w:eastAsia="仿宋" w:cs="仿宋"/>
          <w:sz w:val="32"/>
          <w:szCs w:val="32"/>
        </w:rPr>
        <w:t>21.78%</w:t>
      </w:r>
      <w:r>
        <w:rPr>
          <w:rFonts w:hint="eastAsia" w:ascii="仿宋" w:hAnsi="Times New Roman" w:eastAsia="仿宋" w:cs="仿宋"/>
          <w:sz w:val="32"/>
          <w:szCs w:val="32"/>
        </w:rPr>
        <w:t>。变动的主要原因是</w:t>
      </w:r>
      <w:r>
        <w:rPr>
          <w:rFonts w:hint="eastAsia" w:ascii="仿宋" w:hAnsi="Times New Roman" w:eastAsia="仿宋" w:cs="仿宋"/>
          <w:sz w:val="32"/>
          <w:szCs w:val="32"/>
          <w:lang w:eastAsia="zh-CN"/>
        </w:rPr>
        <w:t>加大信访工作力度</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（二）结构情况。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w:t>
      </w:r>
      <w:r>
        <w:rPr>
          <w:rFonts w:ascii="仿宋" w:hAnsi="Times New Roman" w:eastAsia="仿宋" w:cs="仿宋"/>
          <w:sz w:val="32"/>
          <w:szCs w:val="32"/>
        </w:rPr>
        <w:t>168.58</w:t>
      </w:r>
      <w:r>
        <w:rPr>
          <w:rFonts w:hint="eastAsia" w:ascii="仿宋" w:hAnsi="Times New Roman" w:eastAsia="仿宋" w:cs="仿宋"/>
          <w:sz w:val="32"/>
          <w:szCs w:val="32"/>
        </w:rPr>
        <w:t>万元，主要用于以下方面：一般公共服务（类）支出</w:t>
      </w:r>
      <w:r>
        <w:rPr>
          <w:rFonts w:ascii="仿宋" w:hAnsi="Times New Roman" w:eastAsia="仿宋" w:cs="仿宋"/>
          <w:sz w:val="32"/>
          <w:szCs w:val="32"/>
        </w:rPr>
        <w:t>168.58</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；外交（类）支出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；公共安全（类）支出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；教育（类）支出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；科学技术（类）支出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；文化体育与传媒（类）支出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；社会保障和就业（类）支出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；医疗卫生和计划生育（类）支出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；节能环保（类）支出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；城乡社区（类）支出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；农林水（类）支出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；交通运输（类）支出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；资源勘探信息（类）支出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；商业服务业（类）支出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；金融（类）支出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；援助其他地区（类）支出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；国土海洋气象（类）支出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；住房保障（类）支出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；粮油物资储备（类）支出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；债务还本（类）支出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；债务付息（类）支出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（三）具体情况。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年度一般公共预算财政拨款支出年初预算为</w:t>
      </w:r>
      <w:r>
        <w:rPr>
          <w:rFonts w:ascii="仿宋" w:hAnsi="Times New Roman" w:eastAsia="仿宋" w:cs="仿宋"/>
          <w:sz w:val="32"/>
          <w:szCs w:val="32"/>
        </w:rPr>
        <w:t>143.5</w:t>
      </w:r>
      <w:r>
        <w:rPr>
          <w:rFonts w:hint="eastAsia" w:ascii="仿宋" w:hAnsi="Times New Roman" w:eastAsia="仿宋" w:cs="仿宋"/>
          <w:sz w:val="32"/>
          <w:szCs w:val="32"/>
        </w:rPr>
        <w:t>万元，支出决算为</w:t>
      </w:r>
      <w:r>
        <w:rPr>
          <w:rFonts w:ascii="仿宋" w:hAnsi="Times New Roman" w:eastAsia="仿宋" w:cs="仿宋"/>
          <w:sz w:val="32"/>
          <w:szCs w:val="32"/>
        </w:rPr>
        <w:t>168.58</w:t>
      </w:r>
      <w:r>
        <w:rPr>
          <w:rFonts w:hint="eastAsia" w:ascii="仿宋" w:hAnsi="Times New Roman" w:eastAsia="仿宋" w:cs="仿宋"/>
          <w:sz w:val="32"/>
          <w:szCs w:val="32"/>
        </w:rPr>
        <w:t>万元，完成年初预算的</w:t>
      </w:r>
      <w:r>
        <w:rPr>
          <w:rFonts w:ascii="仿宋" w:hAnsi="Times New Roman" w:eastAsia="仿宋" w:cs="仿宋"/>
          <w:sz w:val="32"/>
          <w:szCs w:val="32"/>
        </w:rPr>
        <w:t>117.48%</w:t>
      </w:r>
      <w:r>
        <w:rPr>
          <w:rFonts w:hint="eastAsia" w:ascii="仿宋" w:hAnsi="Times New Roman" w:eastAsia="仿宋" w:cs="仿宋"/>
          <w:sz w:val="32"/>
          <w:szCs w:val="32"/>
        </w:rPr>
        <w:t>。决算数与年初预算数存在差异的主要原因：</w:t>
      </w:r>
      <w:r>
        <w:rPr>
          <w:rFonts w:hint="eastAsia" w:ascii="仿宋" w:eastAsia="仿宋" w:cs="仿宋"/>
          <w:sz w:val="32"/>
          <w:szCs w:val="32"/>
          <w:lang w:eastAsia="zh-CN"/>
        </w:rPr>
        <w:t>人员工资调整，项目支出增加，</w:t>
      </w:r>
      <w:r>
        <w:rPr>
          <w:rFonts w:hint="eastAsia" w:ascii="仿宋" w:hAnsi="Times New Roman" w:eastAsia="仿宋" w:cs="仿宋"/>
          <w:sz w:val="32"/>
          <w:szCs w:val="32"/>
        </w:rPr>
        <w:t>其中：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1</w:t>
      </w:r>
      <w:r>
        <w:rPr>
          <w:rFonts w:hint="eastAsia" w:ascii="仿宋" w:hAnsi="Times New Roman" w:eastAsia="仿宋" w:cs="仿宋"/>
          <w:sz w:val="32"/>
          <w:szCs w:val="32"/>
        </w:rPr>
        <w:t>．一般公共服务（类）财政事务（款）行政运行（项）。年初预算为</w:t>
      </w:r>
      <w:r>
        <w:rPr>
          <w:rFonts w:hint="eastAsia" w:ascii="仿宋" w:hAnsi="Times New Roman" w:eastAsia="仿宋" w:cs="仿宋"/>
          <w:sz w:val="32"/>
          <w:szCs w:val="32"/>
          <w:lang w:val="en-US" w:eastAsia="zh-CN"/>
        </w:rPr>
        <w:t>62.5</w:t>
      </w:r>
      <w:r>
        <w:rPr>
          <w:rFonts w:hint="eastAsia" w:ascii="仿宋" w:hAnsi="Times New Roman" w:eastAsia="仿宋" w:cs="仿宋"/>
          <w:sz w:val="32"/>
          <w:szCs w:val="32"/>
        </w:rPr>
        <w:t>万元，支出决算为</w:t>
      </w:r>
      <w:r>
        <w:rPr>
          <w:rFonts w:hint="eastAsia" w:ascii="仿宋" w:hAnsi="Times New Roman" w:eastAsia="仿宋" w:cs="仿宋"/>
          <w:sz w:val="32"/>
          <w:szCs w:val="32"/>
          <w:lang w:val="en-US" w:eastAsia="zh-CN"/>
        </w:rPr>
        <w:t>76.72</w:t>
      </w:r>
      <w:r>
        <w:rPr>
          <w:rFonts w:hint="eastAsia" w:ascii="仿宋" w:hAnsi="Times New Roman" w:eastAsia="仿宋" w:cs="仿宋"/>
          <w:sz w:val="32"/>
          <w:szCs w:val="32"/>
        </w:rPr>
        <w:t>万元，完成年初预算的</w:t>
      </w:r>
      <w:r>
        <w:rPr>
          <w:rFonts w:hint="eastAsia" w:ascii="仿宋" w:hAnsi="Times New Roman" w:eastAsia="仿宋" w:cs="仿宋"/>
          <w:sz w:val="32"/>
          <w:szCs w:val="32"/>
          <w:lang w:val="en-US" w:eastAsia="zh-CN"/>
        </w:rPr>
        <w:t>122.75</w:t>
      </w:r>
      <w:r>
        <w:rPr>
          <w:rFonts w:ascii="仿宋" w:hAnsi="Times New Roman" w:eastAsia="仿宋" w:cs="仿宋"/>
          <w:sz w:val="32"/>
          <w:szCs w:val="32"/>
        </w:rPr>
        <w:t>%</w:t>
      </w:r>
      <w:r>
        <w:rPr>
          <w:rFonts w:hint="eastAsia" w:ascii="仿宋" w:hAnsi="Times New Roman" w:eastAsia="仿宋" w:cs="仿宋"/>
          <w:sz w:val="32"/>
          <w:szCs w:val="32"/>
        </w:rPr>
        <w:t>。决算数大于预算数的主要原因是</w:t>
      </w:r>
      <w:r>
        <w:rPr>
          <w:rFonts w:hint="eastAsia" w:ascii="仿宋" w:hAnsi="Times New Roman" w:eastAsia="仿宋" w:cs="仿宋"/>
          <w:sz w:val="32"/>
          <w:szCs w:val="32"/>
          <w:lang w:eastAsia="zh-CN"/>
        </w:rPr>
        <w:t>人员经费</w:t>
      </w:r>
      <w:r>
        <w:rPr>
          <w:rFonts w:hint="eastAsia" w:ascii="仿宋" w:eastAsia="仿宋" w:cs="仿宋"/>
          <w:sz w:val="32"/>
          <w:szCs w:val="32"/>
          <w:lang w:eastAsia="zh-CN"/>
        </w:rPr>
        <w:t>调整</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w:t>
      </w:r>
      <w:r>
        <w:rPr>
          <w:rFonts w:hint="eastAsia" w:ascii="仿宋" w:hAnsi="Times New Roman" w:eastAsia="仿宋" w:cs="仿宋"/>
          <w:sz w:val="32"/>
          <w:szCs w:val="32"/>
        </w:rPr>
        <w:t>．一般公共服务（类）财政事务（款）一般行政管理事务（项）。年初预算为</w:t>
      </w:r>
      <w:r>
        <w:rPr>
          <w:rFonts w:hint="eastAsia" w:ascii="仿宋" w:hAnsi="Times New Roman" w:eastAsia="仿宋" w:cs="仿宋"/>
          <w:sz w:val="32"/>
          <w:szCs w:val="32"/>
          <w:lang w:val="en-US" w:eastAsia="zh-CN"/>
        </w:rPr>
        <w:t>81</w:t>
      </w:r>
      <w:r>
        <w:rPr>
          <w:rFonts w:hint="eastAsia" w:ascii="仿宋" w:hAnsi="Times New Roman" w:eastAsia="仿宋" w:cs="仿宋"/>
          <w:sz w:val="32"/>
          <w:szCs w:val="32"/>
        </w:rPr>
        <w:t>万元，支出决算为</w:t>
      </w:r>
      <w:r>
        <w:rPr>
          <w:rFonts w:hint="eastAsia" w:ascii="仿宋" w:hAnsi="Times New Roman" w:eastAsia="仿宋" w:cs="仿宋"/>
          <w:sz w:val="32"/>
          <w:szCs w:val="32"/>
          <w:lang w:val="en-US" w:eastAsia="zh-CN"/>
        </w:rPr>
        <w:t>91.86</w:t>
      </w:r>
      <w:r>
        <w:rPr>
          <w:rFonts w:hint="eastAsia" w:ascii="仿宋" w:hAnsi="Times New Roman" w:eastAsia="仿宋" w:cs="仿宋"/>
          <w:sz w:val="32"/>
          <w:szCs w:val="32"/>
        </w:rPr>
        <w:t>万元，完成年初预算的</w:t>
      </w:r>
      <w:r>
        <w:rPr>
          <w:rFonts w:hint="eastAsia" w:ascii="仿宋" w:hAnsi="Times New Roman" w:eastAsia="仿宋" w:cs="仿宋"/>
          <w:sz w:val="32"/>
          <w:szCs w:val="32"/>
          <w:lang w:val="en-US" w:eastAsia="zh-CN"/>
        </w:rPr>
        <w:t>113.41</w:t>
      </w:r>
      <w:r>
        <w:rPr>
          <w:rFonts w:ascii="仿宋" w:hAnsi="Times New Roman" w:eastAsia="仿宋" w:cs="仿宋"/>
          <w:sz w:val="32"/>
          <w:szCs w:val="32"/>
        </w:rPr>
        <w:t>%</w:t>
      </w:r>
      <w:r>
        <w:rPr>
          <w:rFonts w:hint="eastAsia" w:ascii="仿宋" w:hAnsi="Times New Roman" w:eastAsia="仿宋" w:cs="仿宋"/>
          <w:sz w:val="32"/>
          <w:szCs w:val="32"/>
        </w:rPr>
        <w:t>。决算数大于预算数的主要原因是</w:t>
      </w:r>
      <w:r>
        <w:rPr>
          <w:rFonts w:hint="eastAsia" w:ascii="仿宋" w:hAnsi="Times New Roman" w:eastAsia="仿宋" w:cs="仿宋"/>
          <w:sz w:val="32"/>
          <w:szCs w:val="32"/>
          <w:lang w:val="en-US" w:eastAsia="zh-CN"/>
        </w:rPr>
        <w:t>2017年十九大期间信访值班工作较多</w:t>
      </w:r>
      <w:r>
        <w:rPr>
          <w:rFonts w:hint="eastAsia" w:ascii="仿宋" w:eastAsia="仿宋" w:cs="仿宋"/>
          <w:sz w:val="32"/>
          <w:szCs w:val="32"/>
          <w:lang w:val="en-US" w:eastAsia="zh-CN"/>
        </w:rPr>
        <w:t>，项目支出增加</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六、关于一般公共预算财政拨款基本支出决算情况说明</w:t>
      </w:r>
    </w:p>
    <w:p>
      <w:pPr>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年一般公共预算财政拨款基本支出</w:t>
      </w:r>
      <w:r>
        <w:rPr>
          <w:rFonts w:ascii="仿宋" w:hAnsi="Times New Roman" w:eastAsia="仿宋" w:cs="仿宋"/>
          <w:sz w:val="32"/>
          <w:szCs w:val="32"/>
        </w:rPr>
        <w:t>76.72</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年相比，减少</w:t>
      </w:r>
      <w:r>
        <w:rPr>
          <w:rFonts w:ascii="仿宋" w:hAnsi="Times New Roman" w:eastAsia="仿宋" w:cs="仿宋"/>
          <w:sz w:val="32"/>
          <w:szCs w:val="32"/>
        </w:rPr>
        <w:t>61.72</w:t>
      </w:r>
      <w:r>
        <w:rPr>
          <w:rFonts w:hint="eastAsia" w:ascii="仿宋" w:hAnsi="Times New Roman" w:eastAsia="仿宋" w:cs="仿宋"/>
          <w:sz w:val="32"/>
          <w:szCs w:val="32"/>
        </w:rPr>
        <w:t>万元，下降</w:t>
      </w:r>
      <w:r>
        <w:rPr>
          <w:rFonts w:ascii="仿宋" w:hAnsi="Times New Roman" w:eastAsia="仿宋" w:cs="仿宋"/>
          <w:sz w:val="32"/>
          <w:szCs w:val="32"/>
        </w:rPr>
        <w:t>44.58%</w:t>
      </w:r>
      <w:r>
        <w:rPr>
          <w:rFonts w:hint="eastAsia" w:ascii="仿宋" w:hAnsi="Times New Roman" w:eastAsia="仿宋" w:cs="仿宋"/>
          <w:sz w:val="32"/>
          <w:szCs w:val="32"/>
        </w:rPr>
        <w:t>。</w:t>
      </w:r>
      <w:r>
        <w:rPr>
          <w:rFonts w:hint="eastAsia" w:ascii="仿宋" w:eastAsia="仿宋" w:cs="仿宋"/>
          <w:color w:val="auto"/>
          <w:szCs w:val="32"/>
        </w:rPr>
        <w:t>变动的主要原因：</w:t>
      </w:r>
      <w:r>
        <w:rPr>
          <w:rFonts w:hint="eastAsia" w:ascii="仿宋" w:eastAsia="仿宋" w:cs="仿宋"/>
          <w:color w:val="auto"/>
          <w:szCs w:val="32"/>
          <w:lang w:eastAsia="zh-CN"/>
        </w:rPr>
        <w:t>工资调整</w:t>
      </w:r>
      <w:bookmarkStart w:id="0" w:name="_GoBack"/>
      <w:bookmarkEnd w:id="0"/>
      <w:r>
        <w:rPr>
          <w:rFonts w:hint="eastAsia" w:ascii="仿宋" w:eastAsia="仿宋" w:cs="仿宋"/>
          <w:color w:val="auto"/>
          <w:szCs w:val="32"/>
          <w:lang w:eastAsia="zh-CN"/>
        </w:rPr>
        <w:t>。</w:t>
      </w:r>
      <w:r>
        <w:rPr>
          <w:rFonts w:hint="eastAsia" w:ascii="仿宋" w:hAnsi="Times New Roman" w:eastAsia="仿宋" w:cs="仿宋"/>
          <w:sz w:val="32"/>
          <w:szCs w:val="32"/>
        </w:rPr>
        <w:t>其中：人员经费</w:t>
      </w:r>
      <w:r>
        <w:rPr>
          <w:rFonts w:ascii="仿宋" w:hAnsi="Times New Roman" w:eastAsia="仿宋" w:cs="仿宋"/>
          <w:sz w:val="32"/>
          <w:szCs w:val="32"/>
        </w:rPr>
        <w:t>74.72</w:t>
      </w:r>
      <w:r>
        <w:rPr>
          <w:rFonts w:hint="eastAsia" w:ascii="仿宋" w:hAnsi="Times New Roman" w:eastAsia="仿宋" w:cs="仿宋"/>
          <w:sz w:val="32"/>
          <w:szCs w:val="32"/>
        </w:rPr>
        <w:t>万元，主要包括：基本工资、津贴补贴、 奖金、社会保障缴费、伙食补助费、绩效工资、其他工资福利 支出、离休费、退休费、退职（役）费、抚恤金、生活补助、 医疗费、助学金、奖励金、住房公积金、提租补贴、购房补贴、 其他对个人和家庭的补助支出</w:t>
      </w:r>
      <w:r>
        <w:rPr>
          <w:rFonts w:hint="eastAsia" w:ascii="仿宋" w:hAnsi="Times New Roman" w:eastAsia="仿宋" w:cs="仿宋"/>
          <w:sz w:val="32"/>
          <w:szCs w:val="32"/>
          <w:lang w:eastAsia="zh-CN"/>
        </w:rPr>
        <w:t>；</w:t>
      </w:r>
      <w:r>
        <w:rPr>
          <w:rFonts w:hint="eastAsia" w:ascii="仿宋" w:hAnsi="Times New Roman" w:eastAsia="仿宋" w:cs="仿宋"/>
          <w:sz w:val="32"/>
          <w:szCs w:val="32"/>
        </w:rPr>
        <w:t>公用经费</w:t>
      </w:r>
      <w:r>
        <w:rPr>
          <w:rFonts w:ascii="仿宋" w:hAnsi="Times New Roman" w:eastAsia="仿宋" w:cs="仿宋"/>
          <w:sz w:val="32"/>
          <w:szCs w:val="32"/>
        </w:rPr>
        <w:t>2</w:t>
      </w:r>
      <w:r>
        <w:rPr>
          <w:rFonts w:hint="eastAsia" w:ascii="仿宋" w:hAnsi="Times New Roman" w:eastAsia="仿宋" w:cs="仿宋"/>
          <w:sz w:val="32"/>
          <w:szCs w:val="32"/>
        </w:rPr>
        <w:t>万元，主要包括：主要包括：办公费、印刷费、咨询费、手续费、水费、电费、邮电费、取暖费、物业管理费、差旅费、因公出国（境）费、维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 支出、办公设备购置、专用设备购置、大型修缮、信息网络及软件购置更新、其他资本性支出。。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七、关于一般公共预算财政拨款</w:t>
      </w:r>
      <w:r>
        <w:rPr>
          <w:rFonts w:ascii="黑体" w:hAnsi="Times New Roman" w:eastAsia="黑体" w:cs="黑体"/>
          <w:sz w:val="32"/>
          <w:szCs w:val="32"/>
        </w:rPr>
        <w:t>“</w:t>
      </w:r>
      <w:r>
        <w:rPr>
          <w:rFonts w:hint="eastAsia" w:ascii="黑体" w:hAnsi="Times New Roman" w:eastAsia="黑体" w:cs="黑体"/>
          <w:sz w:val="32"/>
          <w:szCs w:val="32"/>
        </w:rPr>
        <w:t>三公</w:t>
      </w:r>
      <w:r>
        <w:rPr>
          <w:rFonts w:ascii="黑体" w:hAnsi="Times New Roman" w:eastAsia="黑体" w:cs="黑体"/>
          <w:sz w:val="32"/>
          <w:szCs w:val="32"/>
        </w:rPr>
        <w:t>”</w:t>
      </w:r>
      <w:r>
        <w:rPr>
          <w:rFonts w:hint="eastAsia" w:ascii="黑体" w:hAnsi="Times New Roman" w:eastAsia="黑体" w:cs="黑体"/>
          <w:sz w:val="32"/>
          <w:szCs w:val="32"/>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经费财政拨款支出决算总体情况说明。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hint="eastAsia"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经费财政拨款支出预算为</w:t>
      </w:r>
      <w:r>
        <w:rPr>
          <w:rFonts w:ascii="仿宋" w:hAnsi="Times New Roman" w:eastAsia="仿宋" w:cs="仿宋"/>
          <w:sz w:val="32"/>
          <w:szCs w:val="32"/>
        </w:rPr>
        <w:t>0</w:t>
      </w:r>
      <w:r>
        <w:rPr>
          <w:rFonts w:hint="eastAsia" w:ascii="仿宋" w:hAnsi="Times New Roman" w:eastAsia="仿宋" w:cs="仿宋"/>
          <w:sz w:val="32"/>
          <w:szCs w:val="32"/>
        </w:rPr>
        <w:t>万元，支出决算为</w:t>
      </w:r>
      <w:r>
        <w:rPr>
          <w:rFonts w:ascii="仿宋" w:hAnsi="Times New Roman" w:eastAsia="仿宋" w:cs="仿宋"/>
          <w:sz w:val="32"/>
          <w:szCs w:val="32"/>
        </w:rPr>
        <w:t>0</w:t>
      </w:r>
      <w:r>
        <w:rPr>
          <w:rFonts w:hint="eastAsia" w:ascii="仿宋" w:hAnsi="Times New Roman" w:eastAsia="仿宋" w:cs="仿宋"/>
          <w:sz w:val="32"/>
          <w:szCs w:val="32"/>
        </w:rPr>
        <w:t>万元，完成预算的</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hint="eastAsia" w:ascii="楷体" w:hAnsi="Times New Roman" w:eastAsia="楷体" w:cs="楷体"/>
          <w:sz w:val="32"/>
          <w:szCs w:val="32"/>
        </w:rPr>
        <w:t>（二）</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经费财政拨款支出决算具体情况说明。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经费财政拨款支出决算中，因公出国（境）费支出决算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；公务用车购置及运行费支出决算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；公务接待费支出决算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。具体情况如下：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1</w:t>
      </w:r>
      <w:r>
        <w:rPr>
          <w:rFonts w:hint="eastAsia" w:ascii="仿宋" w:hAnsi="Times New Roman" w:eastAsia="仿宋" w:cs="仿宋"/>
          <w:sz w:val="32"/>
          <w:szCs w:val="32"/>
        </w:rPr>
        <w:t>．因公出国（境）费支出</w:t>
      </w:r>
      <w:r>
        <w:rPr>
          <w:rFonts w:ascii="仿宋" w:hAnsi="Times New Roman" w:eastAsia="仿宋" w:cs="仿宋"/>
          <w:sz w:val="32"/>
          <w:szCs w:val="32"/>
        </w:rPr>
        <w:t>0</w:t>
      </w:r>
      <w:r>
        <w:rPr>
          <w:rFonts w:hint="eastAsia" w:ascii="仿宋" w:hAnsi="Times New Roman" w:eastAsia="仿宋" w:cs="仿宋"/>
          <w:sz w:val="32"/>
          <w:szCs w:val="32"/>
        </w:rPr>
        <w:t>万元。全年安排河南省南阳市高新技术产业开发区信访领导小组办公室机关因公出国（境）团组</w:t>
      </w:r>
      <w:r>
        <w:rPr>
          <w:rFonts w:ascii="仿宋" w:hAnsi="Times New Roman" w:eastAsia="仿宋" w:cs="仿宋"/>
          <w:sz w:val="32"/>
          <w:szCs w:val="32"/>
        </w:rPr>
        <w:t>0</w:t>
      </w:r>
      <w:r>
        <w:rPr>
          <w:rFonts w:hint="eastAsia" w:ascii="仿宋" w:hAnsi="Times New Roman" w:eastAsia="仿宋" w:cs="仿宋"/>
          <w:sz w:val="32"/>
          <w:szCs w:val="32"/>
        </w:rPr>
        <w:t>个，累计</w:t>
      </w:r>
      <w:r>
        <w:rPr>
          <w:rFonts w:ascii="仿宋" w:hAnsi="Times New Roman" w:eastAsia="仿宋" w:cs="仿宋"/>
          <w:sz w:val="32"/>
          <w:szCs w:val="32"/>
        </w:rPr>
        <w:t>0</w:t>
      </w:r>
      <w:r>
        <w:rPr>
          <w:rFonts w:hint="eastAsia" w:ascii="仿宋" w:hAnsi="Times New Roman" w:eastAsia="仿宋" w:cs="仿宋"/>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因公出国（境）费支出决算比</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w:t>
      </w:r>
      <w:r>
        <w:rPr>
          <w:rFonts w:hint="eastAsia" w:ascii="仿宋" w:hAnsi="Times New Roman" w:eastAsia="仿宋" w:cs="仿宋"/>
          <w:sz w:val="32"/>
          <w:szCs w:val="32"/>
        </w:rPr>
        <w:t>．公务用车购置及运行费支出</w:t>
      </w:r>
      <w:r>
        <w:rPr>
          <w:rFonts w:ascii="仿宋" w:hAnsi="Times New Roman" w:eastAsia="仿宋" w:cs="仿宋"/>
          <w:sz w:val="32"/>
          <w:szCs w:val="32"/>
        </w:rPr>
        <w:t>0</w:t>
      </w:r>
      <w:r>
        <w:rPr>
          <w:rFonts w:hint="eastAsia" w:ascii="仿宋" w:hAnsi="Times New Roman" w:eastAsia="仿宋" w:cs="仿宋"/>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公务用车购置支出为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公务用车运行支出</w:t>
      </w:r>
      <w:r>
        <w:rPr>
          <w:rFonts w:ascii="仿宋" w:hAnsi="Times New Roman" w:eastAsia="仿宋" w:cs="仿宋"/>
          <w:sz w:val="32"/>
          <w:szCs w:val="32"/>
        </w:rPr>
        <w:t>0</w:t>
      </w:r>
      <w:r>
        <w:rPr>
          <w:rFonts w:hint="eastAsia" w:ascii="仿宋" w:hAnsi="Times New Roman" w:eastAsia="仿宋" w:cs="仿宋"/>
          <w:sz w:val="32"/>
          <w:szCs w:val="32"/>
        </w:rPr>
        <w:t>万元。</w:t>
      </w:r>
      <w:r>
        <w:rPr>
          <w:rFonts w:ascii="仿宋" w:hAnsi="Times New Roman" w:eastAsia="仿宋" w:cs="仿宋"/>
          <w:sz w:val="32"/>
          <w:szCs w:val="32"/>
        </w:rPr>
        <w:t>2017</w:t>
      </w:r>
      <w:r>
        <w:rPr>
          <w:rFonts w:hint="eastAsia" w:ascii="仿宋" w:hAnsi="Times New Roman" w:eastAsia="仿宋" w:cs="仿宋"/>
          <w:sz w:val="32"/>
          <w:szCs w:val="32"/>
        </w:rPr>
        <w:t>年期末，部门财政拨款公务用车保有量为</w:t>
      </w:r>
      <w:r>
        <w:rPr>
          <w:rFonts w:ascii="仿宋" w:hAnsi="Times New Roman" w:eastAsia="仿宋" w:cs="仿宋"/>
          <w:sz w:val="32"/>
          <w:szCs w:val="32"/>
        </w:rPr>
        <w:t>0</w:t>
      </w:r>
      <w:r>
        <w:rPr>
          <w:rFonts w:hint="eastAsia" w:ascii="仿宋" w:hAnsi="Times New Roman" w:eastAsia="仿宋" w:cs="仿宋"/>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公务用车购置运行费支出决算比</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lang w:val="en-US" w:eastAsia="zh-CN"/>
        </w:rPr>
        <w:t>%</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3</w:t>
      </w:r>
      <w:r>
        <w:rPr>
          <w:rFonts w:hint="eastAsia" w:ascii="仿宋" w:hAnsi="Times New Roman" w:eastAsia="仿宋" w:cs="仿宋"/>
          <w:sz w:val="32"/>
          <w:szCs w:val="32"/>
        </w:rPr>
        <w:t>．公务接待费支出</w:t>
      </w:r>
      <w:r>
        <w:rPr>
          <w:rFonts w:ascii="仿宋" w:hAnsi="Times New Roman" w:eastAsia="仿宋" w:cs="仿宋"/>
          <w:sz w:val="32"/>
          <w:szCs w:val="32"/>
        </w:rPr>
        <w:t>0</w:t>
      </w:r>
      <w:r>
        <w:rPr>
          <w:rFonts w:hint="eastAsia" w:ascii="仿宋" w:hAnsi="Times New Roman" w:eastAsia="仿宋" w:cs="仿宋"/>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外宾接待支出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仿宋" w:hAnsi="Times New Roman" w:eastAsia="仿宋" w:cs="仿宋"/>
          <w:sz w:val="32"/>
          <w:szCs w:val="32"/>
          <w:lang w:eastAsia="zh-CN"/>
        </w:rPr>
      </w:pPr>
      <w:r>
        <w:rPr>
          <w:rFonts w:hint="eastAsia" w:ascii="仿宋" w:hAnsi="Times New Roman" w:eastAsia="仿宋" w:cs="仿宋"/>
          <w:sz w:val="32"/>
          <w:szCs w:val="32"/>
        </w:rPr>
        <w:t>其他国内公务接待支出</w:t>
      </w:r>
      <w:r>
        <w:rPr>
          <w:rFonts w:ascii="仿宋" w:hAnsi="Times New Roman" w:eastAsia="仿宋" w:cs="仿宋"/>
          <w:sz w:val="32"/>
          <w:szCs w:val="32"/>
        </w:rPr>
        <w:t>0</w:t>
      </w:r>
      <w:r>
        <w:rPr>
          <w:rFonts w:hint="eastAsia" w:ascii="仿宋" w:hAnsi="Times New Roman" w:eastAsia="仿宋" w:cs="仿宋"/>
          <w:sz w:val="32"/>
          <w:szCs w:val="32"/>
        </w:rPr>
        <w:t>万元</w:t>
      </w:r>
      <w:r>
        <w:rPr>
          <w:rFonts w:hint="eastAsia" w:ascii="仿宋" w:hAnsi="Times New Roman"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公务接待费支出决算比</w:t>
      </w:r>
      <w:r>
        <w:rPr>
          <w:rFonts w:ascii="仿宋" w:hAnsi="Times New Roman" w:eastAsia="仿宋" w:cs="仿宋"/>
          <w:sz w:val="32"/>
          <w:szCs w:val="32"/>
        </w:rPr>
        <w:t>2016</w:t>
      </w:r>
      <w:r>
        <w:rPr>
          <w:rFonts w:hint="eastAsia" w:ascii="仿宋" w:hAnsi="Times New Roman" w:eastAsia="仿宋" w:cs="仿宋"/>
          <w:sz w:val="32"/>
          <w:szCs w:val="32"/>
        </w:rPr>
        <w:t>年度减少</w:t>
      </w:r>
      <w:r>
        <w:rPr>
          <w:rFonts w:ascii="仿宋" w:hAnsi="Times New Roman" w:eastAsia="仿宋" w:cs="仿宋"/>
          <w:sz w:val="32"/>
          <w:szCs w:val="32"/>
        </w:rPr>
        <w:t>0.04</w:t>
      </w:r>
      <w:r>
        <w:rPr>
          <w:rFonts w:hint="eastAsia" w:ascii="仿宋" w:hAnsi="Times New Roman" w:eastAsia="仿宋" w:cs="仿宋"/>
          <w:sz w:val="32"/>
          <w:szCs w:val="32"/>
        </w:rPr>
        <w:t>万元，下降</w:t>
      </w:r>
      <w:r>
        <w:rPr>
          <w:rFonts w:ascii="仿宋" w:hAnsi="Times New Roman" w:eastAsia="仿宋" w:cs="仿宋"/>
          <w:sz w:val="32"/>
          <w:szCs w:val="32"/>
        </w:rPr>
        <w:t>100%</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严格控制“三公”经费支出</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河南省南阳市高新技术产业开发区信访领导小组办公室</w:t>
      </w:r>
      <w:r>
        <w:rPr>
          <w:rFonts w:ascii="仿宋" w:hAnsi="Times New Roman" w:eastAsia="仿宋" w:cs="仿宋"/>
          <w:sz w:val="32"/>
          <w:szCs w:val="32"/>
        </w:rPr>
        <w:t>2017</w:t>
      </w:r>
      <w:r>
        <w:rPr>
          <w:rFonts w:hint="eastAsia" w:ascii="仿宋" w:hAnsi="Times New Roman" w:eastAsia="仿宋" w:cs="仿宋"/>
          <w:sz w:val="32"/>
          <w:szCs w:val="32"/>
        </w:rPr>
        <w:t>年度共接待国内来访团组</w:t>
      </w:r>
      <w:r>
        <w:rPr>
          <w:rFonts w:ascii="仿宋" w:hAnsi="Times New Roman" w:eastAsia="仿宋" w:cs="仿宋"/>
          <w:sz w:val="32"/>
          <w:szCs w:val="32"/>
        </w:rPr>
        <w:t>0</w:t>
      </w:r>
      <w:r>
        <w:rPr>
          <w:rFonts w:hint="eastAsia" w:ascii="仿宋" w:hAnsi="Times New Roman" w:eastAsia="仿宋" w:cs="仿宋"/>
          <w:sz w:val="32"/>
          <w:szCs w:val="32"/>
        </w:rPr>
        <w:t>个、来访人员</w:t>
      </w:r>
      <w:r>
        <w:rPr>
          <w:rFonts w:ascii="仿宋" w:hAnsi="Times New Roman" w:eastAsia="仿宋" w:cs="仿宋"/>
          <w:sz w:val="32"/>
          <w:szCs w:val="32"/>
        </w:rPr>
        <w:t>0</w:t>
      </w:r>
      <w:r>
        <w:rPr>
          <w:rFonts w:hint="eastAsia" w:ascii="仿宋" w:hAnsi="Times New Roman" w:eastAsia="仿宋" w:cs="仿宋"/>
          <w:sz w:val="32"/>
          <w:szCs w:val="32"/>
        </w:rPr>
        <w:t>人次（不包括陪同人员）。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八、关于预算绩效情况说明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楷体" w:hAnsi="Times New Roman" w:eastAsia="楷体" w:cs="楷体"/>
          <w:sz w:val="32"/>
          <w:szCs w:val="32"/>
        </w:rPr>
      </w:pPr>
      <w:r>
        <w:rPr>
          <w:rFonts w:hint="eastAsia" w:ascii="楷体" w:hAnsi="Times New Roman" w:eastAsia="楷体" w:cs="楷体"/>
          <w:sz w:val="32"/>
          <w:szCs w:val="32"/>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2017年</w:t>
      </w:r>
      <w:r>
        <w:rPr>
          <w:rFonts w:hint="eastAsia" w:ascii="仿宋" w:eastAsia="仿宋" w:cs="仿宋"/>
          <w:sz w:val="32"/>
          <w:szCs w:val="32"/>
          <w:lang w:val="en-US" w:eastAsia="zh-CN"/>
        </w:rPr>
        <w:t>我单位未开展预算绩效管理工作。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640"/>
        <w:jc w:val="left"/>
        <w:textAlignment w:val="auto"/>
        <w:outlineLvl w:val="9"/>
        <w:rPr>
          <w:rFonts w:hint="eastAsia" w:ascii="楷体" w:hAnsi="Times New Roman" w:eastAsia="楷体" w:cs="楷体"/>
          <w:sz w:val="32"/>
          <w:szCs w:val="32"/>
        </w:rPr>
      </w:pPr>
      <w:r>
        <w:rPr>
          <w:rFonts w:hint="eastAsia" w:ascii="楷体" w:hAnsi="Times New Roman" w:eastAsia="楷体" w:cs="楷体"/>
          <w:sz w:val="32"/>
          <w:szCs w:val="32"/>
        </w:rPr>
        <w:t>项目绩效自评结果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仿宋" w:eastAsia="仿宋" w:cs="仿宋"/>
          <w:sz w:val="32"/>
          <w:szCs w:val="32"/>
          <w:lang w:val="en-US" w:eastAsia="zh-CN"/>
        </w:rPr>
      </w:pPr>
      <w:r>
        <w:rPr>
          <w:rFonts w:hint="eastAsia" w:ascii="仿宋" w:hAnsi="Times New Roman" w:eastAsia="仿宋" w:cs="仿宋"/>
          <w:sz w:val="32"/>
          <w:szCs w:val="32"/>
          <w:lang w:val="en-US" w:eastAsia="zh-CN"/>
        </w:rPr>
        <w:t>2017年</w:t>
      </w:r>
      <w:r>
        <w:rPr>
          <w:rFonts w:hint="eastAsia" w:ascii="仿宋" w:eastAsia="仿宋" w:cs="仿宋"/>
          <w:sz w:val="32"/>
          <w:szCs w:val="32"/>
          <w:lang w:val="en-US" w:eastAsia="zh-CN"/>
        </w:rPr>
        <w:t>我单位未开展预算绩效评价管理工作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九、关于政府性基金预算财政拨款支出决算情况说明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年度政府性基金预算财政拨款支出年初预算为</w:t>
      </w:r>
      <w:r>
        <w:rPr>
          <w:rFonts w:ascii="仿宋" w:hAnsi="Times New Roman" w:eastAsia="仿宋" w:cs="仿宋"/>
          <w:sz w:val="32"/>
          <w:szCs w:val="32"/>
        </w:rPr>
        <w:t>0</w:t>
      </w:r>
      <w:r>
        <w:rPr>
          <w:rFonts w:hint="eastAsia" w:ascii="仿宋" w:hAnsi="Times New Roman" w:eastAsia="仿宋" w:cs="仿宋"/>
          <w:sz w:val="32"/>
          <w:szCs w:val="32"/>
        </w:rPr>
        <w:t>万元，支出决算为</w:t>
      </w:r>
      <w:r>
        <w:rPr>
          <w:rFonts w:ascii="仿宋" w:hAnsi="Times New Roman" w:eastAsia="仿宋" w:cs="仿宋"/>
          <w:sz w:val="32"/>
          <w:szCs w:val="32"/>
        </w:rPr>
        <w:t>0</w:t>
      </w:r>
      <w:r>
        <w:rPr>
          <w:rFonts w:hint="eastAsia" w:ascii="仿宋" w:hAnsi="Times New Roman" w:eastAsia="仿宋" w:cs="仿宋"/>
          <w:sz w:val="32"/>
          <w:szCs w:val="32"/>
        </w:rPr>
        <w:t>万元，完成年初预算的</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十、机关运行经费支出情况说明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年度机关运行经费支出</w:t>
      </w:r>
      <w:r>
        <w:rPr>
          <w:rFonts w:ascii="仿宋" w:hAnsi="Times New Roman" w:eastAsia="仿宋" w:cs="仿宋"/>
          <w:sz w:val="32"/>
          <w:szCs w:val="32"/>
        </w:rPr>
        <w:t>2</w:t>
      </w:r>
      <w:r>
        <w:rPr>
          <w:rFonts w:hint="eastAsia" w:ascii="仿宋" w:hAnsi="Times New Roman" w:eastAsia="仿宋" w:cs="仿宋"/>
          <w:sz w:val="32"/>
          <w:szCs w:val="32"/>
        </w:rPr>
        <w:t>万元，较</w:t>
      </w:r>
      <w:r>
        <w:rPr>
          <w:rFonts w:ascii="仿宋" w:hAnsi="Times New Roman" w:eastAsia="仿宋" w:cs="仿宋"/>
          <w:sz w:val="32"/>
          <w:szCs w:val="32"/>
        </w:rPr>
        <w:t>2016</w:t>
      </w:r>
      <w:r>
        <w:rPr>
          <w:rFonts w:hint="eastAsia" w:ascii="仿宋" w:hAnsi="Times New Roman" w:eastAsia="仿宋" w:cs="仿宋"/>
          <w:sz w:val="32"/>
          <w:szCs w:val="32"/>
        </w:rPr>
        <w:t>年度减少</w:t>
      </w:r>
      <w:r>
        <w:rPr>
          <w:rFonts w:ascii="仿宋" w:hAnsi="Times New Roman" w:eastAsia="仿宋" w:cs="仿宋"/>
          <w:sz w:val="32"/>
          <w:szCs w:val="32"/>
        </w:rPr>
        <w:t>102.23</w:t>
      </w:r>
      <w:r>
        <w:rPr>
          <w:rFonts w:hint="eastAsia" w:ascii="仿宋" w:hAnsi="Times New Roman" w:eastAsia="仿宋" w:cs="仿宋"/>
          <w:sz w:val="32"/>
          <w:szCs w:val="32"/>
        </w:rPr>
        <w:t>万元，下降</w:t>
      </w:r>
      <w:r>
        <w:rPr>
          <w:rFonts w:ascii="仿宋" w:hAnsi="Times New Roman" w:eastAsia="仿宋" w:cs="仿宋"/>
          <w:sz w:val="32"/>
          <w:szCs w:val="32"/>
        </w:rPr>
        <w:t>98.08%</w:t>
      </w:r>
      <w:r>
        <w:rPr>
          <w:rFonts w:hint="eastAsia" w:ascii="仿宋" w:hAnsi="Times New Roman" w:eastAsia="仿宋" w:cs="仿宋"/>
          <w:sz w:val="32"/>
          <w:szCs w:val="32"/>
        </w:rPr>
        <w:t>。减少的主要原因是：</w:t>
      </w:r>
      <w:r>
        <w:rPr>
          <w:rFonts w:hint="eastAsia" w:ascii="仿宋" w:hAnsi="Times New Roman" w:eastAsia="仿宋" w:cs="仿宋"/>
          <w:sz w:val="32"/>
          <w:szCs w:val="32"/>
          <w:lang w:eastAsia="zh-CN"/>
        </w:rPr>
        <w:t>控制机关运行经费的支出</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十一、政府采购支出情况说明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年度政府采购支出总额</w:t>
      </w:r>
      <w:r>
        <w:rPr>
          <w:rFonts w:ascii="仿宋" w:hAnsi="Times New Roman" w:eastAsia="仿宋" w:cs="仿宋"/>
          <w:sz w:val="32"/>
          <w:szCs w:val="32"/>
        </w:rPr>
        <w:t>0</w:t>
      </w:r>
      <w:r>
        <w:rPr>
          <w:rFonts w:hint="eastAsia" w:ascii="仿宋" w:hAnsi="Times New Roman" w:eastAsia="仿宋" w:cs="仿宋"/>
          <w:sz w:val="32"/>
          <w:szCs w:val="32"/>
        </w:rPr>
        <w:t>万元，其中：政府采购货物支出</w:t>
      </w:r>
      <w:r>
        <w:rPr>
          <w:rFonts w:ascii="仿宋" w:hAnsi="Times New Roman" w:eastAsia="仿宋" w:cs="仿宋"/>
          <w:sz w:val="32"/>
          <w:szCs w:val="32"/>
        </w:rPr>
        <w:t>0</w:t>
      </w:r>
      <w:r>
        <w:rPr>
          <w:rFonts w:hint="eastAsia" w:ascii="仿宋" w:hAnsi="Times New Roman" w:eastAsia="仿宋" w:cs="仿宋"/>
          <w:sz w:val="32"/>
          <w:szCs w:val="32"/>
        </w:rPr>
        <w:t>万元，政府采购工程支出</w:t>
      </w:r>
      <w:r>
        <w:rPr>
          <w:rFonts w:ascii="仿宋" w:hAnsi="Times New Roman" w:eastAsia="仿宋" w:cs="仿宋"/>
          <w:sz w:val="32"/>
          <w:szCs w:val="32"/>
        </w:rPr>
        <w:t>0</w:t>
      </w:r>
      <w:r>
        <w:rPr>
          <w:rFonts w:hint="eastAsia" w:ascii="仿宋" w:hAnsi="Times New Roman" w:eastAsia="仿宋" w:cs="仿宋"/>
          <w:sz w:val="32"/>
          <w:szCs w:val="32"/>
        </w:rPr>
        <w:t>万元，政府采购服务支出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十二、国有资产占用情况说明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40" w:firstLineChars="200"/>
        <w:jc w:val="left"/>
        <w:textAlignment w:val="auto"/>
        <w:outlineLvl w:val="9"/>
        <w:rPr>
          <w:rFonts w:ascii="仿宋" w:hAnsi="Times New Roman" w:eastAsia="仿宋" w:cs="仿宋"/>
          <w:sz w:val="32"/>
          <w:szCs w:val="32"/>
        </w:rPr>
      </w:pPr>
      <w:r>
        <w:rPr>
          <w:rFonts w:ascii="仿宋" w:hAnsi="Times New Roman" w:eastAsia="仿宋" w:cs="仿宋"/>
          <w:sz w:val="32"/>
          <w:szCs w:val="32"/>
        </w:rPr>
        <w:t xml:space="preserve"> 2017</w:t>
      </w:r>
      <w:r>
        <w:rPr>
          <w:rFonts w:hint="eastAsia" w:ascii="仿宋" w:hAnsi="Times New Roman" w:eastAsia="仿宋" w:cs="仿宋"/>
          <w:sz w:val="32"/>
          <w:szCs w:val="32"/>
        </w:rPr>
        <w:t>年期末，河南省南阳市高新技术产业开发区信访领导小组办公室共有车辆</w:t>
      </w:r>
      <w:r>
        <w:rPr>
          <w:rFonts w:ascii="仿宋" w:hAnsi="Times New Roman" w:eastAsia="仿宋" w:cs="仿宋"/>
          <w:sz w:val="32"/>
          <w:szCs w:val="32"/>
        </w:rPr>
        <w:t>0</w:t>
      </w:r>
      <w:r>
        <w:rPr>
          <w:rFonts w:hint="eastAsia" w:ascii="仿宋" w:hAnsi="Times New Roman" w:eastAsia="仿宋" w:cs="仿宋"/>
          <w:sz w:val="32"/>
          <w:szCs w:val="32"/>
        </w:rPr>
        <w:t>辆，其中：一般公务用车</w:t>
      </w:r>
      <w:r>
        <w:rPr>
          <w:rFonts w:ascii="仿宋" w:hAnsi="Times New Roman" w:eastAsia="仿宋" w:cs="仿宋"/>
          <w:sz w:val="32"/>
          <w:szCs w:val="32"/>
        </w:rPr>
        <w:t>0</w:t>
      </w:r>
      <w:r>
        <w:rPr>
          <w:rFonts w:hint="eastAsia" w:ascii="仿宋" w:hAnsi="Times New Roman" w:eastAsia="仿宋" w:cs="仿宋"/>
          <w:sz w:val="32"/>
          <w:szCs w:val="32"/>
        </w:rPr>
        <w:t>辆、一般执法执勤用车</w:t>
      </w:r>
      <w:r>
        <w:rPr>
          <w:rFonts w:ascii="仿宋" w:hAnsi="Times New Roman" w:eastAsia="仿宋" w:cs="仿宋"/>
          <w:sz w:val="32"/>
          <w:szCs w:val="32"/>
        </w:rPr>
        <w:t>0</w:t>
      </w:r>
      <w:r>
        <w:rPr>
          <w:rFonts w:hint="eastAsia" w:ascii="仿宋" w:hAnsi="Times New Roman" w:eastAsia="仿宋" w:cs="仿宋"/>
          <w:sz w:val="32"/>
          <w:szCs w:val="32"/>
        </w:rPr>
        <w:t>辆、特种专业技术用车</w:t>
      </w:r>
      <w:r>
        <w:rPr>
          <w:rFonts w:ascii="仿宋" w:hAnsi="Times New Roman" w:eastAsia="仿宋" w:cs="仿宋"/>
          <w:sz w:val="32"/>
          <w:szCs w:val="32"/>
        </w:rPr>
        <w:t>0</w:t>
      </w:r>
      <w:r>
        <w:rPr>
          <w:rFonts w:hint="eastAsia" w:ascii="仿宋" w:hAnsi="Times New Roman" w:eastAsia="仿宋" w:cs="仿宋"/>
          <w:sz w:val="32"/>
          <w:szCs w:val="32"/>
        </w:rPr>
        <w:t>辆，其他用车</w:t>
      </w:r>
      <w:r>
        <w:rPr>
          <w:rFonts w:ascii="仿宋" w:hAnsi="Times New Roman" w:eastAsia="仿宋" w:cs="仿宋"/>
          <w:sz w:val="32"/>
          <w:szCs w:val="32"/>
        </w:rPr>
        <w:t>0</w:t>
      </w:r>
      <w:r>
        <w:rPr>
          <w:rFonts w:hint="eastAsia" w:ascii="仿宋" w:hAnsi="Times New Roman" w:eastAsia="仿宋" w:cs="仿宋"/>
          <w:sz w:val="32"/>
          <w:szCs w:val="32"/>
        </w:rPr>
        <w:t>辆，单位价值</w:t>
      </w:r>
      <w:r>
        <w:rPr>
          <w:rFonts w:ascii="仿宋" w:hAnsi="Times New Roman" w:eastAsia="仿宋" w:cs="仿宋"/>
          <w:sz w:val="32"/>
          <w:szCs w:val="32"/>
        </w:rPr>
        <w:t>50</w:t>
      </w:r>
      <w:r>
        <w:rPr>
          <w:rFonts w:hint="eastAsia" w:ascii="仿宋" w:hAnsi="Times New Roman" w:eastAsia="仿宋" w:cs="仿宋"/>
          <w:sz w:val="32"/>
          <w:szCs w:val="32"/>
        </w:rPr>
        <w:t>万元以上通用设备</w:t>
      </w:r>
      <w:r>
        <w:rPr>
          <w:rFonts w:ascii="仿宋" w:hAnsi="Times New Roman" w:eastAsia="仿宋" w:cs="仿宋"/>
          <w:sz w:val="32"/>
          <w:szCs w:val="32"/>
        </w:rPr>
        <w:t>0</w:t>
      </w:r>
      <w:r>
        <w:rPr>
          <w:rFonts w:hint="eastAsia" w:ascii="仿宋" w:hAnsi="Times New Roman" w:eastAsia="仿宋" w:cs="仿宋"/>
          <w:sz w:val="32"/>
          <w:szCs w:val="32"/>
        </w:rPr>
        <w:t>台（套），单位价值</w:t>
      </w:r>
      <w:r>
        <w:rPr>
          <w:rFonts w:ascii="仿宋" w:hAnsi="Times New Roman" w:eastAsia="仿宋" w:cs="仿宋"/>
          <w:sz w:val="32"/>
          <w:szCs w:val="32"/>
        </w:rPr>
        <w:t>100</w:t>
      </w:r>
      <w:r>
        <w:rPr>
          <w:rFonts w:hint="eastAsia" w:ascii="仿宋" w:hAnsi="Times New Roman" w:eastAsia="仿宋" w:cs="仿宋"/>
          <w:sz w:val="32"/>
          <w:szCs w:val="32"/>
        </w:rPr>
        <w:t>万元以上专用设备</w:t>
      </w:r>
      <w:r>
        <w:rPr>
          <w:rFonts w:ascii="仿宋" w:hAnsi="Times New Roman" w:eastAsia="仿宋" w:cs="仿宋"/>
          <w:sz w:val="32"/>
          <w:szCs w:val="32"/>
        </w:rPr>
        <w:t>0</w:t>
      </w:r>
      <w:r>
        <w:rPr>
          <w:rFonts w:hint="eastAsia" w:ascii="仿宋" w:hAnsi="Times New Roman" w:eastAsia="仿宋" w:cs="仿宋"/>
          <w:sz w:val="32"/>
          <w:szCs w:val="32"/>
        </w:rPr>
        <w:t>台（套）。</w:t>
      </w:r>
    </w:p>
    <w:p>
      <w:pPr>
        <w:kinsoku w:val="0"/>
        <w:overflowPunct w:val="0"/>
        <w:adjustRightInd w:val="0"/>
        <w:snapToGrid w:val="0"/>
        <w:spacing w:line="360" w:lineRule="auto"/>
        <w:ind w:right="521" w:firstLine="0" w:firstLineChars="0"/>
        <w:jc w:val="center"/>
        <w:rPr>
          <w:rFonts w:ascii="黑体" w:eastAsia="黑体" w:cs="黑体"/>
          <w:szCs w:val="32"/>
        </w:rPr>
      </w:pPr>
      <w:r>
        <w:rPr>
          <w:rFonts w:hint="eastAsia" w:ascii="黑体" w:eastAsia="黑体" w:cs="黑体"/>
          <w:szCs w:val="32"/>
        </w:rPr>
        <w:t>第四部分</w:t>
      </w:r>
      <w:r>
        <w:rPr>
          <w:rFonts w:hint="eastAsia" w:ascii="黑体" w:eastAsia="黑体" w:cs="黑体"/>
          <w:spacing w:val="-32"/>
          <w:szCs w:val="32"/>
        </w:rPr>
        <w:t xml:space="preserve">  </w:t>
      </w:r>
      <w:r>
        <w:rPr>
          <w:rFonts w:hint="eastAsia" w:ascii="黑体" w:eastAsia="黑体" w:cs="黑体"/>
          <w:szCs w:val="32"/>
        </w:rPr>
        <w:t>名词解释</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一、财政拨款收入：是指财政当年拨付的资金。</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二、事业收入：是指事业单位开展专业活动及辅助活动所取 得的收入。</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 xml:space="preserve">三、其他收入：是指部门取得的除“财政拨款”、“事业收入”、“事业单位经营收入”等以外的收入。 </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五、上年结转和结余：是指以前年度支出预算因客观条件变化未执行完毕、结转到本年度按有关规定继续使用的资金，既包括财政拨款结转和结余，也包括事业收入、经营收入、其他收入的结转和结余。</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六、基本支出：是指为保障机构正常运转、完成日常工作任务所必需的开支，其内容包括人员经费和日常公用经费两部分。</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七、项目支出：是指在基本支出之外，为完成特定的行政工作任务或事业发展目标所发生的支出。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八、一般公共服务（类）××事务（款）：是指南阳市高新区信访领导小组办公室用于保障机构正常运行、开展××业务等活动的支出。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（一）行政运行（项）：是指为保障南阳市高新区信访领导小组办公室各行政机构正常运转、完成日常工作任务安排的支出。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（二）一般行政管理事务（项）：是指南阳市高新区信访领导小组办公室机关及所属二级单位的项目支出。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（三）机关服务（项）：是指为南阳市高新区信访领导小组办公室机关提供后勤保障服务的机关服务局的支出。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（四）事业运行（项）：是指事业单位用于保障机构正常运转的基本支出。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insoku w:val="0"/>
        <w:overflowPunct w:val="0"/>
        <w:snapToGrid w:val="0"/>
        <w:spacing w:line="360" w:lineRule="auto"/>
        <w:ind w:left="0" w:firstLine="640" w:firstLineChars="200"/>
        <w:jc w:val="both"/>
      </w:pPr>
      <w:r>
        <w:rPr>
          <w:rFonts w:hint="eastAsia" w:hAnsi="宋体" w:cs="Courier New"/>
          <w:kern w:val="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A6AAB"/>
    <w:multiLevelType w:val="singleLevel"/>
    <w:tmpl w:val="B8BA6AAB"/>
    <w:lvl w:ilvl="0" w:tentative="0">
      <w:start w:val="2"/>
      <w:numFmt w:val="chineseCounting"/>
      <w:suff w:val="nothing"/>
      <w:lvlText w:val="（%1）"/>
      <w:lvlJc w:val="left"/>
      <w:rPr>
        <w:rFonts w:hint="eastAsia"/>
      </w:rPr>
    </w:lvl>
  </w:abstractNum>
  <w:abstractNum w:abstractNumId="1">
    <w:nsid w:val="2712C04B"/>
    <w:multiLevelType w:val="singleLevel"/>
    <w:tmpl w:val="2712C04B"/>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4603"/>
    <w:rsid w:val="00047453"/>
    <w:rsid w:val="000B4603"/>
    <w:rsid w:val="00130633"/>
    <w:rsid w:val="00146316"/>
    <w:rsid w:val="002237A6"/>
    <w:rsid w:val="00283490"/>
    <w:rsid w:val="002B6003"/>
    <w:rsid w:val="00302C89"/>
    <w:rsid w:val="00370B8A"/>
    <w:rsid w:val="003A6770"/>
    <w:rsid w:val="00457899"/>
    <w:rsid w:val="005204A5"/>
    <w:rsid w:val="006220C6"/>
    <w:rsid w:val="00654C1D"/>
    <w:rsid w:val="006828A3"/>
    <w:rsid w:val="006C0979"/>
    <w:rsid w:val="007E7563"/>
    <w:rsid w:val="00816DA5"/>
    <w:rsid w:val="008A5767"/>
    <w:rsid w:val="00963739"/>
    <w:rsid w:val="009C44E0"/>
    <w:rsid w:val="00A56574"/>
    <w:rsid w:val="00BF4457"/>
    <w:rsid w:val="00C9594E"/>
    <w:rsid w:val="00DD4B47"/>
    <w:rsid w:val="00DE2BA4"/>
    <w:rsid w:val="00E7659C"/>
    <w:rsid w:val="00E87D40"/>
    <w:rsid w:val="00ED257B"/>
    <w:rsid w:val="00FA14B2"/>
    <w:rsid w:val="06716BFA"/>
    <w:rsid w:val="0B130915"/>
    <w:rsid w:val="151A06CD"/>
    <w:rsid w:val="2F572BED"/>
    <w:rsid w:val="32F71147"/>
    <w:rsid w:val="3A4215CE"/>
    <w:rsid w:val="3F1925F8"/>
    <w:rsid w:val="43287F1E"/>
    <w:rsid w:val="4B593F71"/>
    <w:rsid w:val="5BE70CE1"/>
    <w:rsid w:val="5E6E6ECD"/>
    <w:rsid w:val="62CF0740"/>
    <w:rsid w:val="63DF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
    <w:qFormat/>
    <w:uiPriority w:val="1"/>
    <w:pPr>
      <w:autoSpaceDE w:val="0"/>
      <w:autoSpaceDN w:val="0"/>
      <w:adjustRightInd w:val="0"/>
      <w:spacing w:line="240" w:lineRule="auto"/>
      <w:ind w:left="761" w:firstLine="0" w:firstLineChars="0"/>
      <w:jc w:val="left"/>
    </w:pPr>
    <w:rPr>
      <w:rFonts w:ascii="仿宋_GB2312"/>
      <w:kern w:val="0"/>
      <w:szCs w:val="32"/>
    </w:rPr>
  </w:style>
  <w:style w:type="paragraph" w:styleId="3">
    <w:name w:val="footer"/>
    <w:basedOn w:val="1"/>
    <w:link w:val="9"/>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正文文本 Char"/>
    <w:basedOn w:val="5"/>
    <w:link w:val="2"/>
    <w:qFormat/>
    <w:uiPriority w:val="1"/>
    <w:rPr>
      <w:rFonts w:ascii="仿宋_GB2312" w:hAnsi="Times New Roman" w:eastAsia="仿宋_GB2312" w:cs="Times New Roman"/>
      <w:kern w:val="0"/>
      <w:sz w:val="32"/>
      <w:szCs w:val="32"/>
    </w:rPr>
  </w:style>
  <w:style w:type="character" w:customStyle="1" w:styleId="8">
    <w:name w:val="页眉 Char"/>
    <w:basedOn w:val="5"/>
    <w:link w:val="4"/>
    <w:semiHidden/>
    <w:qFormat/>
    <w:uiPriority w:val="99"/>
    <w:rPr>
      <w:rFonts w:ascii="Times New Roman" w:hAnsi="Times New Roman" w:eastAsia="仿宋_GB2312" w:cs="Times New Roman"/>
      <w:sz w:val="18"/>
      <w:szCs w:val="18"/>
    </w:rPr>
  </w:style>
  <w:style w:type="character" w:customStyle="1" w:styleId="9">
    <w:name w:val="页脚 Char"/>
    <w:basedOn w:val="5"/>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625</Words>
  <Characters>3565</Characters>
  <Lines>29</Lines>
  <Paragraphs>8</Paragraphs>
  <TotalTime>0</TotalTime>
  <ScaleCrop>false</ScaleCrop>
  <LinksUpToDate>false</LinksUpToDate>
  <CharactersWithSpaces>4182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2017-05-26T01:21:00Z</dcterms:created>
  <dc:creator>HP</dc:creator>
  <cp:lastModifiedBy>lenovo</cp:lastModifiedBy>
  <dcterms:modified xsi:type="dcterms:W3CDTF">2018-09-18T08:26:18Z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