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topLinePunct w:val="0"/>
        <w:bidi w:val="0"/>
        <w:adjustRightInd w:val="0"/>
        <w:snapToGrid w:val="0"/>
        <w:spacing w:line="360" w:lineRule="auto"/>
        <w:ind w:firstLine="0" w:firstLine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lang w:val="en-US" w:eastAsia="zh-CN"/>
        </w:rPr>
        <w:t>2017</w:t>
      </w:r>
      <w:r>
        <w:rPr>
          <w:rFonts w:hint="eastAsia" w:ascii="黑体" w:hAnsi="黑体" w:eastAsia="黑体" w:cs="黑体"/>
          <w:sz w:val="36"/>
          <w:szCs w:val="36"/>
        </w:rPr>
        <w:t>年河南省南阳市高新技术产业开发区市场发展服务中心决算公开</w:t>
      </w:r>
    </w:p>
    <w:p>
      <w:pPr>
        <w:keepNext w:val="0"/>
        <w:keepLines w:val="0"/>
        <w:pageBreakBefore w:val="0"/>
        <w:widowControl w:val="0"/>
        <w:kinsoku w:val="0"/>
        <w:wordWrap/>
        <w:overflowPunct w:val="0"/>
        <w:topLinePunct w:val="0"/>
        <w:bidi w:val="0"/>
        <w:adjustRightInd w:val="0"/>
        <w:snapToGrid w:val="0"/>
        <w:spacing w:line="360" w:lineRule="auto"/>
        <w:ind w:left="-142" w:right="51" w:firstLine="25" w:firstLineChars="7"/>
        <w:jc w:val="center"/>
        <w:textAlignment w:val="auto"/>
        <w:outlineLvl w:val="9"/>
        <w:rPr>
          <w:rFonts w:ascii="黑体" w:eastAsia="黑体" w:cs="黑体"/>
          <w:sz w:val="36"/>
          <w:szCs w:val="36"/>
        </w:rPr>
      </w:pPr>
      <w:r>
        <w:rPr>
          <w:rFonts w:hint="eastAsia" w:ascii="黑体" w:eastAsia="黑体" w:cs="黑体"/>
          <w:sz w:val="36"/>
          <w:szCs w:val="36"/>
        </w:rPr>
        <w:t>目</w:t>
      </w:r>
      <w:r>
        <w:rPr>
          <w:rFonts w:ascii="黑体" w:eastAsia="黑体" w:cs="黑体"/>
          <w:spacing w:val="2"/>
          <w:sz w:val="36"/>
          <w:szCs w:val="36"/>
        </w:rPr>
        <w:t xml:space="preserve"> </w:t>
      </w:r>
      <w:r>
        <w:rPr>
          <w:rFonts w:hint="eastAsia" w:ascii="黑体" w:eastAsia="黑体" w:cs="黑体"/>
          <w:sz w:val="36"/>
          <w:szCs w:val="36"/>
        </w:rPr>
        <w:t>录</w:t>
      </w:r>
    </w:p>
    <w:p>
      <w:pPr>
        <w:keepNext w:val="0"/>
        <w:keepLines w:val="0"/>
        <w:pageBreakBefore w:val="0"/>
        <w:widowControl w:val="0"/>
        <w:kinsoku w:val="0"/>
        <w:wordWrap/>
        <w:overflowPunct w:val="0"/>
        <w:topLinePunct w:val="0"/>
        <w:bidi w:val="0"/>
        <w:adjustRightInd w:val="0"/>
        <w:snapToGrid w:val="0"/>
        <w:spacing w:line="360" w:lineRule="auto"/>
        <w:ind w:left="101" w:firstLine="640"/>
        <w:textAlignment w:val="auto"/>
        <w:outlineLvl w:val="9"/>
        <w:rPr>
          <w:rFonts w:ascii="黑体" w:eastAsia="黑体" w:cs="黑体"/>
          <w:sz w:val="32"/>
          <w:szCs w:val="32"/>
        </w:rPr>
      </w:pPr>
      <w:r>
        <w:rPr>
          <w:rFonts w:hint="eastAsia" w:ascii="黑体" w:eastAsia="黑体" w:cs="黑体"/>
          <w:sz w:val="32"/>
          <w:szCs w:val="32"/>
        </w:rPr>
        <w:t>第一部分</w:t>
      </w:r>
      <w:r>
        <w:rPr>
          <w:rFonts w:ascii="黑体" w:eastAsia="黑体" w:cs="黑体"/>
          <w:sz w:val="32"/>
          <w:szCs w:val="32"/>
        </w:rPr>
        <w:t xml:space="preserve"> </w:t>
      </w:r>
      <w:r>
        <w:rPr>
          <w:rFonts w:hint="eastAsia" w:ascii="黑体" w:hAnsi="黑体" w:eastAsia="黑体"/>
          <w:sz w:val="32"/>
          <w:szCs w:val="32"/>
        </w:rPr>
        <w:t>河南省南阳市高新技术产业开发区</w:t>
      </w:r>
      <w:r>
        <w:rPr>
          <w:rFonts w:hint="eastAsia" w:ascii="黑体" w:eastAsia="黑体" w:cs="黑体"/>
          <w:sz w:val="32"/>
          <w:szCs w:val="32"/>
        </w:rPr>
        <w:t>市场发展服务中心概况</w:t>
      </w:r>
      <w:r>
        <w:rPr>
          <w:rFonts w:ascii="黑体" w:eastAsia="黑体" w:cs="黑体"/>
          <w:sz w:val="32"/>
          <w:szCs w:val="32"/>
        </w:rPr>
        <w:t xml:space="preserve"> </w:t>
      </w:r>
      <w:bookmarkStart w:id="0" w:name="_GoBack"/>
      <w:bookmarkEnd w:id="0"/>
    </w:p>
    <w:p>
      <w:pPr>
        <w:keepNext w:val="0"/>
        <w:keepLines w:val="0"/>
        <w:pageBreakBefore w:val="0"/>
        <w:widowControl w:val="0"/>
        <w:kinsoku w:val="0"/>
        <w:wordWrap/>
        <w:overflowPunct w:val="0"/>
        <w:topLinePunct w:val="0"/>
        <w:bidi w:val="0"/>
        <w:adjustRightInd w:val="0"/>
        <w:snapToGrid w:val="0"/>
        <w:spacing w:line="360" w:lineRule="auto"/>
        <w:ind w:right="3569" w:firstLine="960" w:firstLineChars="3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一、主要职能</w:t>
      </w:r>
    </w:p>
    <w:p>
      <w:pPr>
        <w:keepNext w:val="0"/>
        <w:keepLines w:val="0"/>
        <w:pageBreakBefore w:val="0"/>
        <w:widowControl w:val="0"/>
        <w:kinsoku w:val="0"/>
        <w:wordWrap/>
        <w:overflowPunct w:val="0"/>
        <w:topLinePunct w:val="0"/>
        <w:bidi w:val="0"/>
        <w:adjustRightInd w:val="0"/>
        <w:snapToGrid w:val="0"/>
        <w:spacing w:line="360" w:lineRule="auto"/>
        <w:ind w:right="3569" w:firstLine="960" w:firstLineChars="3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二、部门决算单位构成</w:t>
      </w:r>
    </w:p>
    <w:p>
      <w:pPr>
        <w:keepNext w:val="0"/>
        <w:keepLines w:val="0"/>
        <w:pageBreakBefore w:val="0"/>
        <w:widowControl w:val="0"/>
        <w:kinsoku w:val="0"/>
        <w:wordWrap/>
        <w:overflowPunct w:val="0"/>
        <w:topLinePunct w:val="0"/>
        <w:bidi w:val="0"/>
        <w:adjustRightInd w:val="0"/>
        <w:snapToGrid w:val="0"/>
        <w:spacing w:line="360" w:lineRule="auto"/>
        <w:ind w:left="101" w:firstLine="640"/>
        <w:textAlignment w:val="auto"/>
        <w:outlineLvl w:val="9"/>
        <w:rPr>
          <w:rFonts w:ascii="黑体" w:eastAsia="黑体" w:cs="黑体"/>
          <w:sz w:val="32"/>
          <w:szCs w:val="32"/>
        </w:rPr>
      </w:pPr>
      <w:r>
        <w:rPr>
          <w:rFonts w:hint="eastAsia" w:ascii="黑体" w:eastAsia="黑体" w:cs="黑体"/>
          <w:sz w:val="32"/>
          <w:szCs w:val="32"/>
        </w:rPr>
        <w:t>第二部分</w:t>
      </w:r>
      <w:r>
        <w:rPr>
          <w:rFonts w:ascii="黑体" w:eastAsia="黑体" w:cs="黑体"/>
          <w:spacing w:val="-32"/>
          <w:sz w:val="32"/>
          <w:szCs w:val="32"/>
        </w:rPr>
        <w:t xml:space="preserve"> </w:t>
      </w:r>
      <w:r>
        <w:rPr>
          <w:rFonts w:hint="eastAsia" w:ascii="黑体" w:hAnsi="黑体" w:eastAsia="黑体"/>
          <w:sz w:val="32"/>
          <w:szCs w:val="32"/>
        </w:rPr>
        <w:t>河南省南阳市高新技术产业开发区</w:t>
      </w:r>
      <w:r>
        <w:rPr>
          <w:rFonts w:hint="eastAsia" w:ascii="黑体" w:eastAsia="黑体" w:cs="黑体"/>
          <w:sz w:val="32"/>
          <w:szCs w:val="32"/>
        </w:rPr>
        <w:t>市场发展服务中心</w:t>
      </w:r>
      <w:r>
        <w:rPr>
          <w:rFonts w:hint="eastAsia" w:ascii="黑体" w:eastAsia="黑体" w:cs="黑体"/>
          <w:sz w:val="32"/>
          <w:szCs w:val="32"/>
          <w:lang w:val="en-US" w:eastAsia="zh-CN"/>
        </w:rPr>
        <w:t>2017</w:t>
      </w:r>
      <w:r>
        <w:rPr>
          <w:rFonts w:hint="eastAsia" w:ascii="黑体" w:eastAsia="黑体" w:cs="黑体"/>
          <w:sz w:val="32"/>
          <w:szCs w:val="32"/>
        </w:rPr>
        <w:t>年度部门决算表</w:t>
      </w:r>
    </w:p>
    <w:p>
      <w:pPr>
        <w:keepNext w:val="0"/>
        <w:keepLines w:val="0"/>
        <w:pageBreakBefore w:val="0"/>
        <w:widowControl w:val="0"/>
        <w:kinsoku w:val="0"/>
        <w:wordWrap/>
        <w:overflowPunct w:val="0"/>
        <w:topLinePunct w:val="0"/>
        <w:bidi w:val="0"/>
        <w:adjustRightInd w:val="0"/>
        <w:snapToGrid w:val="0"/>
        <w:spacing w:line="360" w:lineRule="auto"/>
        <w:ind w:right="51" w:firstLine="960" w:firstLineChars="3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一、收入支出决算总表 </w:t>
      </w:r>
    </w:p>
    <w:p>
      <w:pPr>
        <w:keepNext w:val="0"/>
        <w:keepLines w:val="0"/>
        <w:pageBreakBefore w:val="0"/>
        <w:widowControl w:val="0"/>
        <w:kinsoku w:val="0"/>
        <w:wordWrap/>
        <w:overflowPunct w:val="0"/>
        <w:topLinePunct w:val="0"/>
        <w:bidi w:val="0"/>
        <w:adjustRightInd w:val="0"/>
        <w:snapToGrid w:val="0"/>
        <w:spacing w:line="360" w:lineRule="auto"/>
        <w:ind w:right="51" w:firstLine="960" w:firstLineChars="3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二、收入决算表 </w:t>
      </w:r>
    </w:p>
    <w:p>
      <w:pPr>
        <w:keepNext w:val="0"/>
        <w:keepLines w:val="0"/>
        <w:pageBreakBefore w:val="0"/>
        <w:widowControl w:val="0"/>
        <w:kinsoku w:val="0"/>
        <w:wordWrap/>
        <w:overflowPunct w:val="0"/>
        <w:topLinePunct w:val="0"/>
        <w:bidi w:val="0"/>
        <w:adjustRightInd w:val="0"/>
        <w:snapToGrid w:val="0"/>
        <w:spacing w:line="360" w:lineRule="auto"/>
        <w:ind w:right="51" w:firstLine="960" w:firstLineChars="3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三、支出决算表</w:t>
      </w:r>
    </w:p>
    <w:p>
      <w:pPr>
        <w:keepNext w:val="0"/>
        <w:keepLines w:val="0"/>
        <w:pageBreakBefore w:val="0"/>
        <w:widowControl w:val="0"/>
        <w:kinsoku w:val="0"/>
        <w:wordWrap/>
        <w:overflowPunct w:val="0"/>
        <w:topLinePunct w:val="0"/>
        <w:bidi w:val="0"/>
        <w:adjustRightInd w:val="0"/>
        <w:snapToGrid w:val="0"/>
        <w:spacing w:line="360" w:lineRule="auto"/>
        <w:ind w:right="51" w:firstLine="960" w:firstLineChars="3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四、财政拨款收入支出决算总表 </w:t>
      </w:r>
    </w:p>
    <w:p>
      <w:pPr>
        <w:keepNext w:val="0"/>
        <w:keepLines w:val="0"/>
        <w:pageBreakBefore w:val="0"/>
        <w:widowControl w:val="0"/>
        <w:kinsoku w:val="0"/>
        <w:wordWrap/>
        <w:overflowPunct w:val="0"/>
        <w:topLinePunct w:val="0"/>
        <w:bidi w:val="0"/>
        <w:adjustRightInd w:val="0"/>
        <w:snapToGrid w:val="0"/>
        <w:spacing w:line="360" w:lineRule="auto"/>
        <w:ind w:right="51" w:firstLine="960" w:firstLineChars="3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五、一般公共预算财政拨款支出决算表 </w:t>
      </w:r>
    </w:p>
    <w:p>
      <w:pPr>
        <w:keepNext w:val="0"/>
        <w:keepLines w:val="0"/>
        <w:pageBreakBefore w:val="0"/>
        <w:widowControl w:val="0"/>
        <w:kinsoku w:val="0"/>
        <w:wordWrap/>
        <w:overflowPunct w:val="0"/>
        <w:topLinePunct w:val="0"/>
        <w:bidi w:val="0"/>
        <w:adjustRightInd w:val="0"/>
        <w:snapToGrid w:val="0"/>
        <w:spacing w:line="360" w:lineRule="auto"/>
        <w:ind w:right="51" w:firstLine="960" w:firstLineChars="3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六、一般公共预算财政拨款基本支出决算表 </w:t>
      </w:r>
    </w:p>
    <w:p>
      <w:pPr>
        <w:keepNext w:val="0"/>
        <w:keepLines w:val="0"/>
        <w:pageBreakBefore w:val="0"/>
        <w:widowControl w:val="0"/>
        <w:kinsoku w:val="0"/>
        <w:wordWrap/>
        <w:overflowPunct w:val="0"/>
        <w:topLinePunct w:val="0"/>
        <w:bidi w:val="0"/>
        <w:adjustRightInd w:val="0"/>
        <w:snapToGrid w:val="0"/>
        <w:spacing w:line="360" w:lineRule="auto"/>
        <w:ind w:right="51" w:firstLine="960" w:firstLineChars="3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七、一般公共预算财政拨款“三公”经费支出决算表 </w:t>
      </w:r>
    </w:p>
    <w:p>
      <w:pPr>
        <w:keepNext w:val="0"/>
        <w:keepLines w:val="0"/>
        <w:pageBreakBefore w:val="0"/>
        <w:widowControl w:val="0"/>
        <w:kinsoku w:val="0"/>
        <w:wordWrap/>
        <w:overflowPunct w:val="0"/>
        <w:topLinePunct w:val="0"/>
        <w:bidi w:val="0"/>
        <w:adjustRightInd w:val="0"/>
        <w:snapToGrid w:val="0"/>
        <w:spacing w:line="360" w:lineRule="auto"/>
        <w:ind w:right="51" w:firstLine="960" w:firstLineChars="3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八、政府性基金预算财政拨款收入支出决算表</w:t>
      </w:r>
    </w:p>
    <w:p>
      <w:pPr>
        <w:keepNext w:val="0"/>
        <w:keepLines w:val="0"/>
        <w:pageBreakBefore w:val="0"/>
        <w:widowControl w:val="0"/>
        <w:kinsoku w:val="0"/>
        <w:wordWrap/>
        <w:overflowPunct w:val="0"/>
        <w:topLinePunct w:val="0"/>
        <w:bidi w:val="0"/>
        <w:adjustRightInd w:val="0"/>
        <w:snapToGrid w:val="0"/>
        <w:spacing w:line="360" w:lineRule="auto"/>
        <w:ind w:left="101" w:right="521" w:firstLine="640"/>
        <w:textAlignment w:val="auto"/>
        <w:outlineLvl w:val="9"/>
        <w:rPr>
          <w:rFonts w:ascii="黑体" w:eastAsia="黑体" w:cs="黑体"/>
          <w:w w:val="99"/>
          <w:sz w:val="32"/>
          <w:szCs w:val="32"/>
        </w:rPr>
      </w:pPr>
      <w:r>
        <w:rPr>
          <w:rFonts w:hint="eastAsia" w:ascii="黑体" w:eastAsia="黑体" w:cs="黑体"/>
          <w:sz w:val="32"/>
          <w:szCs w:val="32"/>
        </w:rPr>
        <w:t>第三部分</w:t>
      </w:r>
      <w:r>
        <w:rPr>
          <w:rFonts w:ascii="黑体" w:eastAsia="黑体" w:cs="黑体"/>
          <w:spacing w:val="-38"/>
          <w:sz w:val="32"/>
          <w:szCs w:val="32"/>
        </w:rPr>
        <w:t xml:space="preserve"> </w:t>
      </w:r>
      <w:r>
        <w:rPr>
          <w:rFonts w:hint="eastAsia" w:ascii="黑体" w:hAnsi="黑体" w:eastAsia="黑体"/>
          <w:sz w:val="32"/>
          <w:szCs w:val="32"/>
        </w:rPr>
        <w:t>河南省南阳市高新技术产业开发区</w:t>
      </w:r>
      <w:r>
        <w:rPr>
          <w:rFonts w:hint="eastAsia" w:ascii="黑体" w:eastAsia="黑体" w:cs="黑体"/>
          <w:sz w:val="32"/>
          <w:szCs w:val="32"/>
        </w:rPr>
        <w:t>市场发展服务中心</w:t>
      </w:r>
      <w:r>
        <w:rPr>
          <w:rFonts w:ascii="黑体" w:eastAsia="黑体" w:cs="黑体"/>
          <w:spacing w:val="-119"/>
          <w:sz w:val="32"/>
          <w:szCs w:val="32"/>
        </w:rPr>
        <w:t xml:space="preserve"> </w:t>
      </w:r>
      <w:r>
        <w:rPr>
          <w:rFonts w:hint="eastAsia" w:ascii="黑体" w:eastAsia="黑体" w:cs="黑体"/>
          <w:sz w:val="32"/>
          <w:szCs w:val="32"/>
          <w:lang w:val="en-US" w:eastAsia="zh-CN"/>
        </w:rPr>
        <w:t>2017</w:t>
      </w:r>
      <w:r>
        <w:rPr>
          <w:rFonts w:hint="eastAsia" w:ascii="黑体" w:eastAsia="黑体" w:cs="黑体"/>
          <w:sz w:val="32"/>
          <w:szCs w:val="32"/>
        </w:rPr>
        <w:t>年度部门决算情况说明</w:t>
      </w:r>
      <w:r>
        <w:rPr>
          <w:rFonts w:ascii="黑体" w:eastAsia="黑体" w:cs="黑体"/>
          <w:w w:val="99"/>
          <w:sz w:val="32"/>
          <w:szCs w:val="32"/>
        </w:rPr>
        <w:t xml:space="preserve"> </w:t>
      </w:r>
    </w:p>
    <w:p>
      <w:pPr>
        <w:keepNext w:val="0"/>
        <w:keepLines w:val="0"/>
        <w:pageBreakBefore w:val="0"/>
        <w:widowControl w:val="0"/>
        <w:kinsoku w:val="0"/>
        <w:wordWrap/>
        <w:overflowPunct w:val="0"/>
        <w:topLinePunct w:val="0"/>
        <w:bidi w:val="0"/>
        <w:adjustRightInd w:val="0"/>
        <w:snapToGrid w:val="0"/>
        <w:spacing w:line="360" w:lineRule="auto"/>
        <w:ind w:left="101" w:right="521" w:firstLine="640"/>
        <w:textAlignment w:val="auto"/>
        <w:outlineLvl w:val="9"/>
        <w:rPr>
          <w:rFonts w:ascii="黑体" w:eastAsia="黑体" w:cs="黑体"/>
          <w:sz w:val="32"/>
          <w:szCs w:val="32"/>
        </w:rPr>
      </w:pPr>
      <w:r>
        <w:rPr>
          <w:rFonts w:hint="eastAsia" w:ascii="黑体" w:eastAsia="黑体" w:cs="黑体"/>
          <w:sz w:val="32"/>
          <w:szCs w:val="32"/>
        </w:rPr>
        <w:t>第四部分</w:t>
      </w:r>
      <w:r>
        <w:rPr>
          <w:rFonts w:ascii="黑体" w:eastAsia="黑体" w:cs="黑体"/>
          <w:spacing w:val="-32"/>
          <w:sz w:val="32"/>
          <w:szCs w:val="32"/>
        </w:rPr>
        <w:t xml:space="preserve"> </w:t>
      </w:r>
      <w:r>
        <w:rPr>
          <w:rFonts w:hint="eastAsia" w:ascii="黑体" w:eastAsia="黑体" w:cs="黑体"/>
          <w:sz w:val="32"/>
          <w:szCs w:val="32"/>
        </w:rPr>
        <w:t>名词解释</w:t>
      </w:r>
    </w:p>
    <w:p>
      <w:pPr>
        <w:keepNext w:val="0"/>
        <w:keepLines w:val="0"/>
        <w:pageBreakBefore w:val="0"/>
        <w:widowControl w:val="0"/>
        <w:wordWrap/>
        <w:topLinePunct w:val="0"/>
        <w:bidi w:val="0"/>
        <w:adjustRightInd w:val="0"/>
        <w:snapToGrid w:val="0"/>
        <w:spacing w:line="360" w:lineRule="auto"/>
        <w:ind w:firstLine="0" w:firstLineChars="0"/>
        <w:textAlignment w:val="auto"/>
        <w:outlineLvl w:val="9"/>
        <w:rPr>
          <w:rFonts w:ascii="黑体" w:hAnsi="黑体" w:eastAsia="黑体"/>
          <w:sz w:val="32"/>
          <w:szCs w:val="32"/>
        </w:rPr>
      </w:pPr>
    </w:p>
    <w:p>
      <w:pPr>
        <w:keepNext w:val="0"/>
        <w:keepLines w:val="0"/>
        <w:pageBreakBefore w:val="0"/>
        <w:widowControl w:val="0"/>
        <w:wordWrap/>
        <w:topLinePunct w:val="0"/>
        <w:bidi w:val="0"/>
        <w:adjustRightInd w:val="0"/>
        <w:snapToGrid w:val="0"/>
        <w:spacing w:line="360" w:lineRule="auto"/>
        <w:ind w:firstLine="0" w:firstLineChars="0"/>
        <w:textAlignment w:val="auto"/>
        <w:outlineLvl w:val="9"/>
        <w:rPr>
          <w:rFonts w:ascii="黑体" w:hAnsi="黑体" w:eastAsia="黑体"/>
          <w:sz w:val="32"/>
          <w:szCs w:val="32"/>
        </w:rPr>
      </w:pPr>
    </w:p>
    <w:p>
      <w:pPr>
        <w:adjustRightInd w:val="0"/>
        <w:snapToGrid w:val="0"/>
        <w:spacing w:line="360" w:lineRule="auto"/>
        <w:ind w:firstLine="0" w:firstLineChars="0"/>
        <w:jc w:val="center"/>
        <w:rPr>
          <w:rFonts w:ascii="黑体" w:hAnsi="黑体" w:eastAsia="黑体"/>
          <w:sz w:val="36"/>
          <w:szCs w:val="36"/>
        </w:rPr>
      </w:pPr>
      <w:r>
        <w:rPr>
          <w:rFonts w:hint="eastAsia" w:ascii="黑体" w:hAnsi="黑体" w:eastAsia="黑体"/>
          <w:sz w:val="36"/>
          <w:szCs w:val="36"/>
        </w:rPr>
        <w:t>2017年度河南省南阳市高新技术产业开发区市场发展服务中心决算公开说明</w:t>
      </w:r>
    </w:p>
    <w:p>
      <w:pPr>
        <w:keepNext w:val="0"/>
        <w:keepLines w:val="0"/>
        <w:pageBreakBefore w:val="0"/>
        <w:widowControl w:val="0"/>
        <w:wordWrap/>
        <w:topLinePunct w:val="0"/>
        <w:bidi w:val="0"/>
        <w:adjustRightInd w:val="0"/>
        <w:snapToGrid w:val="0"/>
        <w:spacing w:line="360" w:lineRule="auto"/>
        <w:ind w:firstLine="0" w:firstLineChars="0"/>
        <w:jc w:val="center"/>
        <w:textAlignment w:val="auto"/>
        <w:outlineLvl w:val="9"/>
        <w:rPr>
          <w:rFonts w:ascii="黑体" w:hAnsi="黑体" w:eastAsia="黑体"/>
          <w:sz w:val="32"/>
          <w:szCs w:val="32"/>
        </w:rPr>
      </w:pPr>
      <w:r>
        <w:rPr>
          <w:rFonts w:hint="eastAsia" w:ascii="黑体" w:hAnsi="黑体" w:eastAsia="黑体"/>
          <w:sz w:val="32"/>
          <w:szCs w:val="32"/>
        </w:rPr>
        <w:t>第一部分</w:t>
      </w:r>
    </w:p>
    <w:p>
      <w:pPr>
        <w:keepNext w:val="0"/>
        <w:keepLines w:val="0"/>
        <w:pageBreakBefore w:val="0"/>
        <w:widowControl w:val="0"/>
        <w:wordWrap/>
        <w:topLinePunct w:val="0"/>
        <w:bidi w:val="0"/>
        <w:adjustRightInd w:val="0"/>
        <w:snapToGrid w:val="0"/>
        <w:spacing w:line="360" w:lineRule="auto"/>
        <w:ind w:firstLine="0" w:firstLineChars="0"/>
        <w:jc w:val="center"/>
        <w:textAlignment w:val="auto"/>
        <w:outlineLvl w:val="9"/>
        <w:rPr>
          <w:rFonts w:ascii="黑体" w:hAnsi="黑体" w:eastAsia="黑体"/>
          <w:sz w:val="32"/>
          <w:szCs w:val="32"/>
        </w:rPr>
      </w:pPr>
      <w:r>
        <w:rPr>
          <w:rFonts w:hint="eastAsia" w:ascii="黑体" w:hAnsi="黑体" w:eastAsia="黑体"/>
          <w:sz w:val="32"/>
          <w:szCs w:val="32"/>
        </w:rPr>
        <w:t>河南省南阳市高新技术产业开发区市场发展服务中心概况</w:t>
      </w:r>
    </w:p>
    <w:p>
      <w:pPr>
        <w:keepNext w:val="0"/>
        <w:keepLines w:val="0"/>
        <w:pageBreakBefore w:val="0"/>
        <w:widowControl w:val="0"/>
        <w:wordWrap/>
        <w:topLinePunct w:val="0"/>
        <w:bidi w:val="0"/>
        <w:adjustRightInd w:val="0"/>
        <w:snapToGrid w:val="0"/>
        <w:spacing w:line="360" w:lineRule="auto"/>
        <w:ind w:firstLine="640"/>
        <w:jc w:val="center"/>
        <w:textAlignment w:val="auto"/>
        <w:outlineLvl w:val="9"/>
        <w:rPr>
          <w:rFonts w:ascii="黑体" w:hAnsi="黑体" w:eastAsia="黑体"/>
          <w:sz w:val="32"/>
          <w:szCs w:val="32"/>
        </w:rPr>
      </w:pPr>
    </w:p>
    <w:p>
      <w:pPr>
        <w:keepNext w:val="0"/>
        <w:keepLines w:val="0"/>
        <w:pageBreakBefore w:val="0"/>
        <w:widowControl w:val="0"/>
        <w:wordWrap/>
        <w:topLinePunct w:val="0"/>
        <w:bidi w:val="0"/>
        <w:adjustRightInd w:val="0"/>
        <w:snapToGrid w:val="0"/>
        <w:spacing w:line="360" w:lineRule="auto"/>
        <w:ind w:firstLine="640"/>
        <w:textAlignment w:val="auto"/>
        <w:outlineLvl w:val="9"/>
        <w:rPr>
          <w:rFonts w:ascii="黑体" w:hAnsi="黑体" w:eastAsia="黑体"/>
          <w:sz w:val="32"/>
          <w:szCs w:val="32"/>
        </w:rPr>
      </w:pPr>
      <w:r>
        <w:rPr>
          <w:rFonts w:hint="eastAsia" w:ascii="黑体" w:hAnsi="黑体" w:eastAsia="黑体"/>
          <w:sz w:val="32"/>
          <w:szCs w:val="32"/>
        </w:rPr>
        <w:t>一、河南省南阳市高新技术产业开发区市场发展服务中心主要职责</w:t>
      </w:r>
    </w:p>
    <w:p>
      <w:pPr>
        <w:keepNext w:val="0"/>
        <w:keepLines w:val="0"/>
        <w:pageBreakBefore w:val="0"/>
        <w:widowControl w:val="0"/>
        <w:wordWrap/>
        <w:topLinePunct w:val="0"/>
        <w:bidi w:val="0"/>
        <w:adjustRightInd w:val="0"/>
        <w:snapToGrid w:val="0"/>
        <w:spacing w:line="360" w:lineRule="auto"/>
        <w:ind w:firstLine="64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贯彻执行国家、省、市有关市场发展、建设、管理服务方面的法律法规及政策方针，拟定并组织实施市场发展的规划办法和措施，负责辖区内农贸市场改造建设和管理工作，合理利用城市公共土地资源，服务市场交易，促进市场繁荣，管理市场物业，搞好设施维护，改造及市场管理，配合有关执法部门对市场经营者违法违章问题进行查处等。</w:t>
      </w:r>
    </w:p>
    <w:p>
      <w:pPr>
        <w:keepNext w:val="0"/>
        <w:keepLines w:val="0"/>
        <w:pageBreakBefore w:val="0"/>
        <w:widowControl w:val="0"/>
        <w:wordWrap/>
        <w:topLinePunct w:val="0"/>
        <w:bidi w:val="0"/>
        <w:adjustRightInd w:val="0"/>
        <w:snapToGrid w:val="0"/>
        <w:spacing w:line="360" w:lineRule="auto"/>
        <w:ind w:firstLine="640"/>
        <w:textAlignment w:val="auto"/>
        <w:outlineLvl w:val="9"/>
        <w:rPr>
          <w:rFonts w:ascii="黑体" w:hAnsi="黑体" w:eastAsia="黑体"/>
          <w:sz w:val="32"/>
          <w:szCs w:val="32"/>
        </w:rPr>
      </w:pPr>
      <w:r>
        <w:rPr>
          <w:rFonts w:hint="eastAsia" w:ascii="黑体" w:hAnsi="黑体" w:eastAsia="黑体"/>
          <w:sz w:val="32"/>
          <w:szCs w:val="32"/>
        </w:rPr>
        <w:t>二、河南省南阳市高新技术产业开发区市场发展服务中心决算单位构成</w:t>
      </w:r>
    </w:p>
    <w:p>
      <w:pPr>
        <w:keepNext w:val="0"/>
        <w:keepLines w:val="0"/>
        <w:pageBreakBefore w:val="0"/>
        <w:widowControl w:val="0"/>
        <w:wordWrap/>
        <w:topLinePunct w:val="0"/>
        <w:bidi w:val="0"/>
        <w:adjustRightInd w:val="0"/>
        <w:snapToGrid w:val="0"/>
        <w:spacing w:line="360" w:lineRule="auto"/>
        <w:ind w:firstLine="648"/>
        <w:textAlignment w:val="auto"/>
        <w:outlineLvl w:val="9"/>
        <w:rPr>
          <w:rFonts w:hint="eastAsia" w:ascii="仿宋" w:hAnsi="仿宋" w:eastAsia="仿宋" w:cs="仿宋"/>
          <w:sz w:val="32"/>
          <w:szCs w:val="32"/>
          <w:lang w:eastAsia="zh-CN"/>
        </w:rPr>
      </w:pPr>
      <w:r>
        <w:rPr>
          <w:rFonts w:hint="eastAsia" w:ascii="仿宋" w:hAnsi="仿宋" w:eastAsia="仿宋" w:cs="仿宋"/>
          <w:spacing w:val="2"/>
          <w:sz w:val="32"/>
          <w:szCs w:val="32"/>
        </w:rPr>
        <w:t>河南省南阳市高新技术产业开发区市场发展服务中心</w:t>
      </w:r>
      <w:r>
        <w:rPr>
          <w:rFonts w:hint="eastAsia" w:ascii="仿宋" w:hAnsi="仿宋" w:eastAsia="仿宋" w:cs="仿宋"/>
          <w:sz w:val="32"/>
          <w:szCs w:val="32"/>
        </w:rPr>
        <w:t>决</w:t>
      </w:r>
      <w:r>
        <w:rPr>
          <w:rFonts w:hint="eastAsia" w:ascii="仿宋" w:hAnsi="仿宋" w:eastAsia="仿宋" w:cs="仿宋"/>
          <w:spacing w:val="2"/>
          <w:sz w:val="32"/>
          <w:szCs w:val="32"/>
        </w:rPr>
        <w:t>算包括机关本级</w:t>
      </w:r>
      <w:r>
        <w:rPr>
          <w:rFonts w:hint="eastAsia" w:ascii="仿宋" w:hAnsi="仿宋" w:eastAsia="仿宋" w:cs="仿宋"/>
          <w:spacing w:val="-1"/>
          <w:sz w:val="32"/>
          <w:szCs w:val="32"/>
        </w:rPr>
        <w:t>决算</w:t>
      </w:r>
      <w:r>
        <w:rPr>
          <w:rFonts w:hint="eastAsia" w:ascii="仿宋" w:hAnsi="仿宋" w:eastAsia="仿宋" w:cs="仿宋"/>
          <w:spacing w:val="-1"/>
          <w:sz w:val="32"/>
          <w:szCs w:val="32"/>
          <w:lang w:eastAsia="zh-CN"/>
        </w:rPr>
        <w:t>。</w:t>
      </w:r>
    </w:p>
    <w:p>
      <w:pPr>
        <w:keepNext w:val="0"/>
        <w:keepLines w:val="0"/>
        <w:pageBreakBefore w:val="0"/>
        <w:widowControl w:val="0"/>
        <w:wordWrap/>
        <w:topLinePunct w:val="0"/>
        <w:bidi w:val="0"/>
        <w:adjustRightInd w:val="0"/>
        <w:snapToGrid w:val="0"/>
        <w:spacing w:line="360" w:lineRule="auto"/>
        <w:ind w:firstLine="0" w:firstLineChars="0"/>
        <w:jc w:val="center"/>
        <w:textAlignment w:val="auto"/>
        <w:outlineLvl w:val="9"/>
        <w:rPr>
          <w:rFonts w:ascii="黑体" w:hAnsi="黑体" w:eastAsia="黑体"/>
          <w:sz w:val="32"/>
          <w:szCs w:val="32"/>
        </w:rPr>
      </w:pPr>
      <w:r>
        <w:rPr>
          <w:rFonts w:hint="eastAsia" w:ascii="黑体" w:hAnsi="黑体" w:eastAsia="黑体"/>
          <w:sz w:val="32"/>
          <w:szCs w:val="32"/>
        </w:rPr>
        <w:t>第二部分</w:t>
      </w:r>
    </w:p>
    <w:p>
      <w:pPr>
        <w:keepNext w:val="0"/>
        <w:keepLines w:val="0"/>
        <w:pageBreakBefore w:val="0"/>
        <w:widowControl w:val="0"/>
        <w:wordWrap/>
        <w:topLinePunct w:val="0"/>
        <w:bidi w:val="0"/>
        <w:adjustRightInd w:val="0"/>
        <w:snapToGrid w:val="0"/>
        <w:spacing w:line="360" w:lineRule="auto"/>
        <w:ind w:firstLine="0" w:firstLineChars="0"/>
        <w:jc w:val="center"/>
        <w:textAlignment w:val="auto"/>
        <w:outlineLvl w:val="9"/>
        <w:rPr>
          <w:rFonts w:ascii="黑体" w:hAnsi="黑体" w:eastAsia="黑体"/>
          <w:sz w:val="32"/>
          <w:szCs w:val="32"/>
        </w:rPr>
      </w:pPr>
      <w:r>
        <w:rPr>
          <w:rFonts w:hint="eastAsia" w:ascii="黑体" w:hAnsi="黑体" w:eastAsia="黑体"/>
          <w:sz w:val="32"/>
          <w:szCs w:val="32"/>
        </w:rPr>
        <w:t>河南省南阳市高新技术产业开发区市场发展服务中心</w:t>
      </w:r>
      <w:r>
        <w:rPr>
          <w:rFonts w:hint="eastAsia" w:ascii="黑体" w:hAnsi="黑体" w:eastAsia="黑体"/>
          <w:sz w:val="32"/>
          <w:szCs w:val="32"/>
          <w:lang w:val="en-US" w:eastAsia="zh-CN"/>
        </w:rPr>
        <w:t>2017</w:t>
      </w:r>
      <w:r>
        <w:rPr>
          <w:rFonts w:hint="eastAsia" w:ascii="黑体" w:hAnsi="黑体" w:eastAsia="黑体"/>
          <w:sz w:val="32"/>
          <w:szCs w:val="32"/>
        </w:rPr>
        <w:t>年度部门决算表</w:t>
      </w:r>
    </w:p>
    <w:p>
      <w:pPr>
        <w:keepNext w:val="0"/>
        <w:keepLines w:val="0"/>
        <w:pageBreakBefore w:val="0"/>
        <w:widowControl w:val="0"/>
        <w:wordWrap/>
        <w:topLinePunct w:val="0"/>
        <w:bidi w:val="0"/>
        <w:adjustRightInd w:val="0"/>
        <w:snapToGrid w:val="0"/>
        <w:spacing w:line="360" w:lineRule="auto"/>
        <w:ind w:firstLine="640"/>
        <w:textAlignment w:val="auto"/>
        <w:outlineLvl w:val="9"/>
        <w:rPr>
          <w:rFonts w:ascii="黑体" w:hAnsi="黑体" w:eastAsia="黑体"/>
          <w:sz w:val="32"/>
          <w:szCs w:val="32"/>
        </w:rPr>
      </w:pPr>
      <w:r>
        <w:rPr>
          <w:rFonts w:hint="eastAsia" w:ascii="黑体" w:hAnsi="黑体" w:eastAsia="黑体"/>
          <w:sz w:val="32"/>
          <w:szCs w:val="32"/>
        </w:rPr>
        <w:t xml:space="preserve">   见附件</w:t>
      </w:r>
    </w:p>
    <w:p>
      <w:pPr>
        <w:keepNext w:val="0"/>
        <w:keepLines w:val="0"/>
        <w:pageBreakBefore w:val="0"/>
        <w:widowControl w:val="0"/>
        <w:wordWrap/>
        <w:topLinePunct w:val="0"/>
        <w:autoSpaceDE w:val="0"/>
        <w:autoSpaceDN w:val="0"/>
        <w:bidi w:val="0"/>
        <w:adjustRightInd w:val="0"/>
        <w:spacing w:line="360" w:lineRule="auto"/>
        <w:jc w:val="center"/>
        <w:textAlignment w:val="auto"/>
        <w:outlineLvl w:val="9"/>
        <w:rPr>
          <w:rFonts w:ascii="Times New Roman" w:hAnsi="Times New Roman" w:eastAsia="黑体" w:cs="Times New Roman"/>
          <w:sz w:val="36"/>
          <w:szCs w:val="36"/>
        </w:rPr>
      </w:pPr>
      <w:r>
        <w:rPr>
          <w:rFonts w:hint="eastAsia" w:ascii="黑体" w:eastAsia="黑体" w:cs="黑体"/>
          <w:sz w:val="36"/>
          <w:szCs w:val="36"/>
        </w:rPr>
        <w:t>第三部分</w:t>
      </w:r>
    </w:p>
    <w:p>
      <w:pPr>
        <w:keepNext w:val="0"/>
        <w:keepLines w:val="0"/>
        <w:pageBreakBefore w:val="0"/>
        <w:widowControl w:val="0"/>
        <w:wordWrap/>
        <w:topLinePunct w:val="0"/>
        <w:autoSpaceDE w:val="0"/>
        <w:autoSpaceDN w:val="0"/>
        <w:bidi w:val="0"/>
        <w:adjustRightInd w:val="0"/>
        <w:spacing w:line="360" w:lineRule="auto"/>
        <w:jc w:val="center"/>
        <w:textAlignment w:val="auto"/>
        <w:outlineLvl w:val="9"/>
        <w:rPr>
          <w:rFonts w:ascii="Times New Roman" w:hAnsi="Times New Roman" w:eastAsia="黑体" w:cs="Times New Roman"/>
          <w:sz w:val="36"/>
          <w:szCs w:val="36"/>
        </w:rPr>
      </w:pPr>
      <w:r>
        <w:rPr>
          <w:rFonts w:ascii="黑体" w:hAnsi="Times New Roman" w:eastAsia="黑体" w:cs="黑体"/>
          <w:sz w:val="36"/>
          <w:szCs w:val="36"/>
        </w:rPr>
        <w:t>2017</w:t>
      </w:r>
      <w:r>
        <w:rPr>
          <w:rFonts w:hint="eastAsia" w:ascii="黑体" w:hAnsi="Times New Roman" w:eastAsia="黑体" w:cs="黑体"/>
          <w:sz w:val="36"/>
          <w:szCs w:val="36"/>
        </w:rPr>
        <w:t>年度部门决算情况说明</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一、关于收入支出决算总体情况说明</w:t>
      </w:r>
    </w:p>
    <w:p>
      <w:pPr>
        <w:keepNext w:val="0"/>
        <w:keepLines w:val="0"/>
        <w:pageBreakBefore w:val="0"/>
        <w:widowControl w:val="0"/>
        <w:wordWrap/>
        <w:topLinePunct w:val="0"/>
        <w:autoSpaceDE w:val="0"/>
        <w:autoSpaceDN w:val="0"/>
        <w:bidi w:val="0"/>
        <w:adjustRightInd w:val="0"/>
        <w:spacing w:line="360" w:lineRule="auto"/>
        <w:jc w:val="left"/>
        <w:textAlignment w:val="auto"/>
        <w:outlineLvl w:val="9"/>
        <w:rPr>
          <w:rFonts w:ascii="仿宋" w:hAnsi="Times New Roman" w:eastAsia="仿宋" w:cs="仿宋"/>
          <w:sz w:val="32"/>
          <w:szCs w:val="32"/>
        </w:rPr>
      </w:pPr>
      <w:r>
        <w:rPr>
          <w:rFonts w:ascii="仿宋" w:hAnsi="Times New Roman" w:eastAsia="仿宋" w:cs="仿宋"/>
          <w:sz w:val="32"/>
          <w:szCs w:val="32"/>
        </w:rPr>
        <w:t xml:space="preserve">     2017</w:t>
      </w:r>
      <w:r>
        <w:rPr>
          <w:rFonts w:hint="eastAsia" w:ascii="仿宋" w:hAnsi="Times New Roman" w:eastAsia="仿宋" w:cs="仿宋"/>
          <w:sz w:val="32"/>
          <w:szCs w:val="32"/>
        </w:rPr>
        <w:t>年度收、支总计均为</w:t>
      </w:r>
      <w:r>
        <w:rPr>
          <w:rFonts w:ascii="仿宋" w:hAnsi="Times New Roman" w:eastAsia="仿宋" w:cs="仿宋"/>
          <w:sz w:val="32"/>
          <w:szCs w:val="32"/>
        </w:rPr>
        <w:t>337.12</w:t>
      </w:r>
      <w:r>
        <w:rPr>
          <w:rFonts w:hint="eastAsia" w:ascii="仿宋" w:hAnsi="Times New Roman" w:eastAsia="仿宋" w:cs="仿宋"/>
          <w:sz w:val="32"/>
          <w:szCs w:val="32"/>
        </w:rPr>
        <w:t>万元。与</w:t>
      </w:r>
      <w:r>
        <w:rPr>
          <w:rFonts w:ascii="仿宋" w:hAnsi="Times New Roman" w:eastAsia="仿宋" w:cs="仿宋"/>
          <w:sz w:val="32"/>
          <w:szCs w:val="32"/>
        </w:rPr>
        <w:t>2016</w:t>
      </w:r>
      <w:r>
        <w:rPr>
          <w:rFonts w:hint="eastAsia" w:ascii="仿宋" w:hAnsi="Times New Roman" w:eastAsia="仿宋" w:cs="仿宋"/>
          <w:sz w:val="32"/>
          <w:szCs w:val="32"/>
        </w:rPr>
        <w:t>年相比，收、支总计各增加</w:t>
      </w:r>
      <w:r>
        <w:rPr>
          <w:rFonts w:ascii="仿宋" w:hAnsi="Times New Roman" w:eastAsia="仿宋" w:cs="仿宋"/>
          <w:sz w:val="32"/>
          <w:szCs w:val="32"/>
        </w:rPr>
        <w:t>131.62</w:t>
      </w:r>
      <w:r>
        <w:rPr>
          <w:rFonts w:hint="eastAsia" w:ascii="仿宋" w:hAnsi="Times New Roman" w:eastAsia="仿宋" w:cs="仿宋"/>
          <w:sz w:val="32"/>
          <w:szCs w:val="32"/>
        </w:rPr>
        <w:t>万元，增长</w:t>
      </w:r>
      <w:r>
        <w:rPr>
          <w:rFonts w:ascii="仿宋" w:hAnsi="Times New Roman" w:eastAsia="仿宋" w:cs="仿宋"/>
          <w:sz w:val="32"/>
          <w:szCs w:val="32"/>
        </w:rPr>
        <w:t>64.05%</w:t>
      </w:r>
      <w:r>
        <w:rPr>
          <w:rFonts w:hint="eastAsia" w:ascii="仿宋" w:hAnsi="Times New Roman" w:eastAsia="仿宋" w:cs="仿宋"/>
          <w:sz w:val="32"/>
          <w:szCs w:val="32"/>
        </w:rPr>
        <w:t>。主要原因是</w:t>
      </w:r>
      <w:r>
        <w:rPr>
          <w:rFonts w:hint="eastAsia" w:ascii="仿宋" w:hAnsi="Times New Roman" w:eastAsia="仿宋" w:cs="仿宋"/>
          <w:sz w:val="32"/>
          <w:szCs w:val="32"/>
          <w:lang w:eastAsia="zh-CN"/>
        </w:rPr>
        <w:t>人员经费支出增加</w:t>
      </w:r>
      <w:r>
        <w:rPr>
          <w:rFonts w:hint="eastAsia" w:ascii="仿宋" w:hAnsi="Times New Roman" w:eastAsia="仿宋" w:cs="仿宋"/>
          <w:sz w:val="32"/>
          <w:szCs w:val="32"/>
        </w:rPr>
        <w:t>。</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二、关于收入决算情况说明</w:t>
      </w:r>
    </w:p>
    <w:p>
      <w:pPr>
        <w:keepNext w:val="0"/>
        <w:keepLines w:val="0"/>
        <w:pageBreakBefore w:val="0"/>
        <w:widowControl w:val="0"/>
        <w:wordWrap/>
        <w:topLinePunct w:val="0"/>
        <w:autoSpaceDE w:val="0"/>
        <w:autoSpaceDN w:val="0"/>
        <w:bidi w:val="0"/>
        <w:adjustRightInd w:val="0"/>
        <w:spacing w:line="360" w:lineRule="auto"/>
        <w:ind w:firstLine="640"/>
        <w:textAlignment w:val="auto"/>
        <w:outlineLvl w:val="9"/>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年度收入合计</w:t>
      </w:r>
      <w:r>
        <w:rPr>
          <w:rFonts w:ascii="仿宋" w:hAnsi="Times New Roman" w:eastAsia="仿宋" w:cs="仿宋"/>
          <w:sz w:val="32"/>
          <w:szCs w:val="32"/>
        </w:rPr>
        <w:t>337.12</w:t>
      </w:r>
      <w:r>
        <w:rPr>
          <w:rFonts w:hint="eastAsia" w:ascii="仿宋" w:hAnsi="Times New Roman" w:eastAsia="仿宋" w:cs="仿宋"/>
          <w:sz w:val="32"/>
          <w:szCs w:val="32"/>
        </w:rPr>
        <w:t>万元，其中：财政拨款收入</w:t>
      </w:r>
      <w:r>
        <w:rPr>
          <w:rFonts w:ascii="仿宋" w:hAnsi="Times New Roman" w:eastAsia="仿宋" w:cs="仿宋"/>
          <w:sz w:val="32"/>
          <w:szCs w:val="32"/>
        </w:rPr>
        <w:t>336.52</w:t>
      </w:r>
      <w:r>
        <w:rPr>
          <w:rFonts w:hint="eastAsia" w:ascii="仿宋" w:hAnsi="Times New Roman" w:eastAsia="仿宋" w:cs="仿宋"/>
          <w:sz w:val="32"/>
          <w:szCs w:val="32"/>
        </w:rPr>
        <w:t>万元，占</w:t>
      </w:r>
      <w:r>
        <w:rPr>
          <w:rFonts w:ascii="仿宋" w:hAnsi="Times New Roman" w:eastAsia="仿宋" w:cs="仿宋"/>
          <w:sz w:val="32"/>
          <w:szCs w:val="32"/>
        </w:rPr>
        <w:t>99.82%</w:t>
      </w:r>
      <w:r>
        <w:rPr>
          <w:rFonts w:hint="eastAsia" w:ascii="仿宋" w:hAnsi="Times New Roman" w:eastAsia="仿宋" w:cs="仿宋"/>
          <w:sz w:val="32"/>
          <w:szCs w:val="32"/>
        </w:rPr>
        <w:t>；上级补助收入</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；事业收入</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；经营收入</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；附属单位上缴收入</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；其他收入</w:t>
      </w:r>
      <w:r>
        <w:rPr>
          <w:rFonts w:ascii="仿宋" w:hAnsi="Times New Roman" w:eastAsia="仿宋" w:cs="仿宋"/>
          <w:sz w:val="32"/>
          <w:szCs w:val="32"/>
        </w:rPr>
        <w:t>0.6</w:t>
      </w:r>
      <w:r>
        <w:rPr>
          <w:rFonts w:hint="eastAsia" w:ascii="仿宋" w:hAnsi="Times New Roman" w:eastAsia="仿宋" w:cs="仿宋"/>
          <w:sz w:val="32"/>
          <w:szCs w:val="32"/>
        </w:rPr>
        <w:t>万元，占</w:t>
      </w:r>
      <w:r>
        <w:rPr>
          <w:rFonts w:ascii="仿宋" w:hAnsi="Times New Roman" w:eastAsia="仿宋" w:cs="仿宋"/>
          <w:sz w:val="32"/>
          <w:szCs w:val="32"/>
        </w:rPr>
        <w:t>0.18%</w:t>
      </w:r>
      <w:r>
        <w:rPr>
          <w:rFonts w:hint="eastAsia" w:ascii="仿宋" w:hAnsi="Times New Roman" w:eastAsia="仿宋" w:cs="仿宋"/>
          <w:sz w:val="32"/>
          <w:szCs w:val="32"/>
        </w:rPr>
        <w:t>。</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三、关于支出决算情况说明</w:t>
      </w:r>
    </w:p>
    <w:p>
      <w:pPr>
        <w:keepNext w:val="0"/>
        <w:keepLines w:val="0"/>
        <w:pageBreakBefore w:val="0"/>
        <w:widowControl w:val="0"/>
        <w:wordWrap/>
        <w:topLinePunct w:val="0"/>
        <w:autoSpaceDE w:val="0"/>
        <w:autoSpaceDN w:val="0"/>
        <w:bidi w:val="0"/>
        <w:adjustRightInd w:val="0"/>
        <w:spacing w:line="360" w:lineRule="auto"/>
        <w:ind w:firstLine="640"/>
        <w:textAlignment w:val="auto"/>
        <w:outlineLvl w:val="9"/>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年度支出合计</w:t>
      </w:r>
      <w:r>
        <w:rPr>
          <w:rFonts w:ascii="仿宋" w:hAnsi="Times New Roman" w:eastAsia="仿宋" w:cs="仿宋"/>
          <w:sz w:val="32"/>
          <w:szCs w:val="32"/>
        </w:rPr>
        <w:t>336.47</w:t>
      </w:r>
      <w:r>
        <w:rPr>
          <w:rFonts w:hint="eastAsia" w:ascii="仿宋" w:hAnsi="Times New Roman" w:eastAsia="仿宋" w:cs="仿宋"/>
          <w:sz w:val="32"/>
          <w:szCs w:val="32"/>
        </w:rPr>
        <w:t>万元，其中：基本支出</w:t>
      </w:r>
      <w:r>
        <w:rPr>
          <w:rFonts w:ascii="仿宋" w:hAnsi="Times New Roman" w:eastAsia="仿宋" w:cs="仿宋"/>
          <w:sz w:val="32"/>
          <w:szCs w:val="32"/>
        </w:rPr>
        <w:t>335.87</w:t>
      </w:r>
      <w:r>
        <w:rPr>
          <w:rFonts w:hint="eastAsia" w:ascii="仿宋" w:hAnsi="Times New Roman" w:eastAsia="仿宋" w:cs="仿宋"/>
          <w:sz w:val="32"/>
          <w:szCs w:val="32"/>
        </w:rPr>
        <w:t>万元，占</w:t>
      </w:r>
      <w:r>
        <w:rPr>
          <w:rFonts w:ascii="仿宋" w:hAnsi="Times New Roman" w:eastAsia="仿宋" w:cs="仿宋"/>
          <w:sz w:val="32"/>
          <w:szCs w:val="32"/>
        </w:rPr>
        <w:t>99.82%</w:t>
      </w:r>
      <w:r>
        <w:rPr>
          <w:rFonts w:hint="eastAsia" w:ascii="仿宋" w:hAnsi="Times New Roman" w:eastAsia="仿宋" w:cs="仿宋"/>
          <w:sz w:val="32"/>
          <w:szCs w:val="32"/>
        </w:rPr>
        <w:t>；项目支出</w:t>
      </w:r>
      <w:r>
        <w:rPr>
          <w:rFonts w:ascii="仿宋" w:hAnsi="Times New Roman" w:eastAsia="仿宋" w:cs="仿宋"/>
          <w:sz w:val="32"/>
          <w:szCs w:val="32"/>
        </w:rPr>
        <w:t>0.6</w:t>
      </w:r>
      <w:r>
        <w:rPr>
          <w:rFonts w:hint="eastAsia" w:ascii="仿宋" w:hAnsi="Times New Roman" w:eastAsia="仿宋" w:cs="仿宋"/>
          <w:sz w:val="32"/>
          <w:szCs w:val="32"/>
        </w:rPr>
        <w:t>万元，占</w:t>
      </w:r>
      <w:r>
        <w:rPr>
          <w:rFonts w:ascii="仿宋" w:hAnsi="Times New Roman" w:eastAsia="仿宋" w:cs="仿宋"/>
          <w:sz w:val="32"/>
          <w:szCs w:val="32"/>
        </w:rPr>
        <w:t>0.18%</w:t>
      </w:r>
      <w:r>
        <w:rPr>
          <w:rFonts w:hint="eastAsia" w:ascii="仿宋" w:hAnsi="Times New Roman" w:eastAsia="仿宋" w:cs="仿宋"/>
          <w:sz w:val="32"/>
          <w:szCs w:val="32"/>
        </w:rPr>
        <w:t>；上缴上级支出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；经营支出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；对附属单位支出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四、关于财政拨款收入支出决算总体情况说明</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年财政拨款收、支总计均为</w:t>
      </w:r>
      <w:r>
        <w:rPr>
          <w:rFonts w:ascii="仿宋" w:hAnsi="Times New Roman" w:eastAsia="仿宋" w:cs="仿宋"/>
          <w:sz w:val="32"/>
          <w:szCs w:val="32"/>
        </w:rPr>
        <w:t>336.52</w:t>
      </w:r>
      <w:r>
        <w:rPr>
          <w:rFonts w:hint="eastAsia" w:ascii="仿宋" w:hAnsi="Times New Roman" w:eastAsia="仿宋" w:cs="仿宋"/>
          <w:sz w:val="32"/>
          <w:szCs w:val="32"/>
        </w:rPr>
        <w:t>万元。与</w:t>
      </w:r>
      <w:r>
        <w:rPr>
          <w:rFonts w:ascii="仿宋" w:hAnsi="Times New Roman" w:eastAsia="仿宋" w:cs="仿宋"/>
          <w:sz w:val="32"/>
          <w:szCs w:val="32"/>
        </w:rPr>
        <w:t>2016</w:t>
      </w:r>
      <w:r>
        <w:rPr>
          <w:rFonts w:hint="eastAsia" w:ascii="仿宋" w:hAnsi="Times New Roman" w:eastAsia="仿宋" w:cs="仿宋"/>
          <w:sz w:val="32"/>
          <w:szCs w:val="32"/>
        </w:rPr>
        <w:t>年相比，财政拨款收、支总计各增加</w:t>
      </w:r>
      <w:r>
        <w:rPr>
          <w:rFonts w:ascii="仿宋" w:hAnsi="Times New Roman" w:eastAsia="仿宋" w:cs="仿宋"/>
          <w:sz w:val="32"/>
          <w:szCs w:val="32"/>
        </w:rPr>
        <w:t>131.02</w:t>
      </w:r>
      <w:r>
        <w:rPr>
          <w:rFonts w:hint="eastAsia" w:ascii="仿宋" w:hAnsi="Times New Roman" w:eastAsia="仿宋" w:cs="仿宋"/>
          <w:sz w:val="32"/>
          <w:szCs w:val="32"/>
        </w:rPr>
        <w:t>万元，增长</w:t>
      </w:r>
      <w:r>
        <w:rPr>
          <w:rFonts w:ascii="仿宋" w:hAnsi="Times New Roman" w:eastAsia="仿宋" w:cs="仿宋"/>
          <w:sz w:val="32"/>
          <w:szCs w:val="32"/>
        </w:rPr>
        <w:t>63.76%</w:t>
      </w:r>
      <w:r>
        <w:rPr>
          <w:rFonts w:hint="eastAsia" w:ascii="仿宋" w:hAnsi="Times New Roman" w:eastAsia="仿宋" w:cs="仿宋"/>
          <w:sz w:val="32"/>
          <w:szCs w:val="32"/>
        </w:rPr>
        <w:t>。主要原因是</w:t>
      </w:r>
      <w:r>
        <w:rPr>
          <w:rFonts w:hint="eastAsia" w:ascii="仿宋" w:hAnsi="Times New Roman" w:eastAsia="仿宋" w:cs="仿宋"/>
          <w:sz w:val="32"/>
          <w:szCs w:val="32"/>
          <w:lang w:eastAsia="zh-CN"/>
        </w:rPr>
        <w:t>人员经费支出增加</w:t>
      </w:r>
      <w:r>
        <w:rPr>
          <w:rFonts w:hint="eastAsia" w:ascii="仿宋" w:hAnsi="Times New Roman" w:eastAsia="仿宋" w:cs="仿宋"/>
          <w:sz w:val="32"/>
          <w:szCs w:val="32"/>
        </w:rPr>
        <w:t>。</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五、关于一般公共预算财政拨款支出决算情况说明</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hint="eastAsia" w:ascii="楷体" w:hAnsi="Times New Roman" w:eastAsia="楷体" w:cs="楷体"/>
          <w:sz w:val="32"/>
          <w:szCs w:val="32"/>
        </w:rPr>
        <w:t>（一）总体情况。</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年一般公共预算财政拨款支出</w:t>
      </w:r>
      <w:r>
        <w:rPr>
          <w:rFonts w:ascii="仿宋" w:hAnsi="Times New Roman" w:eastAsia="仿宋" w:cs="仿宋"/>
          <w:sz w:val="32"/>
          <w:szCs w:val="32"/>
        </w:rPr>
        <w:t>335.87</w:t>
      </w:r>
      <w:r>
        <w:rPr>
          <w:rFonts w:hint="eastAsia" w:ascii="仿宋" w:hAnsi="Times New Roman" w:eastAsia="仿宋" w:cs="仿宋"/>
          <w:sz w:val="32"/>
          <w:szCs w:val="32"/>
        </w:rPr>
        <w:t>万元，占支出合计的</w:t>
      </w:r>
      <w:r>
        <w:rPr>
          <w:rFonts w:ascii="仿宋" w:hAnsi="Times New Roman" w:eastAsia="仿宋" w:cs="仿宋"/>
          <w:sz w:val="32"/>
          <w:szCs w:val="32"/>
        </w:rPr>
        <w:t>99.82%</w:t>
      </w:r>
      <w:r>
        <w:rPr>
          <w:rFonts w:hint="eastAsia" w:ascii="仿宋" w:hAnsi="Times New Roman" w:eastAsia="仿宋" w:cs="仿宋"/>
          <w:sz w:val="32"/>
          <w:szCs w:val="32"/>
        </w:rPr>
        <w:t>。与</w:t>
      </w:r>
      <w:r>
        <w:rPr>
          <w:rFonts w:ascii="仿宋" w:hAnsi="Times New Roman" w:eastAsia="仿宋" w:cs="仿宋"/>
          <w:sz w:val="32"/>
          <w:szCs w:val="32"/>
        </w:rPr>
        <w:t>2016</w:t>
      </w:r>
      <w:r>
        <w:rPr>
          <w:rFonts w:hint="eastAsia" w:ascii="仿宋" w:hAnsi="Times New Roman" w:eastAsia="仿宋" w:cs="仿宋"/>
          <w:sz w:val="32"/>
          <w:szCs w:val="32"/>
        </w:rPr>
        <w:t>年相比，一般公共预算财政拨款支出增加</w:t>
      </w:r>
      <w:r>
        <w:rPr>
          <w:rFonts w:ascii="仿宋" w:hAnsi="Times New Roman" w:eastAsia="仿宋" w:cs="仿宋"/>
          <w:sz w:val="32"/>
          <w:szCs w:val="32"/>
        </w:rPr>
        <w:t>130.38</w:t>
      </w:r>
      <w:r>
        <w:rPr>
          <w:rFonts w:hint="eastAsia" w:ascii="仿宋" w:hAnsi="Times New Roman" w:eastAsia="仿宋" w:cs="仿宋"/>
          <w:sz w:val="32"/>
          <w:szCs w:val="32"/>
        </w:rPr>
        <w:t>万元，增长</w:t>
      </w:r>
      <w:r>
        <w:rPr>
          <w:rFonts w:ascii="仿宋" w:hAnsi="Times New Roman" w:eastAsia="仿宋" w:cs="仿宋"/>
          <w:sz w:val="32"/>
          <w:szCs w:val="32"/>
        </w:rPr>
        <w:t>63.44%</w:t>
      </w:r>
      <w:r>
        <w:rPr>
          <w:rFonts w:hint="eastAsia" w:ascii="仿宋" w:hAnsi="Times New Roman" w:eastAsia="仿宋" w:cs="仿宋"/>
          <w:sz w:val="32"/>
          <w:szCs w:val="32"/>
        </w:rPr>
        <w:t>。变动的主要原因是</w:t>
      </w:r>
      <w:r>
        <w:rPr>
          <w:rFonts w:hint="eastAsia" w:ascii="仿宋" w:hAnsi="Times New Roman" w:eastAsia="仿宋" w:cs="仿宋"/>
          <w:sz w:val="32"/>
          <w:szCs w:val="32"/>
          <w:lang w:eastAsia="zh-CN"/>
        </w:rPr>
        <w:t>人员经费支出增加</w:t>
      </w:r>
      <w:r>
        <w:rPr>
          <w:rFonts w:hint="eastAsia" w:ascii="仿宋" w:hAnsi="Times New Roman" w:eastAsia="仿宋" w:cs="仿宋"/>
          <w:sz w:val="32"/>
          <w:szCs w:val="32"/>
        </w:rPr>
        <w:t>。</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hint="eastAsia" w:ascii="楷体" w:hAnsi="Times New Roman" w:eastAsia="楷体" w:cs="楷体"/>
          <w:sz w:val="32"/>
          <w:szCs w:val="32"/>
        </w:rPr>
        <w:t>（二）结构情况。</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年度一般公共预算财政拨款支出</w:t>
      </w:r>
      <w:r>
        <w:rPr>
          <w:rFonts w:ascii="仿宋" w:hAnsi="Times New Roman" w:eastAsia="仿宋" w:cs="仿宋"/>
          <w:sz w:val="32"/>
          <w:szCs w:val="32"/>
        </w:rPr>
        <w:t>335.87</w:t>
      </w:r>
      <w:r>
        <w:rPr>
          <w:rFonts w:hint="eastAsia" w:ascii="仿宋" w:hAnsi="Times New Roman" w:eastAsia="仿宋" w:cs="仿宋"/>
          <w:sz w:val="32"/>
          <w:szCs w:val="32"/>
        </w:rPr>
        <w:t>万元，主要用于以下方面：一般公共服务（类）支出</w:t>
      </w:r>
      <w:r>
        <w:rPr>
          <w:rFonts w:ascii="仿宋" w:hAnsi="Times New Roman" w:eastAsia="仿宋" w:cs="仿宋"/>
          <w:sz w:val="32"/>
          <w:szCs w:val="32"/>
        </w:rPr>
        <w:t>335.87</w:t>
      </w:r>
      <w:r>
        <w:rPr>
          <w:rFonts w:hint="eastAsia" w:ascii="仿宋" w:hAnsi="Times New Roman" w:eastAsia="仿宋" w:cs="仿宋"/>
          <w:sz w:val="32"/>
          <w:szCs w:val="32"/>
        </w:rPr>
        <w:t>万元，占</w:t>
      </w:r>
      <w:r>
        <w:rPr>
          <w:rFonts w:ascii="仿宋" w:hAnsi="Times New Roman" w:eastAsia="仿宋" w:cs="仿宋"/>
          <w:sz w:val="32"/>
          <w:szCs w:val="32"/>
        </w:rPr>
        <w:t>100%</w:t>
      </w:r>
      <w:r>
        <w:rPr>
          <w:rFonts w:hint="eastAsia" w:ascii="仿宋" w:hAnsi="Times New Roman" w:eastAsia="仿宋" w:cs="仿宋"/>
          <w:sz w:val="32"/>
          <w:szCs w:val="32"/>
        </w:rPr>
        <w:t>；外交（类）支出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；国防（类）支出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；公共安全（类）支出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；教育（类）支出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；科学技术（类）支出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；文化体育与传媒（类）支出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；社会保障和就业（类）支出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；医疗卫生和计划生育（类）支出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；节能环保（类）支出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；城乡社区（类）支出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；农林水（类）支出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；交通运输（类）支出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；资源勘探信息（类）支出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；商业服务业（类）支出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；金融（类）支出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；援助其他地区（类）支出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；国土海洋气象（类）支出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；住房保障（类）支出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；粮油物资储备（类）支出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；其他（类）支出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；债务还本（类）支出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；债务付息（类）支出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hint="eastAsia" w:ascii="楷体" w:hAnsi="Times New Roman" w:eastAsia="楷体" w:cs="楷体"/>
          <w:sz w:val="32"/>
          <w:szCs w:val="32"/>
        </w:rPr>
        <w:t>（三）具体情况。</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年度一般公共预算财政拨款支出年初预算为</w:t>
      </w:r>
      <w:r>
        <w:rPr>
          <w:rFonts w:ascii="仿宋" w:hAnsi="Times New Roman" w:eastAsia="仿宋" w:cs="仿宋"/>
          <w:sz w:val="32"/>
          <w:szCs w:val="32"/>
        </w:rPr>
        <w:t>326.4</w:t>
      </w:r>
      <w:r>
        <w:rPr>
          <w:rFonts w:hint="eastAsia" w:ascii="仿宋" w:hAnsi="Times New Roman" w:eastAsia="仿宋" w:cs="仿宋"/>
          <w:sz w:val="32"/>
          <w:szCs w:val="32"/>
        </w:rPr>
        <w:t>万元，支出决算为</w:t>
      </w:r>
      <w:r>
        <w:rPr>
          <w:rFonts w:ascii="仿宋" w:hAnsi="Times New Roman" w:eastAsia="仿宋" w:cs="仿宋"/>
          <w:sz w:val="32"/>
          <w:szCs w:val="32"/>
        </w:rPr>
        <w:t>335.87</w:t>
      </w:r>
      <w:r>
        <w:rPr>
          <w:rFonts w:hint="eastAsia" w:ascii="仿宋" w:hAnsi="Times New Roman" w:eastAsia="仿宋" w:cs="仿宋"/>
          <w:sz w:val="32"/>
          <w:szCs w:val="32"/>
        </w:rPr>
        <w:t>万元，完成年初预算的</w:t>
      </w:r>
      <w:r>
        <w:rPr>
          <w:rFonts w:ascii="仿宋" w:hAnsi="Times New Roman" w:eastAsia="仿宋" w:cs="仿宋"/>
          <w:sz w:val="32"/>
          <w:szCs w:val="32"/>
        </w:rPr>
        <w:t>102.9%</w:t>
      </w:r>
      <w:r>
        <w:rPr>
          <w:rFonts w:hint="eastAsia" w:ascii="仿宋" w:hAnsi="Times New Roman" w:eastAsia="仿宋" w:cs="仿宋"/>
          <w:sz w:val="32"/>
          <w:szCs w:val="32"/>
        </w:rPr>
        <w:t>。决算数与年初预算数存在差异的主要原因：</w:t>
      </w:r>
      <w:r>
        <w:rPr>
          <w:rFonts w:hint="eastAsia" w:ascii="仿宋" w:hAnsi="Times New Roman" w:eastAsia="仿宋" w:cs="仿宋"/>
          <w:sz w:val="32"/>
          <w:szCs w:val="32"/>
          <w:lang w:eastAsia="zh-CN"/>
        </w:rPr>
        <w:t>人员经费支出增加</w:t>
      </w:r>
      <w:r>
        <w:rPr>
          <w:rFonts w:hint="eastAsia" w:ascii="仿宋" w:hAnsi="Times New Roman" w:eastAsia="仿宋" w:cs="仿宋"/>
          <w:sz w:val="32"/>
          <w:szCs w:val="32"/>
        </w:rPr>
        <w:t>。其中：</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ascii="仿宋" w:hAnsi="Times New Roman" w:eastAsia="仿宋" w:cs="仿宋"/>
          <w:sz w:val="32"/>
          <w:szCs w:val="32"/>
        </w:rPr>
        <w:t>1</w:t>
      </w:r>
      <w:r>
        <w:rPr>
          <w:rFonts w:hint="eastAsia" w:ascii="仿宋" w:hAnsi="Times New Roman" w:eastAsia="仿宋" w:cs="仿宋"/>
          <w:sz w:val="32"/>
          <w:szCs w:val="32"/>
        </w:rPr>
        <w:t>．一般公共服务（类）</w:t>
      </w:r>
      <w:r>
        <w:rPr>
          <w:rFonts w:hint="eastAsia" w:ascii="仿宋" w:hAnsi="Times New Roman" w:eastAsia="仿宋" w:cs="仿宋"/>
          <w:sz w:val="32"/>
          <w:szCs w:val="32"/>
          <w:lang w:eastAsia="zh-CN"/>
        </w:rPr>
        <w:t>工商行政管理事务</w:t>
      </w:r>
      <w:r>
        <w:rPr>
          <w:rFonts w:hint="eastAsia" w:ascii="仿宋" w:hAnsi="Times New Roman" w:eastAsia="仿宋" w:cs="仿宋"/>
          <w:sz w:val="32"/>
          <w:szCs w:val="32"/>
        </w:rPr>
        <w:t>（款）</w:t>
      </w:r>
      <w:r>
        <w:rPr>
          <w:rFonts w:hint="eastAsia" w:ascii="仿宋" w:hAnsi="Times New Roman" w:eastAsia="仿宋" w:cs="仿宋"/>
          <w:sz w:val="32"/>
          <w:szCs w:val="32"/>
          <w:lang w:eastAsia="zh-CN"/>
        </w:rPr>
        <w:t>事业</w:t>
      </w:r>
      <w:r>
        <w:rPr>
          <w:rFonts w:hint="eastAsia" w:ascii="仿宋" w:hAnsi="Times New Roman" w:eastAsia="仿宋" w:cs="仿宋"/>
          <w:sz w:val="32"/>
          <w:szCs w:val="32"/>
        </w:rPr>
        <w:t>运行（项）。年初预算为</w:t>
      </w:r>
      <w:r>
        <w:rPr>
          <w:rFonts w:ascii="仿宋" w:hAnsi="Times New Roman" w:eastAsia="仿宋" w:cs="仿宋"/>
          <w:sz w:val="32"/>
          <w:szCs w:val="32"/>
        </w:rPr>
        <w:t>326.4</w:t>
      </w:r>
      <w:r>
        <w:rPr>
          <w:rFonts w:hint="eastAsia" w:ascii="仿宋" w:hAnsi="Times New Roman" w:eastAsia="仿宋" w:cs="仿宋"/>
          <w:sz w:val="32"/>
          <w:szCs w:val="32"/>
        </w:rPr>
        <w:t>万元，支出决算为</w:t>
      </w:r>
      <w:r>
        <w:rPr>
          <w:rFonts w:ascii="仿宋" w:hAnsi="Times New Roman" w:eastAsia="仿宋" w:cs="仿宋"/>
          <w:sz w:val="32"/>
          <w:szCs w:val="32"/>
        </w:rPr>
        <w:t>335.87</w:t>
      </w:r>
      <w:r>
        <w:rPr>
          <w:rFonts w:hint="eastAsia" w:ascii="仿宋" w:hAnsi="Times New Roman" w:eastAsia="仿宋" w:cs="仿宋"/>
          <w:sz w:val="32"/>
          <w:szCs w:val="32"/>
        </w:rPr>
        <w:t>万元，完成年初预算的</w:t>
      </w:r>
      <w:r>
        <w:rPr>
          <w:rFonts w:ascii="仿宋" w:hAnsi="Times New Roman" w:eastAsia="仿宋" w:cs="仿宋"/>
          <w:sz w:val="32"/>
          <w:szCs w:val="32"/>
        </w:rPr>
        <w:t>102.9%</w:t>
      </w:r>
      <w:r>
        <w:rPr>
          <w:rFonts w:hint="eastAsia" w:ascii="仿宋" w:hAnsi="Times New Roman" w:eastAsia="仿宋" w:cs="仿宋"/>
          <w:sz w:val="32"/>
          <w:szCs w:val="32"/>
        </w:rPr>
        <w:t>。决算数大于（小于）预算数的主要原因是</w:t>
      </w:r>
      <w:r>
        <w:rPr>
          <w:rFonts w:hint="eastAsia" w:ascii="仿宋" w:hAnsi="Times New Roman" w:eastAsia="仿宋" w:cs="仿宋"/>
          <w:sz w:val="32"/>
          <w:szCs w:val="32"/>
          <w:lang w:eastAsia="zh-CN"/>
        </w:rPr>
        <w:t>人员经费支出增加</w:t>
      </w:r>
      <w:r>
        <w:rPr>
          <w:rFonts w:hint="eastAsia" w:ascii="仿宋" w:hAnsi="Times New Roman" w:eastAsia="仿宋" w:cs="仿宋"/>
          <w:sz w:val="32"/>
          <w:szCs w:val="32"/>
        </w:rPr>
        <w:t>。</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六、关于一般公共预算财政拨款基本支出决算情况说明</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hint="eastAsia" w:ascii="仿宋_GB2312" w:hAnsi="仿宋_GB2312" w:eastAsia="仿宋_GB2312" w:cs="仿宋_GB2312"/>
          <w:sz w:val="32"/>
          <w:szCs w:val="32"/>
        </w:rPr>
      </w:pPr>
      <w:r>
        <w:rPr>
          <w:rFonts w:ascii="仿宋" w:hAnsi="Times New Roman" w:eastAsia="仿宋" w:cs="仿宋"/>
          <w:sz w:val="32"/>
          <w:szCs w:val="32"/>
        </w:rPr>
        <w:t>2017</w:t>
      </w:r>
      <w:r>
        <w:rPr>
          <w:rFonts w:hint="eastAsia" w:ascii="仿宋" w:hAnsi="Times New Roman" w:eastAsia="仿宋" w:cs="仿宋"/>
          <w:sz w:val="32"/>
          <w:szCs w:val="32"/>
        </w:rPr>
        <w:t>年一般公共预算财政拨款基本支出</w:t>
      </w:r>
      <w:r>
        <w:rPr>
          <w:rFonts w:ascii="仿宋" w:hAnsi="Times New Roman" w:eastAsia="仿宋" w:cs="仿宋"/>
          <w:sz w:val="32"/>
          <w:szCs w:val="32"/>
        </w:rPr>
        <w:t>335.87</w:t>
      </w:r>
      <w:r>
        <w:rPr>
          <w:rFonts w:hint="eastAsia" w:ascii="仿宋" w:hAnsi="Times New Roman" w:eastAsia="仿宋" w:cs="仿宋"/>
          <w:sz w:val="32"/>
          <w:szCs w:val="32"/>
        </w:rPr>
        <w:t>万元。与</w:t>
      </w:r>
      <w:r>
        <w:rPr>
          <w:rFonts w:ascii="仿宋" w:hAnsi="Times New Roman" w:eastAsia="仿宋" w:cs="仿宋"/>
          <w:sz w:val="32"/>
          <w:szCs w:val="32"/>
        </w:rPr>
        <w:t>2016</w:t>
      </w:r>
      <w:r>
        <w:rPr>
          <w:rFonts w:hint="eastAsia" w:ascii="仿宋" w:hAnsi="Times New Roman" w:eastAsia="仿宋" w:cs="仿宋"/>
          <w:sz w:val="32"/>
          <w:szCs w:val="32"/>
        </w:rPr>
        <w:t>年相比，增加</w:t>
      </w:r>
      <w:r>
        <w:rPr>
          <w:rFonts w:ascii="仿宋" w:hAnsi="Times New Roman" w:eastAsia="仿宋" w:cs="仿宋"/>
          <w:sz w:val="32"/>
          <w:szCs w:val="32"/>
        </w:rPr>
        <w:t>130.38</w:t>
      </w:r>
      <w:r>
        <w:rPr>
          <w:rFonts w:hint="eastAsia" w:ascii="仿宋" w:hAnsi="Times New Roman" w:eastAsia="仿宋" w:cs="仿宋"/>
          <w:sz w:val="32"/>
          <w:szCs w:val="32"/>
        </w:rPr>
        <w:t>万元，增长</w:t>
      </w:r>
      <w:r>
        <w:rPr>
          <w:rFonts w:ascii="仿宋" w:hAnsi="Times New Roman" w:eastAsia="仿宋" w:cs="仿宋"/>
          <w:sz w:val="32"/>
          <w:szCs w:val="32"/>
        </w:rPr>
        <w:t>63.44%</w:t>
      </w:r>
      <w:r>
        <w:rPr>
          <w:rFonts w:hint="eastAsia" w:ascii="仿宋" w:hAnsi="Times New Roman" w:eastAsia="仿宋" w:cs="仿宋"/>
          <w:sz w:val="32"/>
          <w:szCs w:val="32"/>
        </w:rPr>
        <w:t>。变动的主要原因：</w:t>
      </w:r>
      <w:r>
        <w:rPr>
          <w:rFonts w:hint="eastAsia" w:ascii="仿宋" w:hAnsi="Times New Roman" w:eastAsia="仿宋" w:cs="仿宋"/>
          <w:sz w:val="32"/>
          <w:szCs w:val="32"/>
          <w:lang w:eastAsia="zh-CN"/>
        </w:rPr>
        <w:t>人员经费支出增加</w:t>
      </w:r>
      <w:r>
        <w:rPr>
          <w:rFonts w:hint="eastAsia" w:ascii="仿宋" w:hAnsi="Times New Roman" w:eastAsia="仿宋" w:cs="仿宋"/>
          <w:sz w:val="32"/>
          <w:szCs w:val="32"/>
        </w:rPr>
        <w:t>。其中：人员经费</w:t>
      </w:r>
      <w:r>
        <w:rPr>
          <w:rFonts w:ascii="仿宋" w:hAnsi="Times New Roman" w:eastAsia="仿宋" w:cs="仿宋"/>
          <w:sz w:val="32"/>
          <w:szCs w:val="32"/>
        </w:rPr>
        <w:t>329.91</w:t>
      </w:r>
      <w:r>
        <w:rPr>
          <w:rFonts w:hint="eastAsia" w:ascii="仿宋" w:hAnsi="Times New Roman" w:eastAsia="仿宋" w:cs="仿宋"/>
          <w:sz w:val="32"/>
          <w:szCs w:val="32"/>
        </w:rPr>
        <w:t>万元，主要包括：</w:t>
      </w:r>
      <w:r>
        <w:rPr>
          <w:rFonts w:hint="eastAsia" w:ascii="华文仿宋" w:hAnsi="华文仿宋" w:eastAsia="华文仿宋" w:cs="华文仿宋"/>
          <w:kern w:val="2"/>
          <w:sz w:val="32"/>
          <w:szCs w:val="32"/>
        </w:rPr>
        <w:t>基本工资、津贴补贴、奖金、社会保障缴费、绩效工资、其他工资福利支出、退休费、抚恤金、医疗费、住房公积金</w:t>
      </w:r>
      <w:r>
        <w:rPr>
          <w:rFonts w:hint="eastAsia" w:ascii="华文仿宋" w:hAnsi="华文仿宋" w:eastAsia="华文仿宋" w:cs="华文仿宋"/>
          <w:kern w:val="2"/>
          <w:sz w:val="32"/>
          <w:szCs w:val="32"/>
          <w:lang w:eastAsia="zh-CN"/>
        </w:rPr>
        <w:t>、对个人和家庭的补助</w:t>
      </w:r>
      <w:r>
        <w:rPr>
          <w:rFonts w:hint="eastAsia" w:ascii="华文仿宋" w:hAnsi="华文仿宋" w:eastAsia="华文仿宋" w:cs="华文仿宋"/>
          <w:sz w:val="32"/>
          <w:szCs w:val="32"/>
        </w:rPr>
        <w:t>；公用经费5.97万元，主要包括：</w:t>
      </w:r>
      <w:r>
        <w:rPr>
          <w:rFonts w:hint="eastAsia" w:ascii="华文仿宋" w:hAnsi="华文仿宋" w:eastAsia="华文仿宋" w:cs="华文仿宋"/>
          <w:kern w:val="2"/>
          <w:sz w:val="32"/>
          <w:szCs w:val="32"/>
        </w:rPr>
        <w:t>办公费、印刷费、咨询费、手续费、邮电费、维修（护）费、公务接待费、工会经费、其他交通费用、其他商品和服务支出。</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七、关于一般公共预算财政拨款</w:t>
      </w:r>
      <w:r>
        <w:rPr>
          <w:rFonts w:ascii="黑体" w:hAnsi="Times New Roman" w:eastAsia="黑体" w:cs="黑体"/>
          <w:sz w:val="32"/>
          <w:szCs w:val="32"/>
        </w:rPr>
        <w:t>“</w:t>
      </w:r>
      <w:r>
        <w:rPr>
          <w:rFonts w:hint="eastAsia" w:ascii="黑体" w:hAnsi="Times New Roman" w:eastAsia="黑体" w:cs="黑体"/>
          <w:sz w:val="32"/>
          <w:szCs w:val="32"/>
        </w:rPr>
        <w:t>三公</w:t>
      </w:r>
      <w:r>
        <w:rPr>
          <w:rFonts w:ascii="黑体" w:hAnsi="Times New Roman" w:eastAsia="黑体" w:cs="黑体"/>
          <w:sz w:val="32"/>
          <w:szCs w:val="32"/>
        </w:rPr>
        <w:t>”</w:t>
      </w:r>
      <w:r>
        <w:rPr>
          <w:rFonts w:hint="eastAsia" w:ascii="黑体" w:hAnsi="Times New Roman" w:eastAsia="黑体" w:cs="黑体"/>
          <w:sz w:val="32"/>
          <w:szCs w:val="32"/>
        </w:rPr>
        <w:t>经费支出决算情况说明</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hint="eastAsia" w:ascii="楷体" w:hAnsi="Times New Roman" w:eastAsia="楷体" w:cs="楷体"/>
          <w:sz w:val="32"/>
          <w:szCs w:val="32"/>
        </w:rPr>
        <w:t>（一）</w:t>
      </w:r>
      <w:r>
        <w:rPr>
          <w:rFonts w:ascii="楷体" w:hAnsi="Times New Roman" w:eastAsia="楷体" w:cs="楷体"/>
          <w:sz w:val="32"/>
          <w:szCs w:val="32"/>
        </w:rPr>
        <w:t>“</w:t>
      </w:r>
      <w:r>
        <w:rPr>
          <w:rFonts w:hint="eastAsia" w:ascii="楷体" w:hAnsi="Times New Roman" w:eastAsia="楷体" w:cs="楷体"/>
          <w:sz w:val="32"/>
          <w:szCs w:val="32"/>
        </w:rPr>
        <w:t>三公</w:t>
      </w:r>
      <w:r>
        <w:rPr>
          <w:rFonts w:ascii="楷体" w:hAnsi="Times New Roman" w:eastAsia="楷体" w:cs="楷体"/>
          <w:sz w:val="32"/>
          <w:szCs w:val="32"/>
        </w:rPr>
        <w:t>”</w:t>
      </w:r>
      <w:r>
        <w:rPr>
          <w:rFonts w:hint="eastAsia" w:ascii="楷体" w:hAnsi="Times New Roman" w:eastAsia="楷体" w:cs="楷体"/>
          <w:sz w:val="32"/>
          <w:szCs w:val="32"/>
        </w:rPr>
        <w:t>经费财政拨款支出决算总体情况说明。</w:t>
      </w:r>
    </w:p>
    <w:p>
      <w:pPr>
        <w:keepNext w:val="0"/>
        <w:keepLines w:val="0"/>
        <w:pageBreakBefore w:val="0"/>
        <w:widowControl w:val="0"/>
        <w:wordWrap/>
        <w:topLinePunct w:val="0"/>
        <w:autoSpaceDE w:val="0"/>
        <w:autoSpaceDN w:val="0"/>
        <w:bidi w:val="0"/>
        <w:adjustRightInd w:val="0"/>
        <w:spacing w:line="360" w:lineRule="auto"/>
        <w:ind w:firstLine="640"/>
        <w:textAlignment w:val="auto"/>
        <w:outlineLvl w:val="9"/>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w:t>
      </w:r>
      <w:r>
        <w:rPr>
          <w:rFonts w:ascii="仿宋" w:hAnsi="Times New Roman" w:eastAsia="仿宋" w:cs="仿宋"/>
          <w:sz w:val="32"/>
          <w:szCs w:val="32"/>
        </w:rPr>
        <w:t>“</w:t>
      </w:r>
      <w:r>
        <w:rPr>
          <w:rFonts w:hint="eastAsia" w:ascii="仿宋" w:hAnsi="Times New Roman" w:eastAsia="仿宋" w:cs="仿宋"/>
          <w:sz w:val="32"/>
          <w:szCs w:val="32"/>
        </w:rPr>
        <w:t>三公</w:t>
      </w:r>
      <w:r>
        <w:rPr>
          <w:rFonts w:ascii="仿宋" w:hAnsi="Times New Roman" w:eastAsia="仿宋" w:cs="仿宋"/>
          <w:sz w:val="32"/>
          <w:szCs w:val="32"/>
        </w:rPr>
        <w:t>”</w:t>
      </w:r>
      <w:r>
        <w:rPr>
          <w:rFonts w:hint="eastAsia" w:ascii="仿宋" w:hAnsi="Times New Roman" w:eastAsia="仿宋" w:cs="仿宋"/>
          <w:sz w:val="32"/>
          <w:szCs w:val="32"/>
        </w:rPr>
        <w:t>经费财政拨款支出预算为</w:t>
      </w:r>
      <w:r>
        <w:rPr>
          <w:rFonts w:ascii="仿宋" w:hAnsi="Times New Roman" w:eastAsia="仿宋" w:cs="仿宋"/>
          <w:sz w:val="32"/>
          <w:szCs w:val="32"/>
        </w:rPr>
        <w:t>0.45</w:t>
      </w:r>
      <w:r>
        <w:rPr>
          <w:rFonts w:hint="eastAsia" w:ascii="仿宋" w:hAnsi="Times New Roman" w:eastAsia="仿宋" w:cs="仿宋"/>
          <w:sz w:val="32"/>
          <w:szCs w:val="32"/>
        </w:rPr>
        <w:t>万元，支出决算为</w:t>
      </w:r>
      <w:r>
        <w:rPr>
          <w:rFonts w:ascii="仿宋" w:hAnsi="Times New Roman" w:eastAsia="仿宋" w:cs="仿宋"/>
          <w:sz w:val="32"/>
          <w:szCs w:val="32"/>
        </w:rPr>
        <w:t>0.14</w:t>
      </w:r>
      <w:r>
        <w:rPr>
          <w:rFonts w:hint="eastAsia" w:ascii="仿宋" w:hAnsi="Times New Roman" w:eastAsia="仿宋" w:cs="仿宋"/>
          <w:sz w:val="32"/>
          <w:szCs w:val="32"/>
        </w:rPr>
        <w:t>万元，完成预算的</w:t>
      </w:r>
      <w:r>
        <w:rPr>
          <w:rFonts w:ascii="仿宋" w:hAnsi="Times New Roman" w:eastAsia="仿宋" w:cs="仿宋"/>
          <w:sz w:val="32"/>
          <w:szCs w:val="32"/>
        </w:rPr>
        <w:t>31.78%</w:t>
      </w:r>
      <w:r>
        <w:rPr>
          <w:rFonts w:hint="eastAsia" w:ascii="仿宋" w:hAnsi="Times New Roman" w:eastAsia="仿宋" w:cs="仿宋"/>
          <w:sz w:val="32"/>
          <w:szCs w:val="32"/>
        </w:rPr>
        <w:t>。</w:t>
      </w:r>
      <w:r>
        <w:rPr>
          <w:rFonts w:ascii="仿宋" w:hAnsi="Times New Roman" w:eastAsia="仿宋" w:cs="仿宋"/>
          <w:sz w:val="32"/>
          <w:szCs w:val="32"/>
        </w:rPr>
        <w:t>2017</w:t>
      </w:r>
      <w:r>
        <w:rPr>
          <w:rFonts w:hint="eastAsia" w:ascii="仿宋" w:hAnsi="Times New Roman" w:eastAsia="仿宋" w:cs="仿宋"/>
          <w:sz w:val="32"/>
          <w:szCs w:val="32"/>
        </w:rPr>
        <w:t>年度</w:t>
      </w:r>
      <w:r>
        <w:rPr>
          <w:rFonts w:ascii="仿宋" w:hAnsi="Times New Roman" w:eastAsia="仿宋" w:cs="仿宋"/>
          <w:sz w:val="32"/>
          <w:szCs w:val="32"/>
        </w:rPr>
        <w:t>“</w:t>
      </w:r>
      <w:r>
        <w:rPr>
          <w:rFonts w:hint="eastAsia" w:ascii="仿宋" w:hAnsi="Times New Roman" w:eastAsia="仿宋" w:cs="仿宋"/>
          <w:sz w:val="32"/>
          <w:szCs w:val="32"/>
        </w:rPr>
        <w:t>三公</w:t>
      </w:r>
      <w:r>
        <w:rPr>
          <w:rFonts w:ascii="仿宋" w:hAnsi="Times New Roman" w:eastAsia="仿宋" w:cs="仿宋"/>
          <w:sz w:val="32"/>
          <w:szCs w:val="32"/>
        </w:rPr>
        <w:t>”</w:t>
      </w:r>
      <w:r>
        <w:rPr>
          <w:rFonts w:hint="eastAsia" w:ascii="仿宋" w:hAnsi="Times New Roman" w:eastAsia="仿宋" w:cs="仿宋"/>
          <w:sz w:val="32"/>
          <w:szCs w:val="32"/>
        </w:rPr>
        <w:t>经费支出决算数与预算数存在差异的主要原因是</w:t>
      </w:r>
      <w:r>
        <w:rPr>
          <w:rFonts w:hint="eastAsia" w:ascii="仿宋" w:hAnsi="Times New Roman" w:eastAsia="仿宋" w:cs="仿宋"/>
          <w:sz w:val="32"/>
          <w:szCs w:val="32"/>
          <w:lang w:eastAsia="zh-CN"/>
        </w:rPr>
        <w:t>缩减支出</w:t>
      </w:r>
      <w:r>
        <w:rPr>
          <w:rFonts w:hint="eastAsia" w:ascii="仿宋" w:hAnsi="Times New Roman" w:eastAsia="仿宋" w:cs="仿宋"/>
          <w:sz w:val="32"/>
          <w:szCs w:val="32"/>
        </w:rPr>
        <w:t>。</w:t>
      </w:r>
    </w:p>
    <w:p>
      <w:pPr>
        <w:keepNext w:val="0"/>
        <w:keepLines w:val="0"/>
        <w:pageBreakBefore w:val="0"/>
        <w:widowControl w:val="0"/>
        <w:wordWrap/>
        <w:topLinePunct w:val="0"/>
        <w:autoSpaceDE w:val="0"/>
        <w:autoSpaceDN w:val="0"/>
        <w:bidi w:val="0"/>
        <w:adjustRightInd w:val="0"/>
        <w:spacing w:line="360" w:lineRule="auto"/>
        <w:ind w:firstLine="640"/>
        <w:textAlignment w:val="auto"/>
        <w:outlineLvl w:val="9"/>
        <w:rPr>
          <w:rFonts w:ascii="仿宋" w:hAnsi="Times New Roman" w:eastAsia="仿宋" w:cs="仿宋"/>
          <w:sz w:val="32"/>
          <w:szCs w:val="32"/>
        </w:rPr>
      </w:pPr>
      <w:r>
        <w:rPr>
          <w:rFonts w:hint="eastAsia" w:ascii="楷体" w:hAnsi="Times New Roman" w:eastAsia="楷体" w:cs="楷体"/>
          <w:sz w:val="32"/>
          <w:szCs w:val="32"/>
        </w:rPr>
        <w:t>（二）</w:t>
      </w:r>
      <w:r>
        <w:rPr>
          <w:rFonts w:ascii="楷体" w:hAnsi="Times New Roman" w:eastAsia="楷体" w:cs="楷体"/>
          <w:sz w:val="32"/>
          <w:szCs w:val="32"/>
        </w:rPr>
        <w:t>“</w:t>
      </w:r>
      <w:r>
        <w:rPr>
          <w:rFonts w:hint="eastAsia" w:ascii="楷体" w:hAnsi="Times New Roman" w:eastAsia="楷体" w:cs="楷体"/>
          <w:sz w:val="32"/>
          <w:szCs w:val="32"/>
        </w:rPr>
        <w:t>三公</w:t>
      </w:r>
      <w:r>
        <w:rPr>
          <w:rFonts w:ascii="楷体" w:hAnsi="Times New Roman" w:eastAsia="楷体" w:cs="楷体"/>
          <w:sz w:val="32"/>
          <w:szCs w:val="32"/>
        </w:rPr>
        <w:t>”</w:t>
      </w:r>
      <w:r>
        <w:rPr>
          <w:rFonts w:hint="eastAsia" w:ascii="楷体" w:hAnsi="Times New Roman" w:eastAsia="楷体" w:cs="楷体"/>
          <w:sz w:val="32"/>
          <w:szCs w:val="32"/>
        </w:rPr>
        <w:t>经费财政拨款支出决算具体情况说明。</w:t>
      </w:r>
    </w:p>
    <w:p>
      <w:pPr>
        <w:keepNext w:val="0"/>
        <w:keepLines w:val="0"/>
        <w:pageBreakBefore w:val="0"/>
        <w:widowControl w:val="0"/>
        <w:wordWrap/>
        <w:topLinePunct w:val="0"/>
        <w:autoSpaceDE w:val="0"/>
        <w:autoSpaceDN w:val="0"/>
        <w:bidi w:val="0"/>
        <w:adjustRightInd w:val="0"/>
        <w:spacing w:line="360" w:lineRule="auto"/>
        <w:ind w:firstLine="640"/>
        <w:textAlignment w:val="auto"/>
        <w:outlineLvl w:val="9"/>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w:t>
      </w:r>
      <w:r>
        <w:rPr>
          <w:rFonts w:ascii="仿宋" w:hAnsi="Times New Roman" w:eastAsia="仿宋" w:cs="仿宋"/>
          <w:sz w:val="32"/>
          <w:szCs w:val="32"/>
        </w:rPr>
        <w:t>“</w:t>
      </w:r>
      <w:r>
        <w:rPr>
          <w:rFonts w:hint="eastAsia" w:ascii="仿宋" w:hAnsi="Times New Roman" w:eastAsia="仿宋" w:cs="仿宋"/>
          <w:sz w:val="32"/>
          <w:szCs w:val="32"/>
        </w:rPr>
        <w:t>三公</w:t>
      </w:r>
      <w:r>
        <w:rPr>
          <w:rFonts w:ascii="仿宋" w:hAnsi="Times New Roman" w:eastAsia="仿宋" w:cs="仿宋"/>
          <w:sz w:val="32"/>
          <w:szCs w:val="32"/>
        </w:rPr>
        <w:t>”</w:t>
      </w:r>
      <w:r>
        <w:rPr>
          <w:rFonts w:hint="eastAsia" w:ascii="仿宋" w:hAnsi="Times New Roman" w:eastAsia="仿宋" w:cs="仿宋"/>
          <w:sz w:val="32"/>
          <w:szCs w:val="32"/>
        </w:rPr>
        <w:t>经费财政拨款支出决算中，因公出国（境）费支出决算</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，完成预算的</w:t>
      </w:r>
      <w:r>
        <w:rPr>
          <w:rFonts w:ascii="仿宋" w:hAnsi="Times New Roman" w:eastAsia="仿宋" w:cs="仿宋"/>
          <w:sz w:val="32"/>
          <w:szCs w:val="32"/>
        </w:rPr>
        <w:t>0%</w:t>
      </w:r>
      <w:r>
        <w:rPr>
          <w:rFonts w:hint="eastAsia" w:ascii="仿宋" w:hAnsi="Times New Roman" w:eastAsia="仿宋" w:cs="仿宋"/>
          <w:sz w:val="32"/>
          <w:szCs w:val="32"/>
        </w:rPr>
        <w:t>；公务用车购置及运行费支出决算</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，完成预算的</w:t>
      </w:r>
      <w:r>
        <w:rPr>
          <w:rFonts w:ascii="仿宋" w:hAnsi="Times New Roman" w:eastAsia="仿宋" w:cs="仿宋"/>
          <w:sz w:val="32"/>
          <w:szCs w:val="32"/>
        </w:rPr>
        <w:t>0%</w:t>
      </w:r>
      <w:r>
        <w:rPr>
          <w:rFonts w:hint="eastAsia" w:ascii="仿宋" w:hAnsi="Times New Roman" w:eastAsia="仿宋" w:cs="仿宋"/>
          <w:sz w:val="32"/>
          <w:szCs w:val="32"/>
        </w:rPr>
        <w:t>；公务接待费支出决算</w:t>
      </w:r>
      <w:r>
        <w:rPr>
          <w:rFonts w:ascii="仿宋" w:hAnsi="Times New Roman" w:eastAsia="仿宋" w:cs="仿宋"/>
          <w:sz w:val="32"/>
          <w:szCs w:val="32"/>
        </w:rPr>
        <w:t>0.14</w:t>
      </w:r>
      <w:r>
        <w:rPr>
          <w:rFonts w:hint="eastAsia" w:ascii="仿宋" w:hAnsi="Times New Roman" w:eastAsia="仿宋" w:cs="仿宋"/>
          <w:sz w:val="32"/>
          <w:szCs w:val="32"/>
        </w:rPr>
        <w:t>万元，占</w:t>
      </w:r>
      <w:r>
        <w:rPr>
          <w:rFonts w:ascii="仿宋" w:hAnsi="Times New Roman" w:eastAsia="仿宋" w:cs="仿宋"/>
          <w:sz w:val="32"/>
          <w:szCs w:val="32"/>
        </w:rPr>
        <w:t>100%</w:t>
      </w:r>
      <w:r>
        <w:rPr>
          <w:rFonts w:hint="eastAsia" w:ascii="仿宋" w:hAnsi="Times New Roman" w:eastAsia="仿宋" w:cs="仿宋"/>
          <w:sz w:val="32"/>
          <w:szCs w:val="32"/>
        </w:rPr>
        <w:t>，完成预算的</w:t>
      </w:r>
      <w:r>
        <w:rPr>
          <w:rFonts w:ascii="仿宋" w:hAnsi="Times New Roman" w:eastAsia="仿宋" w:cs="仿宋"/>
          <w:sz w:val="32"/>
          <w:szCs w:val="32"/>
        </w:rPr>
        <w:t>31.78%</w:t>
      </w:r>
      <w:r>
        <w:rPr>
          <w:rFonts w:hint="eastAsia" w:ascii="仿宋" w:hAnsi="Times New Roman" w:eastAsia="仿宋" w:cs="仿宋"/>
          <w:sz w:val="32"/>
          <w:szCs w:val="32"/>
        </w:rPr>
        <w:t>。具体情况如下：</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ascii="仿宋" w:hAnsi="Times New Roman" w:eastAsia="仿宋" w:cs="仿宋"/>
          <w:sz w:val="32"/>
          <w:szCs w:val="32"/>
        </w:rPr>
        <w:t>1</w:t>
      </w:r>
      <w:r>
        <w:rPr>
          <w:rFonts w:hint="eastAsia" w:ascii="仿宋" w:hAnsi="Times New Roman" w:eastAsia="仿宋" w:cs="仿宋"/>
          <w:sz w:val="32"/>
          <w:szCs w:val="32"/>
        </w:rPr>
        <w:t>．因公出国（境）费支出</w:t>
      </w:r>
      <w:r>
        <w:rPr>
          <w:rFonts w:ascii="仿宋" w:hAnsi="Times New Roman" w:eastAsia="仿宋" w:cs="仿宋"/>
          <w:sz w:val="32"/>
          <w:szCs w:val="32"/>
        </w:rPr>
        <w:t>0</w:t>
      </w:r>
      <w:r>
        <w:rPr>
          <w:rFonts w:hint="eastAsia" w:ascii="仿宋" w:hAnsi="Times New Roman" w:eastAsia="仿宋" w:cs="仿宋"/>
          <w:sz w:val="32"/>
          <w:szCs w:val="32"/>
        </w:rPr>
        <w:t>万元。</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ascii="仿宋" w:hAnsi="Times New Roman" w:eastAsia="仿宋" w:cs="仿宋"/>
          <w:sz w:val="32"/>
          <w:szCs w:val="32"/>
        </w:rPr>
        <w:t>2</w:t>
      </w:r>
      <w:r>
        <w:rPr>
          <w:rFonts w:hint="eastAsia" w:ascii="仿宋" w:hAnsi="Times New Roman" w:eastAsia="仿宋" w:cs="仿宋"/>
          <w:sz w:val="32"/>
          <w:szCs w:val="32"/>
        </w:rPr>
        <w:t>．公务用车购置及运行费支出</w:t>
      </w:r>
      <w:r>
        <w:rPr>
          <w:rFonts w:ascii="仿宋" w:hAnsi="Times New Roman" w:eastAsia="仿宋" w:cs="仿宋"/>
          <w:sz w:val="32"/>
          <w:szCs w:val="32"/>
        </w:rPr>
        <w:t>0</w:t>
      </w:r>
      <w:r>
        <w:rPr>
          <w:rFonts w:hint="eastAsia" w:ascii="仿宋" w:hAnsi="Times New Roman" w:eastAsia="仿宋" w:cs="仿宋"/>
          <w:sz w:val="32"/>
          <w:szCs w:val="32"/>
        </w:rPr>
        <w:t>万元。</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ascii="仿宋" w:hAnsi="Times New Roman" w:eastAsia="仿宋" w:cs="仿宋"/>
          <w:sz w:val="32"/>
          <w:szCs w:val="32"/>
        </w:rPr>
        <w:t>3</w:t>
      </w:r>
      <w:r>
        <w:rPr>
          <w:rFonts w:hint="eastAsia" w:ascii="仿宋" w:hAnsi="Times New Roman" w:eastAsia="仿宋" w:cs="仿宋"/>
          <w:sz w:val="32"/>
          <w:szCs w:val="32"/>
        </w:rPr>
        <w:t>．公务接待费支出</w:t>
      </w:r>
      <w:r>
        <w:rPr>
          <w:rFonts w:ascii="仿宋" w:hAnsi="Times New Roman" w:eastAsia="仿宋" w:cs="仿宋"/>
          <w:sz w:val="32"/>
          <w:szCs w:val="32"/>
        </w:rPr>
        <w:t>0.14</w:t>
      </w:r>
      <w:r>
        <w:rPr>
          <w:rFonts w:hint="eastAsia" w:ascii="仿宋" w:hAnsi="Times New Roman" w:eastAsia="仿宋" w:cs="仿宋"/>
          <w:sz w:val="32"/>
          <w:szCs w:val="32"/>
        </w:rPr>
        <w:t>万元。公务接待费支出决算比</w:t>
      </w:r>
      <w:r>
        <w:rPr>
          <w:rFonts w:ascii="仿宋" w:hAnsi="Times New Roman" w:eastAsia="仿宋" w:cs="仿宋"/>
          <w:sz w:val="32"/>
          <w:szCs w:val="32"/>
        </w:rPr>
        <w:t>2016</w:t>
      </w:r>
      <w:r>
        <w:rPr>
          <w:rFonts w:hint="eastAsia" w:ascii="仿宋" w:hAnsi="Times New Roman" w:eastAsia="仿宋" w:cs="仿宋"/>
          <w:sz w:val="32"/>
          <w:szCs w:val="32"/>
        </w:rPr>
        <w:t>年度减少</w:t>
      </w:r>
      <w:r>
        <w:rPr>
          <w:rFonts w:ascii="仿宋" w:hAnsi="Times New Roman" w:eastAsia="仿宋" w:cs="仿宋"/>
          <w:sz w:val="32"/>
          <w:szCs w:val="32"/>
        </w:rPr>
        <w:t>0.91</w:t>
      </w:r>
      <w:r>
        <w:rPr>
          <w:rFonts w:hint="eastAsia" w:ascii="仿宋" w:hAnsi="Times New Roman" w:eastAsia="仿宋" w:cs="仿宋"/>
          <w:sz w:val="32"/>
          <w:szCs w:val="32"/>
        </w:rPr>
        <w:t>万元，下降</w:t>
      </w:r>
      <w:r>
        <w:rPr>
          <w:rFonts w:ascii="仿宋" w:hAnsi="Times New Roman" w:eastAsia="仿宋" w:cs="仿宋"/>
          <w:sz w:val="32"/>
          <w:szCs w:val="32"/>
        </w:rPr>
        <w:t>86.47%</w:t>
      </w:r>
      <w:r>
        <w:rPr>
          <w:rFonts w:hint="eastAsia" w:ascii="仿宋" w:hAnsi="Times New Roman" w:eastAsia="仿宋" w:cs="仿宋"/>
          <w:sz w:val="32"/>
          <w:szCs w:val="32"/>
        </w:rPr>
        <w:t>，主要原因是</w:t>
      </w:r>
      <w:r>
        <w:rPr>
          <w:rFonts w:hint="eastAsia" w:ascii="仿宋" w:hAnsi="Times New Roman" w:eastAsia="仿宋" w:cs="仿宋"/>
          <w:sz w:val="32"/>
          <w:szCs w:val="32"/>
          <w:lang w:eastAsia="zh-CN"/>
        </w:rPr>
        <w:t>缩减支出</w:t>
      </w:r>
      <w:r>
        <w:rPr>
          <w:rFonts w:hint="eastAsia" w:ascii="仿宋" w:hAnsi="Times New Roman" w:eastAsia="仿宋" w:cs="仿宋"/>
          <w:sz w:val="32"/>
          <w:szCs w:val="32"/>
        </w:rPr>
        <w:t>。</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hint="eastAsia" w:ascii="仿宋" w:hAnsi="Times New Roman" w:eastAsia="仿宋" w:cs="仿宋"/>
          <w:sz w:val="32"/>
          <w:szCs w:val="32"/>
        </w:rPr>
        <w:t>河南省南阳市高新技术产业开发区市场发展服务中心</w:t>
      </w:r>
      <w:r>
        <w:rPr>
          <w:rFonts w:ascii="仿宋" w:hAnsi="Times New Roman" w:eastAsia="仿宋" w:cs="仿宋"/>
          <w:sz w:val="32"/>
          <w:szCs w:val="32"/>
        </w:rPr>
        <w:t>2017</w:t>
      </w:r>
      <w:r>
        <w:rPr>
          <w:rFonts w:hint="eastAsia" w:ascii="仿宋" w:hAnsi="Times New Roman" w:eastAsia="仿宋" w:cs="仿宋"/>
          <w:sz w:val="32"/>
          <w:szCs w:val="32"/>
        </w:rPr>
        <w:t>年度共接待国内来访团组</w:t>
      </w:r>
      <w:r>
        <w:rPr>
          <w:rFonts w:ascii="仿宋" w:hAnsi="Times New Roman" w:eastAsia="仿宋" w:cs="仿宋"/>
          <w:sz w:val="32"/>
          <w:szCs w:val="32"/>
        </w:rPr>
        <w:t>3</w:t>
      </w:r>
      <w:r>
        <w:rPr>
          <w:rFonts w:hint="eastAsia" w:ascii="仿宋" w:hAnsi="Times New Roman" w:eastAsia="仿宋" w:cs="仿宋"/>
          <w:sz w:val="32"/>
          <w:szCs w:val="32"/>
        </w:rPr>
        <w:t>个、来访人员</w:t>
      </w:r>
      <w:r>
        <w:rPr>
          <w:rFonts w:ascii="仿宋" w:hAnsi="Times New Roman" w:eastAsia="仿宋" w:cs="仿宋"/>
          <w:sz w:val="32"/>
          <w:szCs w:val="32"/>
        </w:rPr>
        <w:t>24</w:t>
      </w:r>
      <w:r>
        <w:rPr>
          <w:rFonts w:hint="eastAsia" w:ascii="仿宋" w:hAnsi="Times New Roman" w:eastAsia="仿宋" w:cs="仿宋"/>
          <w:sz w:val="32"/>
          <w:szCs w:val="32"/>
        </w:rPr>
        <w:t>人次（不包括陪同人员）。</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八、关于预算绩效情况说明</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hint="eastAsia" w:ascii="楷体" w:hAnsi="Times New Roman" w:eastAsia="楷体" w:cs="楷体"/>
          <w:sz w:val="32"/>
          <w:szCs w:val="32"/>
        </w:rPr>
        <w:t>（一）绩效管理工作开展情况。</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hint="eastAsia" w:ascii="仿宋" w:hAnsi="Times New Roman" w:eastAsia="仿宋" w:cs="仿宋"/>
          <w:sz w:val="32"/>
          <w:szCs w:val="32"/>
          <w:lang w:val="en-US" w:eastAsia="zh-CN"/>
        </w:rPr>
      </w:pPr>
      <w:r>
        <w:rPr>
          <w:rFonts w:hint="eastAsia" w:ascii="仿宋" w:hAnsi="Times New Roman" w:eastAsia="仿宋" w:cs="仿宋"/>
          <w:sz w:val="32"/>
          <w:szCs w:val="32"/>
          <w:lang w:val="en-US" w:eastAsia="zh-CN"/>
        </w:rPr>
        <w:t>2017年我单位未开展预算绩效管理工作。</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hint="eastAsia" w:ascii="楷体" w:hAnsi="Times New Roman" w:eastAsia="楷体" w:cs="楷体"/>
          <w:sz w:val="32"/>
          <w:szCs w:val="32"/>
        </w:rPr>
        <w:t>（二）项目绩效自评结果。</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hint="eastAsia" w:ascii="仿宋" w:hAnsi="Times New Roman" w:eastAsia="仿宋" w:cs="仿宋"/>
          <w:sz w:val="32"/>
          <w:szCs w:val="32"/>
          <w:lang w:val="en-US" w:eastAsia="zh-CN"/>
        </w:rPr>
      </w:pPr>
      <w:r>
        <w:rPr>
          <w:rFonts w:hint="eastAsia" w:ascii="仿宋" w:hAnsi="Times New Roman" w:eastAsia="仿宋" w:cs="仿宋"/>
          <w:sz w:val="32"/>
          <w:szCs w:val="32"/>
          <w:lang w:val="en-US" w:eastAsia="zh-CN"/>
        </w:rPr>
        <w:t>2017年我单位未开展预算绩效评价管理工作。</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九、关于政府性基金预算财政拨款支出决算情况说明</w:t>
      </w:r>
    </w:p>
    <w:p>
      <w:pPr>
        <w:keepNext w:val="0"/>
        <w:keepLines w:val="0"/>
        <w:pageBreakBefore w:val="0"/>
        <w:widowControl w:val="0"/>
        <w:wordWrap/>
        <w:topLinePunct w:val="0"/>
        <w:autoSpaceDE w:val="0"/>
        <w:autoSpaceDN w:val="0"/>
        <w:bidi w:val="0"/>
        <w:adjustRightInd w:val="0"/>
        <w:spacing w:line="360" w:lineRule="auto"/>
        <w:ind w:firstLine="640"/>
        <w:textAlignment w:val="auto"/>
        <w:outlineLvl w:val="9"/>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年度政府性基金预算财政拨款支出年初预算为</w:t>
      </w:r>
      <w:r>
        <w:rPr>
          <w:rFonts w:ascii="仿宋" w:hAnsi="Times New Roman" w:eastAsia="仿宋" w:cs="仿宋"/>
          <w:sz w:val="32"/>
          <w:szCs w:val="32"/>
        </w:rPr>
        <w:t>0</w:t>
      </w:r>
      <w:r>
        <w:rPr>
          <w:rFonts w:hint="eastAsia" w:ascii="仿宋" w:hAnsi="Times New Roman" w:eastAsia="仿宋" w:cs="仿宋"/>
          <w:sz w:val="32"/>
          <w:szCs w:val="32"/>
        </w:rPr>
        <w:t>万元，支出决算为</w:t>
      </w:r>
      <w:r>
        <w:rPr>
          <w:rFonts w:ascii="仿宋" w:hAnsi="Times New Roman" w:eastAsia="仿宋" w:cs="仿宋"/>
          <w:sz w:val="32"/>
          <w:szCs w:val="32"/>
        </w:rPr>
        <w:t>0</w:t>
      </w:r>
      <w:r>
        <w:rPr>
          <w:rFonts w:hint="eastAsia" w:ascii="仿宋" w:hAnsi="Times New Roman" w:eastAsia="仿宋" w:cs="仿宋"/>
          <w:sz w:val="32"/>
          <w:szCs w:val="32"/>
        </w:rPr>
        <w:t>万元，完成年初预算的</w:t>
      </w:r>
      <w:r>
        <w:rPr>
          <w:rFonts w:ascii="仿宋" w:hAnsi="Times New Roman" w:eastAsia="仿宋" w:cs="仿宋"/>
          <w:sz w:val="32"/>
          <w:szCs w:val="32"/>
        </w:rPr>
        <w:t>0%</w:t>
      </w:r>
      <w:r>
        <w:rPr>
          <w:rFonts w:hint="eastAsia" w:ascii="仿宋" w:hAnsi="Times New Roman" w:eastAsia="仿宋" w:cs="仿宋"/>
          <w:sz w:val="32"/>
          <w:szCs w:val="32"/>
        </w:rPr>
        <w:t>。</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十、机关运行经费支出情况说明</w:t>
      </w:r>
    </w:p>
    <w:p>
      <w:pPr>
        <w:keepNext w:val="0"/>
        <w:keepLines w:val="0"/>
        <w:pageBreakBefore w:val="0"/>
        <w:widowControl w:val="0"/>
        <w:wordWrap/>
        <w:topLinePunct w:val="0"/>
        <w:autoSpaceDE w:val="0"/>
        <w:autoSpaceDN w:val="0"/>
        <w:bidi w:val="0"/>
        <w:adjustRightInd w:val="0"/>
        <w:spacing w:line="360" w:lineRule="auto"/>
        <w:ind w:firstLine="640"/>
        <w:textAlignment w:val="auto"/>
        <w:outlineLvl w:val="9"/>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年度机关运行经费支出</w:t>
      </w:r>
      <w:r>
        <w:rPr>
          <w:rFonts w:ascii="仿宋" w:hAnsi="Times New Roman" w:eastAsia="仿宋" w:cs="仿宋"/>
          <w:sz w:val="32"/>
          <w:szCs w:val="32"/>
        </w:rPr>
        <w:t>0</w:t>
      </w:r>
      <w:r>
        <w:rPr>
          <w:rFonts w:hint="eastAsia" w:ascii="仿宋" w:hAnsi="Times New Roman" w:eastAsia="仿宋" w:cs="仿宋"/>
          <w:sz w:val="32"/>
          <w:szCs w:val="32"/>
        </w:rPr>
        <w:t>万元，较</w:t>
      </w:r>
      <w:r>
        <w:rPr>
          <w:rFonts w:ascii="仿宋" w:hAnsi="Times New Roman" w:eastAsia="仿宋" w:cs="仿宋"/>
          <w:sz w:val="32"/>
          <w:szCs w:val="32"/>
        </w:rPr>
        <w:t>2016</w:t>
      </w:r>
      <w:r>
        <w:rPr>
          <w:rFonts w:hint="eastAsia" w:ascii="仿宋" w:hAnsi="Times New Roman" w:eastAsia="仿宋" w:cs="仿宋"/>
          <w:sz w:val="32"/>
          <w:szCs w:val="32"/>
        </w:rPr>
        <w:t>年度增加</w:t>
      </w:r>
      <w:r>
        <w:rPr>
          <w:rFonts w:ascii="仿宋" w:hAnsi="Times New Roman" w:eastAsia="仿宋" w:cs="仿宋"/>
          <w:sz w:val="32"/>
          <w:szCs w:val="32"/>
        </w:rPr>
        <w:t>0</w:t>
      </w:r>
      <w:r>
        <w:rPr>
          <w:rFonts w:hint="eastAsia" w:ascii="仿宋" w:hAnsi="Times New Roman" w:eastAsia="仿宋" w:cs="仿宋"/>
          <w:sz w:val="32"/>
          <w:szCs w:val="32"/>
        </w:rPr>
        <w:t>万元，增长</w:t>
      </w:r>
      <w:r>
        <w:rPr>
          <w:rFonts w:ascii="仿宋" w:hAnsi="Times New Roman" w:eastAsia="仿宋" w:cs="仿宋"/>
          <w:sz w:val="32"/>
          <w:szCs w:val="32"/>
        </w:rPr>
        <w:t>0%</w:t>
      </w:r>
      <w:r>
        <w:rPr>
          <w:rFonts w:hint="eastAsia" w:ascii="仿宋" w:hAnsi="Times New Roman" w:eastAsia="仿宋" w:cs="仿宋"/>
          <w:sz w:val="32"/>
          <w:szCs w:val="32"/>
        </w:rPr>
        <w:t>。</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十一、政府采购支出情况说明</w:t>
      </w:r>
    </w:p>
    <w:p>
      <w:pPr>
        <w:keepNext w:val="0"/>
        <w:keepLines w:val="0"/>
        <w:pageBreakBefore w:val="0"/>
        <w:widowControl w:val="0"/>
        <w:wordWrap/>
        <w:topLinePunct w:val="0"/>
        <w:autoSpaceDE w:val="0"/>
        <w:autoSpaceDN w:val="0"/>
        <w:bidi w:val="0"/>
        <w:adjustRightInd w:val="0"/>
        <w:spacing w:line="360" w:lineRule="auto"/>
        <w:ind w:firstLine="640"/>
        <w:textAlignment w:val="auto"/>
        <w:outlineLvl w:val="9"/>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年度政府采购支出总额</w:t>
      </w:r>
      <w:r>
        <w:rPr>
          <w:rFonts w:ascii="仿宋" w:hAnsi="Times New Roman" w:eastAsia="仿宋" w:cs="仿宋"/>
          <w:sz w:val="32"/>
          <w:szCs w:val="32"/>
        </w:rPr>
        <w:t>0</w:t>
      </w:r>
      <w:r>
        <w:rPr>
          <w:rFonts w:hint="eastAsia" w:ascii="仿宋" w:hAnsi="Times New Roman" w:eastAsia="仿宋" w:cs="仿宋"/>
          <w:sz w:val="32"/>
          <w:szCs w:val="32"/>
        </w:rPr>
        <w:t>万元，其中：政府采购货物支出</w:t>
      </w:r>
      <w:r>
        <w:rPr>
          <w:rFonts w:ascii="仿宋" w:hAnsi="Times New Roman" w:eastAsia="仿宋" w:cs="仿宋"/>
          <w:sz w:val="32"/>
          <w:szCs w:val="32"/>
        </w:rPr>
        <w:t>0</w:t>
      </w:r>
      <w:r>
        <w:rPr>
          <w:rFonts w:hint="eastAsia" w:ascii="仿宋" w:hAnsi="Times New Roman" w:eastAsia="仿宋" w:cs="仿宋"/>
          <w:sz w:val="32"/>
          <w:szCs w:val="32"/>
        </w:rPr>
        <w:t>万元，政府采购工程支出</w:t>
      </w:r>
      <w:r>
        <w:rPr>
          <w:rFonts w:ascii="仿宋" w:hAnsi="Times New Roman" w:eastAsia="仿宋" w:cs="仿宋"/>
          <w:sz w:val="32"/>
          <w:szCs w:val="32"/>
        </w:rPr>
        <w:t>0</w:t>
      </w:r>
      <w:r>
        <w:rPr>
          <w:rFonts w:hint="eastAsia" w:ascii="仿宋" w:hAnsi="Times New Roman" w:eastAsia="仿宋" w:cs="仿宋"/>
          <w:sz w:val="32"/>
          <w:szCs w:val="32"/>
        </w:rPr>
        <w:t>万元，政府采购服务支出</w:t>
      </w:r>
      <w:r>
        <w:rPr>
          <w:rFonts w:ascii="仿宋" w:hAnsi="Times New Roman" w:eastAsia="仿宋" w:cs="仿宋"/>
          <w:sz w:val="32"/>
          <w:szCs w:val="32"/>
        </w:rPr>
        <w:t>0</w:t>
      </w:r>
      <w:r>
        <w:rPr>
          <w:rFonts w:hint="eastAsia" w:ascii="仿宋" w:hAnsi="Times New Roman" w:eastAsia="仿宋" w:cs="仿宋"/>
          <w:sz w:val="32"/>
          <w:szCs w:val="32"/>
        </w:rPr>
        <w:t>万元。</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十二、国有资产占用情况说明</w:t>
      </w:r>
    </w:p>
    <w:p>
      <w:pPr>
        <w:keepNext w:val="0"/>
        <w:keepLines w:val="0"/>
        <w:pageBreakBefore w:val="0"/>
        <w:widowControl w:val="0"/>
        <w:wordWrap/>
        <w:topLinePunct w:val="0"/>
        <w:autoSpaceDE w:val="0"/>
        <w:autoSpaceDN w:val="0"/>
        <w:bidi w:val="0"/>
        <w:adjustRightInd w:val="0"/>
        <w:spacing w:line="360" w:lineRule="auto"/>
        <w:jc w:val="left"/>
        <w:textAlignment w:val="auto"/>
        <w:outlineLvl w:val="9"/>
        <w:rPr>
          <w:rFonts w:ascii="仿宋" w:hAnsi="Times New Roman" w:eastAsia="仿宋" w:cs="仿宋"/>
          <w:sz w:val="32"/>
          <w:szCs w:val="32"/>
        </w:rPr>
      </w:pPr>
      <w:r>
        <w:rPr>
          <w:rFonts w:ascii="仿宋" w:hAnsi="Times New Roman" w:eastAsia="仿宋" w:cs="仿宋"/>
          <w:sz w:val="32"/>
          <w:szCs w:val="32"/>
        </w:rPr>
        <w:t xml:space="preserve">    2017</w:t>
      </w:r>
      <w:r>
        <w:rPr>
          <w:rFonts w:hint="eastAsia" w:ascii="仿宋" w:hAnsi="Times New Roman" w:eastAsia="仿宋" w:cs="仿宋"/>
          <w:sz w:val="32"/>
          <w:szCs w:val="32"/>
        </w:rPr>
        <w:t>年期末，河南省南阳市高新技术产业开发区市场发展服务中心共有车辆</w:t>
      </w:r>
      <w:r>
        <w:rPr>
          <w:rFonts w:ascii="仿宋" w:hAnsi="Times New Roman" w:eastAsia="仿宋" w:cs="仿宋"/>
          <w:sz w:val="32"/>
          <w:szCs w:val="32"/>
        </w:rPr>
        <w:t>0</w:t>
      </w:r>
      <w:r>
        <w:rPr>
          <w:rFonts w:hint="eastAsia" w:ascii="仿宋" w:hAnsi="Times New Roman" w:eastAsia="仿宋" w:cs="仿宋"/>
          <w:sz w:val="32"/>
          <w:szCs w:val="32"/>
        </w:rPr>
        <w:t>辆，其中：一般公务用车</w:t>
      </w:r>
      <w:r>
        <w:rPr>
          <w:rFonts w:ascii="仿宋" w:hAnsi="Times New Roman" w:eastAsia="仿宋" w:cs="仿宋"/>
          <w:sz w:val="32"/>
          <w:szCs w:val="32"/>
        </w:rPr>
        <w:t>0</w:t>
      </w:r>
      <w:r>
        <w:rPr>
          <w:rFonts w:hint="eastAsia" w:ascii="仿宋" w:hAnsi="Times New Roman" w:eastAsia="仿宋" w:cs="仿宋"/>
          <w:sz w:val="32"/>
          <w:szCs w:val="32"/>
        </w:rPr>
        <w:t>辆、一般执法执勤用车</w:t>
      </w:r>
      <w:r>
        <w:rPr>
          <w:rFonts w:ascii="仿宋" w:hAnsi="Times New Roman" w:eastAsia="仿宋" w:cs="仿宋"/>
          <w:sz w:val="32"/>
          <w:szCs w:val="32"/>
        </w:rPr>
        <w:t>0</w:t>
      </w:r>
      <w:r>
        <w:rPr>
          <w:rFonts w:hint="eastAsia" w:ascii="仿宋" w:hAnsi="Times New Roman" w:eastAsia="仿宋" w:cs="仿宋"/>
          <w:sz w:val="32"/>
          <w:szCs w:val="32"/>
        </w:rPr>
        <w:t>辆、特种专业技术用车</w:t>
      </w:r>
      <w:r>
        <w:rPr>
          <w:rFonts w:ascii="仿宋" w:hAnsi="Times New Roman" w:eastAsia="仿宋" w:cs="仿宋"/>
          <w:sz w:val="32"/>
          <w:szCs w:val="32"/>
        </w:rPr>
        <w:t>0</w:t>
      </w:r>
      <w:r>
        <w:rPr>
          <w:rFonts w:hint="eastAsia" w:ascii="仿宋" w:hAnsi="Times New Roman" w:eastAsia="仿宋" w:cs="仿宋"/>
          <w:sz w:val="32"/>
          <w:szCs w:val="32"/>
        </w:rPr>
        <w:t>辆，其他用车</w:t>
      </w:r>
      <w:r>
        <w:rPr>
          <w:rFonts w:ascii="仿宋" w:hAnsi="Times New Roman" w:eastAsia="仿宋" w:cs="仿宋"/>
          <w:sz w:val="32"/>
          <w:szCs w:val="32"/>
        </w:rPr>
        <w:t>0</w:t>
      </w:r>
      <w:r>
        <w:rPr>
          <w:rFonts w:hint="eastAsia" w:ascii="仿宋" w:hAnsi="Times New Roman" w:eastAsia="仿宋" w:cs="仿宋"/>
          <w:sz w:val="32"/>
          <w:szCs w:val="32"/>
        </w:rPr>
        <w:t>辆；单位价值</w:t>
      </w:r>
      <w:r>
        <w:rPr>
          <w:rFonts w:ascii="仿宋" w:hAnsi="Times New Roman" w:eastAsia="仿宋" w:cs="仿宋"/>
          <w:sz w:val="32"/>
          <w:szCs w:val="32"/>
        </w:rPr>
        <w:t>50</w:t>
      </w:r>
      <w:r>
        <w:rPr>
          <w:rFonts w:hint="eastAsia" w:ascii="仿宋" w:hAnsi="Times New Roman" w:eastAsia="仿宋" w:cs="仿宋"/>
          <w:sz w:val="32"/>
          <w:szCs w:val="32"/>
        </w:rPr>
        <w:t>万元以上通用设备</w:t>
      </w:r>
      <w:r>
        <w:rPr>
          <w:rFonts w:ascii="仿宋" w:hAnsi="Times New Roman" w:eastAsia="仿宋" w:cs="仿宋"/>
          <w:sz w:val="32"/>
          <w:szCs w:val="32"/>
        </w:rPr>
        <w:t>0</w:t>
      </w:r>
      <w:r>
        <w:rPr>
          <w:rFonts w:hint="eastAsia" w:ascii="仿宋" w:hAnsi="Times New Roman" w:eastAsia="仿宋" w:cs="仿宋"/>
          <w:sz w:val="32"/>
          <w:szCs w:val="32"/>
        </w:rPr>
        <w:t>台（套），单位价值</w:t>
      </w:r>
      <w:r>
        <w:rPr>
          <w:rFonts w:ascii="仿宋" w:hAnsi="Times New Roman" w:eastAsia="仿宋" w:cs="仿宋"/>
          <w:sz w:val="32"/>
          <w:szCs w:val="32"/>
        </w:rPr>
        <w:t>100</w:t>
      </w:r>
      <w:r>
        <w:rPr>
          <w:rFonts w:hint="eastAsia" w:ascii="仿宋" w:hAnsi="Times New Roman" w:eastAsia="仿宋" w:cs="仿宋"/>
          <w:sz w:val="32"/>
          <w:szCs w:val="32"/>
        </w:rPr>
        <w:t>万元以上专用设备</w:t>
      </w:r>
      <w:r>
        <w:rPr>
          <w:rFonts w:ascii="仿宋" w:hAnsi="Times New Roman" w:eastAsia="仿宋" w:cs="仿宋"/>
          <w:sz w:val="32"/>
          <w:szCs w:val="32"/>
        </w:rPr>
        <w:t>0</w:t>
      </w:r>
      <w:r>
        <w:rPr>
          <w:rFonts w:hint="eastAsia" w:ascii="仿宋" w:hAnsi="Times New Roman" w:eastAsia="仿宋" w:cs="仿宋"/>
          <w:sz w:val="32"/>
          <w:szCs w:val="32"/>
        </w:rPr>
        <w:t>台（套）。</w:t>
      </w:r>
    </w:p>
    <w:p>
      <w:pPr>
        <w:keepNext w:val="0"/>
        <w:keepLines w:val="0"/>
        <w:pageBreakBefore w:val="0"/>
        <w:widowControl w:val="0"/>
        <w:kinsoku w:val="0"/>
        <w:wordWrap/>
        <w:overflowPunct w:val="0"/>
        <w:topLinePunct w:val="0"/>
        <w:bidi w:val="0"/>
        <w:adjustRightInd w:val="0"/>
        <w:snapToGrid w:val="0"/>
        <w:spacing w:line="360" w:lineRule="auto"/>
        <w:ind w:right="521" w:firstLine="0" w:firstLineChars="0"/>
        <w:jc w:val="center"/>
        <w:textAlignment w:val="auto"/>
        <w:outlineLvl w:val="9"/>
        <w:rPr>
          <w:rFonts w:hint="eastAsia" w:ascii="黑体" w:eastAsia="黑体" w:cs="黑体"/>
          <w:sz w:val="32"/>
          <w:szCs w:val="32"/>
        </w:rPr>
      </w:pPr>
      <w:r>
        <w:rPr>
          <w:rFonts w:ascii="仿宋" w:hAnsi="Times New Roman" w:eastAsia="仿宋" w:cs="仿宋"/>
          <w:sz w:val="32"/>
          <w:szCs w:val="32"/>
        </w:rPr>
        <w:t xml:space="preserve">   </w:t>
      </w:r>
      <w:r>
        <w:rPr>
          <w:rFonts w:hint="eastAsia" w:ascii="黑体" w:eastAsia="黑体" w:cs="黑体"/>
          <w:sz w:val="32"/>
          <w:szCs w:val="32"/>
        </w:rPr>
        <w:t>第四部分</w:t>
      </w:r>
      <w:r>
        <w:rPr>
          <w:rFonts w:hint="eastAsia" w:ascii="黑体" w:eastAsia="黑体" w:cs="黑体"/>
          <w:spacing w:val="-32"/>
          <w:sz w:val="32"/>
          <w:szCs w:val="32"/>
        </w:rPr>
        <w:t xml:space="preserve">  </w:t>
      </w:r>
      <w:r>
        <w:rPr>
          <w:rFonts w:hint="eastAsia" w:ascii="黑体" w:eastAsia="黑体" w:cs="黑体"/>
          <w:sz w:val="32"/>
          <w:szCs w:val="32"/>
        </w:rPr>
        <w:t>名词解释</w:t>
      </w:r>
    </w:p>
    <w:p>
      <w:pPr>
        <w:pStyle w:val="2"/>
        <w:keepNext w:val="0"/>
        <w:keepLines w:val="0"/>
        <w:pageBreakBefore w:val="0"/>
        <w:widowControl w:val="0"/>
        <w:kinsoku w:val="0"/>
        <w:wordWrap/>
        <w:overflowPunct w:val="0"/>
        <w:topLinePunct w:val="0"/>
        <w:bidi w:val="0"/>
        <w:snapToGrid w:val="0"/>
        <w:spacing w:line="360" w:lineRule="auto"/>
        <w:ind w:left="0" w:firstLine="640" w:firstLineChars="200"/>
        <w:jc w:val="both"/>
        <w:textAlignment w:val="auto"/>
        <w:outlineLvl w:val="9"/>
        <w:rPr>
          <w:rFonts w:hint="eastAsia" w:ascii="仿宋" w:hAnsi="仿宋" w:eastAsia="仿宋" w:cs="仿宋"/>
          <w:kern w:val="2"/>
          <w:sz w:val="32"/>
          <w:szCs w:val="32"/>
        </w:rPr>
      </w:pPr>
      <w:r>
        <w:rPr>
          <w:rFonts w:hint="eastAsia" w:ascii="仿宋" w:hAnsi="仿宋" w:eastAsia="仿宋" w:cs="仿宋"/>
          <w:kern w:val="2"/>
          <w:sz w:val="32"/>
          <w:szCs w:val="32"/>
        </w:rPr>
        <w:t>一、财政拨款收入：是指财政当年拨付的资金。</w:t>
      </w:r>
    </w:p>
    <w:p>
      <w:pPr>
        <w:pStyle w:val="2"/>
        <w:keepNext w:val="0"/>
        <w:keepLines w:val="0"/>
        <w:pageBreakBefore w:val="0"/>
        <w:widowControl w:val="0"/>
        <w:kinsoku w:val="0"/>
        <w:wordWrap/>
        <w:overflowPunct w:val="0"/>
        <w:topLinePunct w:val="0"/>
        <w:bidi w:val="0"/>
        <w:snapToGrid w:val="0"/>
        <w:spacing w:line="360" w:lineRule="auto"/>
        <w:ind w:left="0" w:firstLine="640" w:firstLineChars="200"/>
        <w:jc w:val="both"/>
        <w:textAlignment w:val="auto"/>
        <w:outlineLvl w:val="9"/>
        <w:rPr>
          <w:rFonts w:hint="eastAsia" w:ascii="仿宋" w:hAnsi="仿宋" w:eastAsia="仿宋" w:cs="仿宋"/>
          <w:kern w:val="2"/>
          <w:sz w:val="32"/>
          <w:szCs w:val="32"/>
        </w:rPr>
      </w:pPr>
      <w:r>
        <w:rPr>
          <w:rFonts w:hint="eastAsia" w:ascii="仿宋" w:hAnsi="仿宋" w:eastAsia="仿宋" w:cs="仿宋"/>
          <w:kern w:val="2"/>
          <w:sz w:val="32"/>
          <w:szCs w:val="32"/>
        </w:rPr>
        <w:t>二、事业收入：是指事业单位开展专业活动及辅助活动所取 得的收入。</w:t>
      </w:r>
    </w:p>
    <w:p>
      <w:pPr>
        <w:pStyle w:val="2"/>
        <w:keepNext w:val="0"/>
        <w:keepLines w:val="0"/>
        <w:pageBreakBefore w:val="0"/>
        <w:widowControl w:val="0"/>
        <w:kinsoku w:val="0"/>
        <w:wordWrap/>
        <w:overflowPunct w:val="0"/>
        <w:topLinePunct w:val="0"/>
        <w:bidi w:val="0"/>
        <w:snapToGrid w:val="0"/>
        <w:spacing w:line="360" w:lineRule="auto"/>
        <w:ind w:left="0" w:firstLine="640" w:firstLineChars="200"/>
        <w:jc w:val="both"/>
        <w:textAlignment w:val="auto"/>
        <w:outlineLvl w:val="9"/>
        <w:rPr>
          <w:rFonts w:hint="eastAsia" w:ascii="仿宋" w:hAnsi="仿宋" w:eastAsia="仿宋" w:cs="仿宋"/>
          <w:kern w:val="2"/>
          <w:sz w:val="32"/>
          <w:szCs w:val="32"/>
        </w:rPr>
      </w:pPr>
      <w:r>
        <w:rPr>
          <w:rFonts w:hint="eastAsia" w:ascii="仿宋" w:hAnsi="仿宋" w:eastAsia="仿宋" w:cs="仿宋"/>
          <w:kern w:val="2"/>
          <w:sz w:val="32"/>
          <w:szCs w:val="32"/>
        </w:rPr>
        <w:t xml:space="preserve">三、其他收入：是指部门取得的除“财政拨款”、“事业收入”、“事业单位经营收入”等以外的收入。 </w:t>
      </w:r>
    </w:p>
    <w:p>
      <w:pPr>
        <w:pStyle w:val="2"/>
        <w:keepNext w:val="0"/>
        <w:keepLines w:val="0"/>
        <w:pageBreakBefore w:val="0"/>
        <w:widowControl w:val="0"/>
        <w:kinsoku w:val="0"/>
        <w:wordWrap/>
        <w:overflowPunct w:val="0"/>
        <w:topLinePunct w:val="0"/>
        <w:bidi w:val="0"/>
        <w:snapToGrid w:val="0"/>
        <w:spacing w:line="360" w:lineRule="auto"/>
        <w:ind w:left="0" w:firstLine="640" w:firstLineChars="200"/>
        <w:jc w:val="both"/>
        <w:textAlignment w:val="auto"/>
        <w:outlineLvl w:val="9"/>
        <w:rPr>
          <w:rFonts w:hint="eastAsia" w:ascii="仿宋" w:hAnsi="仿宋" w:eastAsia="仿宋" w:cs="仿宋"/>
          <w:kern w:val="2"/>
          <w:sz w:val="32"/>
          <w:szCs w:val="32"/>
        </w:rPr>
      </w:pPr>
      <w:r>
        <w:rPr>
          <w:rFonts w:hint="eastAsia" w:ascii="仿宋" w:hAnsi="仿宋" w:eastAsia="仿宋" w:cs="仿宋"/>
          <w:kern w:val="2"/>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pPr>
        <w:pStyle w:val="2"/>
        <w:keepNext w:val="0"/>
        <w:keepLines w:val="0"/>
        <w:pageBreakBefore w:val="0"/>
        <w:widowControl w:val="0"/>
        <w:kinsoku w:val="0"/>
        <w:wordWrap/>
        <w:overflowPunct w:val="0"/>
        <w:topLinePunct w:val="0"/>
        <w:bidi w:val="0"/>
        <w:snapToGrid w:val="0"/>
        <w:spacing w:line="360" w:lineRule="auto"/>
        <w:ind w:left="0" w:firstLine="640" w:firstLineChars="200"/>
        <w:jc w:val="both"/>
        <w:textAlignment w:val="auto"/>
        <w:outlineLvl w:val="9"/>
        <w:rPr>
          <w:rFonts w:hint="eastAsia" w:ascii="仿宋" w:hAnsi="仿宋" w:eastAsia="仿宋" w:cs="仿宋"/>
          <w:kern w:val="2"/>
          <w:sz w:val="32"/>
          <w:szCs w:val="32"/>
        </w:rPr>
      </w:pPr>
      <w:r>
        <w:rPr>
          <w:rFonts w:hint="eastAsia" w:ascii="仿宋" w:hAnsi="仿宋" w:eastAsia="仿宋" w:cs="仿宋"/>
          <w:kern w:val="2"/>
          <w:sz w:val="32"/>
          <w:szCs w:val="32"/>
        </w:rPr>
        <w:t>五、上年结转和结余：是指以前年度支出预算因客观条件变化未执行完毕、结转到本年度按有关规定继续使用的资金，既包括财政拨款结转和结余，也包括事业收入、经营收入、其他收入的结转和结余。</w:t>
      </w:r>
    </w:p>
    <w:p>
      <w:pPr>
        <w:pStyle w:val="2"/>
        <w:keepNext w:val="0"/>
        <w:keepLines w:val="0"/>
        <w:pageBreakBefore w:val="0"/>
        <w:widowControl w:val="0"/>
        <w:kinsoku w:val="0"/>
        <w:wordWrap/>
        <w:overflowPunct w:val="0"/>
        <w:topLinePunct w:val="0"/>
        <w:bidi w:val="0"/>
        <w:snapToGrid w:val="0"/>
        <w:spacing w:line="360" w:lineRule="auto"/>
        <w:ind w:left="0" w:firstLine="640" w:firstLineChars="200"/>
        <w:jc w:val="both"/>
        <w:textAlignment w:val="auto"/>
        <w:outlineLvl w:val="9"/>
        <w:rPr>
          <w:rFonts w:hint="eastAsia" w:ascii="仿宋" w:hAnsi="仿宋" w:eastAsia="仿宋" w:cs="仿宋"/>
          <w:kern w:val="2"/>
          <w:sz w:val="32"/>
          <w:szCs w:val="32"/>
        </w:rPr>
      </w:pPr>
      <w:r>
        <w:rPr>
          <w:rFonts w:hint="eastAsia" w:ascii="仿宋" w:hAnsi="仿宋" w:eastAsia="仿宋" w:cs="仿宋"/>
          <w:kern w:val="2"/>
          <w:sz w:val="32"/>
          <w:szCs w:val="32"/>
        </w:rPr>
        <w:t>六、基本支出：是指为保障机构正常运转、完成日常工作任务所必需的开支，其内容包括人员经费和日常公用经费两部分。</w:t>
      </w:r>
    </w:p>
    <w:p>
      <w:pPr>
        <w:pStyle w:val="2"/>
        <w:keepNext w:val="0"/>
        <w:keepLines w:val="0"/>
        <w:pageBreakBefore w:val="0"/>
        <w:widowControl w:val="0"/>
        <w:kinsoku w:val="0"/>
        <w:wordWrap/>
        <w:overflowPunct w:val="0"/>
        <w:topLinePunct w:val="0"/>
        <w:bidi w:val="0"/>
        <w:snapToGrid w:val="0"/>
        <w:spacing w:line="360" w:lineRule="auto"/>
        <w:ind w:left="0" w:firstLine="640" w:firstLineChars="200"/>
        <w:jc w:val="both"/>
        <w:textAlignment w:val="auto"/>
        <w:outlineLvl w:val="9"/>
        <w:rPr>
          <w:rFonts w:hint="eastAsia" w:ascii="仿宋" w:hAnsi="仿宋" w:eastAsia="仿宋" w:cs="仿宋"/>
          <w:kern w:val="2"/>
          <w:sz w:val="32"/>
          <w:szCs w:val="32"/>
        </w:rPr>
      </w:pPr>
      <w:r>
        <w:rPr>
          <w:rFonts w:hint="eastAsia" w:ascii="仿宋" w:hAnsi="仿宋" w:eastAsia="仿宋" w:cs="仿宋"/>
          <w:kern w:val="2"/>
          <w:sz w:val="32"/>
          <w:szCs w:val="32"/>
        </w:rPr>
        <w:t>七、项目支出：是指在基本支出之外，为完成特定的行政工作任务或事业发展目标所发生的支出。</w:t>
      </w:r>
    </w:p>
    <w:p>
      <w:pPr>
        <w:pStyle w:val="2"/>
        <w:keepNext w:val="0"/>
        <w:keepLines w:val="0"/>
        <w:pageBreakBefore w:val="0"/>
        <w:widowControl w:val="0"/>
        <w:kinsoku w:val="0"/>
        <w:wordWrap/>
        <w:overflowPunct w:val="0"/>
        <w:topLinePunct w:val="0"/>
        <w:bidi w:val="0"/>
        <w:snapToGrid w:val="0"/>
        <w:spacing w:line="360" w:lineRule="auto"/>
        <w:ind w:left="0" w:firstLine="640" w:firstLineChars="200"/>
        <w:jc w:val="both"/>
        <w:textAlignment w:val="auto"/>
        <w:outlineLvl w:val="9"/>
        <w:rPr>
          <w:rFonts w:hint="eastAsia" w:ascii="仿宋" w:hAnsi="仿宋" w:eastAsia="仿宋" w:cs="仿宋"/>
          <w:kern w:val="2"/>
          <w:sz w:val="32"/>
          <w:szCs w:val="32"/>
        </w:rPr>
      </w:pPr>
      <w:r>
        <w:rPr>
          <w:rFonts w:hint="eastAsia" w:ascii="仿宋" w:hAnsi="仿宋" w:eastAsia="仿宋" w:cs="仿宋"/>
          <w:kern w:val="2"/>
          <w:sz w:val="32"/>
          <w:szCs w:val="32"/>
        </w:rPr>
        <w:t>八、一般公共服务（类）××事务（款）：是指高新区市场发展服务中心用于保障机构正常运行、开展业务等活动的支出。</w:t>
      </w:r>
    </w:p>
    <w:p>
      <w:pPr>
        <w:pStyle w:val="2"/>
        <w:keepNext w:val="0"/>
        <w:keepLines w:val="0"/>
        <w:pageBreakBefore w:val="0"/>
        <w:widowControl w:val="0"/>
        <w:kinsoku w:val="0"/>
        <w:wordWrap/>
        <w:overflowPunct w:val="0"/>
        <w:topLinePunct w:val="0"/>
        <w:bidi w:val="0"/>
        <w:snapToGrid w:val="0"/>
        <w:spacing w:line="360" w:lineRule="auto"/>
        <w:ind w:left="0" w:firstLine="640" w:firstLineChars="200"/>
        <w:jc w:val="both"/>
        <w:textAlignment w:val="auto"/>
        <w:outlineLvl w:val="9"/>
        <w:rPr>
          <w:rFonts w:hint="eastAsia" w:ascii="仿宋" w:hAnsi="仿宋" w:eastAsia="仿宋" w:cs="仿宋"/>
          <w:kern w:val="2"/>
          <w:sz w:val="32"/>
          <w:szCs w:val="32"/>
        </w:rPr>
      </w:pPr>
      <w:r>
        <w:rPr>
          <w:rFonts w:hint="eastAsia" w:ascii="仿宋" w:hAnsi="仿宋" w:eastAsia="仿宋" w:cs="仿宋"/>
          <w:kern w:val="2"/>
          <w:sz w:val="32"/>
          <w:szCs w:val="32"/>
        </w:rPr>
        <w:t>（一）行政运行（项）：是指为保障高新区市场发展服务中心各行政机构正常运转、完成日常工作任务安排的支出。</w:t>
      </w:r>
    </w:p>
    <w:p>
      <w:pPr>
        <w:pStyle w:val="2"/>
        <w:keepNext w:val="0"/>
        <w:keepLines w:val="0"/>
        <w:pageBreakBefore w:val="0"/>
        <w:widowControl w:val="0"/>
        <w:kinsoku w:val="0"/>
        <w:wordWrap/>
        <w:overflowPunct w:val="0"/>
        <w:topLinePunct w:val="0"/>
        <w:bidi w:val="0"/>
        <w:snapToGrid w:val="0"/>
        <w:spacing w:line="360" w:lineRule="auto"/>
        <w:ind w:left="0" w:firstLine="640" w:firstLineChars="200"/>
        <w:jc w:val="both"/>
        <w:textAlignment w:val="auto"/>
        <w:outlineLvl w:val="9"/>
        <w:rPr>
          <w:rFonts w:hint="eastAsia" w:ascii="仿宋" w:hAnsi="仿宋" w:eastAsia="仿宋" w:cs="仿宋"/>
          <w:kern w:val="2"/>
          <w:sz w:val="32"/>
          <w:szCs w:val="32"/>
        </w:rPr>
      </w:pPr>
      <w:r>
        <w:rPr>
          <w:rFonts w:hint="eastAsia" w:ascii="仿宋" w:hAnsi="仿宋" w:eastAsia="仿宋" w:cs="仿宋"/>
          <w:kern w:val="2"/>
          <w:sz w:val="32"/>
          <w:szCs w:val="32"/>
        </w:rPr>
        <w:t>（二）一般行政管理事务（项）：是指高新区市场发展服务中心及所属二级单位的项目支出。</w:t>
      </w:r>
    </w:p>
    <w:p>
      <w:pPr>
        <w:pStyle w:val="2"/>
        <w:keepNext w:val="0"/>
        <w:keepLines w:val="0"/>
        <w:pageBreakBefore w:val="0"/>
        <w:widowControl w:val="0"/>
        <w:kinsoku w:val="0"/>
        <w:wordWrap/>
        <w:overflowPunct w:val="0"/>
        <w:topLinePunct w:val="0"/>
        <w:bidi w:val="0"/>
        <w:snapToGrid w:val="0"/>
        <w:spacing w:line="360" w:lineRule="auto"/>
        <w:ind w:left="0" w:firstLine="640" w:firstLineChars="200"/>
        <w:jc w:val="both"/>
        <w:textAlignment w:val="auto"/>
        <w:outlineLvl w:val="9"/>
        <w:rPr>
          <w:rFonts w:hint="eastAsia" w:ascii="仿宋" w:hAnsi="仿宋" w:eastAsia="仿宋" w:cs="仿宋"/>
          <w:kern w:val="2"/>
          <w:sz w:val="32"/>
          <w:szCs w:val="32"/>
        </w:rPr>
      </w:pPr>
      <w:r>
        <w:rPr>
          <w:rFonts w:hint="eastAsia" w:ascii="仿宋" w:hAnsi="仿宋" w:eastAsia="仿宋" w:cs="仿宋"/>
          <w:kern w:val="2"/>
          <w:sz w:val="32"/>
          <w:szCs w:val="32"/>
        </w:rPr>
        <w:t>（三）机关服务（项）：是指高新区市场发展服务中心机关提供后勤保障服务的机关服务局的支出。</w:t>
      </w:r>
    </w:p>
    <w:p>
      <w:pPr>
        <w:pStyle w:val="2"/>
        <w:keepNext w:val="0"/>
        <w:keepLines w:val="0"/>
        <w:pageBreakBefore w:val="0"/>
        <w:widowControl w:val="0"/>
        <w:kinsoku w:val="0"/>
        <w:wordWrap/>
        <w:overflowPunct w:val="0"/>
        <w:topLinePunct w:val="0"/>
        <w:bidi w:val="0"/>
        <w:snapToGrid w:val="0"/>
        <w:spacing w:line="360" w:lineRule="auto"/>
        <w:ind w:left="0" w:firstLine="640" w:firstLineChars="200"/>
        <w:jc w:val="both"/>
        <w:textAlignment w:val="auto"/>
        <w:outlineLvl w:val="9"/>
        <w:rPr>
          <w:rFonts w:hint="eastAsia" w:ascii="仿宋" w:hAnsi="仿宋" w:eastAsia="仿宋" w:cs="仿宋"/>
          <w:kern w:val="2"/>
          <w:sz w:val="32"/>
          <w:szCs w:val="32"/>
        </w:rPr>
      </w:pPr>
      <w:r>
        <w:rPr>
          <w:rFonts w:hint="eastAsia" w:ascii="仿宋" w:hAnsi="仿宋" w:eastAsia="仿宋" w:cs="仿宋"/>
          <w:kern w:val="2"/>
          <w:sz w:val="32"/>
          <w:szCs w:val="32"/>
        </w:rPr>
        <w:t>（四）事业运行（项）：是指事业单位用于保障机构正常运转的基本支出。</w:t>
      </w:r>
    </w:p>
    <w:p>
      <w:pPr>
        <w:pStyle w:val="2"/>
        <w:keepNext w:val="0"/>
        <w:keepLines w:val="0"/>
        <w:pageBreakBefore w:val="0"/>
        <w:widowControl w:val="0"/>
        <w:kinsoku w:val="0"/>
        <w:wordWrap/>
        <w:overflowPunct w:val="0"/>
        <w:topLinePunct w:val="0"/>
        <w:bidi w:val="0"/>
        <w:snapToGrid w:val="0"/>
        <w:spacing w:line="360" w:lineRule="auto"/>
        <w:ind w:left="0" w:firstLine="640" w:firstLineChars="200"/>
        <w:jc w:val="both"/>
        <w:textAlignment w:val="auto"/>
        <w:outlineLvl w:val="9"/>
        <w:rPr>
          <w:rFonts w:hint="eastAsia" w:ascii="仿宋" w:hAnsi="仿宋" w:eastAsia="仿宋" w:cs="仿宋"/>
          <w:kern w:val="2"/>
          <w:sz w:val="32"/>
          <w:szCs w:val="32"/>
        </w:rPr>
      </w:pPr>
      <w:r>
        <w:rPr>
          <w:rFonts w:hint="eastAsia" w:ascii="仿宋" w:hAnsi="仿宋" w:eastAsia="仿宋" w:cs="仿宋"/>
          <w:kern w:val="2"/>
          <w:sz w:val="32"/>
          <w:szCs w:val="32"/>
        </w:rPr>
        <w:t>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2"/>
        <w:keepNext w:val="0"/>
        <w:keepLines w:val="0"/>
        <w:pageBreakBefore w:val="0"/>
        <w:widowControl w:val="0"/>
        <w:kinsoku w:val="0"/>
        <w:wordWrap/>
        <w:overflowPunct w:val="0"/>
        <w:topLinePunct w:val="0"/>
        <w:bidi w:val="0"/>
        <w:snapToGrid w:val="0"/>
        <w:spacing w:line="360" w:lineRule="auto"/>
        <w:ind w:left="0" w:firstLine="640" w:firstLineChars="200"/>
        <w:jc w:val="both"/>
        <w:textAlignment w:val="auto"/>
        <w:outlineLvl w:val="9"/>
        <w:rPr>
          <w:rFonts w:hint="eastAsia" w:ascii="仿宋" w:hAnsi="仿宋" w:eastAsia="仿宋" w:cs="仿宋"/>
          <w:kern w:val="2"/>
          <w:sz w:val="32"/>
          <w:szCs w:val="32"/>
        </w:rPr>
        <w:sectPr>
          <w:headerReference r:id="rId5" w:type="first"/>
          <w:footerReference r:id="rId8" w:type="first"/>
          <w:headerReference r:id="rId3" w:type="default"/>
          <w:footerReference r:id="rId6" w:type="default"/>
          <w:headerReference r:id="rId4" w:type="even"/>
          <w:footerReference r:id="rId7" w:type="even"/>
          <w:pgSz w:w="11905" w:h="16840"/>
          <w:pgMar w:top="1580" w:right="1340" w:bottom="1180" w:left="1400" w:header="0" w:footer="982" w:gutter="0"/>
          <w:cols w:equalWidth="0" w:num="1">
            <w:col w:w="9165"/>
          </w:cols>
        </w:sectPr>
      </w:pPr>
      <w:r>
        <w:rPr>
          <w:rFonts w:hint="eastAsia" w:ascii="仿宋" w:hAnsi="仿宋" w:eastAsia="仿宋" w:cs="仿宋"/>
          <w:kern w:val="2"/>
          <w:sz w:val="32"/>
          <w:szCs w:val="32"/>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pStyle w:val="2"/>
        <w:keepNext w:val="0"/>
        <w:keepLines w:val="0"/>
        <w:pageBreakBefore w:val="0"/>
        <w:widowControl w:val="0"/>
        <w:kinsoku w:val="0"/>
        <w:wordWrap/>
        <w:overflowPunct w:val="0"/>
        <w:topLinePunct w:val="0"/>
        <w:bidi w:val="0"/>
        <w:snapToGrid w:val="0"/>
        <w:spacing w:line="360" w:lineRule="auto"/>
        <w:ind w:left="0" w:firstLine="1040" w:firstLineChars="200"/>
        <w:jc w:val="both"/>
        <w:textAlignment w:val="auto"/>
        <w:outlineLvl w:val="9"/>
        <w:rPr>
          <w:rFonts w:ascii="Times New Roman" w:hAnsi="Times New Roman" w:eastAsia="仿宋" w:cs="Times New Roman"/>
          <w:sz w:val="52"/>
          <w:szCs w:val="52"/>
        </w:rPr>
      </w:pPr>
    </w:p>
    <w:p>
      <w:pPr>
        <w:keepNext w:val="0"/>
        <w:keepLines w:val="0"/>
        <w:pageBreakBefore w:val="0"/>
        <w:widowControl w:val="0"/>
        <w:wordWrap/>
        <w:topLinePunct w:val="0"/>
        <w:autoSpaceDE w:val="0"/>
        <w:autoSpaceDN w:val="0"/>
        <w:bidi w:val="0"/>
        <w:adjustRightInd w:val="0"/>
        <w:spacing w:line="360" w:lineRule="auto"/>
        <w:textAlignment w:val="auto"/>
        <w:outlineLvl w:val="9"/>
        <w:rPr>
          <w:rFonts w:ascii="Times New Roman" w:hAnsi="Times New Roman" w:eastAsia="仿宋" w:cs="Times New Roman"/>
          <w:szCs w:val="21"/>
        </w:rPr>
      </w:pPr>
    </w:p>
    <w:p>
      <w:pPr>
        <w:keepNext w:val="0"/>
        <w:keepLines w:val="0"/>
        <w:pageBreakBefore w:val="0"/>
        <w:widowControl w:val="0"/>
        <w:wordWrap/>
        <w:topLinePunct w:val="0"/>
        <w:autoSpaceDE w:val="0"/>
        <w:autoSpaceDN w:val="0"/>
        <w:bidi w:val="0"/>
        <w:adjustRightInd w:val="0"/>
        <w:spacing w:line="360" w:lineRule="auto"/>
        <w:jc w:val="left"/>
        <w:textAlignment w:val="auto"/>
        <w:outlineLvl w:val="9"/>
        <w:rPr>
          <w:rFonts w:ascii="宋体" w:hAnsi="Times New Roman" w:eastAsia="宋体" w:cs="宋体"/>
          <w:kern w:val="0"/>
          <w:sz w:val="18"/>
          <w:szCs w:val="18"/>
          <w:lang w:val="zh-CN"/>
        </w:rPr>
      </w:pPr>
    </w:p>
    <w:p>
      <w:pPr>
        <w:keepNext w:val="0"/>
        <w:keepLines w:val="0"/>
        <w:pageBreakBefore w:val="0"/>
        <w:widowControl w:val="0"/>
        <w:wordWrap/>
        <w:topLinePunct w:val="0"/>
        <w:bidi w:val="0"/>
        <w:spacing w:line="360" w:lineRule="auto"/>
        <w:textAlignment w:val="auto"/>
        <w:outlineLvl w:val="9"/>
      </w:pPr>
    </w:p>
    <w:sectPr>
      <w:headerReference r:id="rId9" w:type="default"/>
      <w:footerReference r:id="rId10"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7</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7</w:t>
    </w:r>
    <w:r>
      <w:rPr>
        <w:rFonts w:ascii="Arial" w:hAnsi="Arial" w:cs="Arial"/>
        <w:b/>
        <w:sz w:val="21"/>
        <w:szCs w:val="21"/>
      </w:rPr>
      <w:fldChar w:fldCharType="end"/>
    </w:r>
    <w:r>
      <w:rPr>
        <w:rFonts w:hint="eastAsia"/>
        <w:b/>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96A8D"/>
    <w:rsid w:val="003D5D8E"/>
    <w:rsid w:val="00B96A8D"/>
    <w:rsid w:val="0CB30544"/>
    <w:rsid w:val="0E550C76"/>
    <w:rsid w:val="0F274EC1"/>
    <w:rsid w:val="1B817173"/>
    <w:rsid w:val="1FC7717B"/>
    <w:rsid w:val="28322AFA"/>
    <w:rsid w:val="31CD5081"/>
    <w:rsid w:val="363F2771"/>
    <w:rsid w:val="447F1276"/>
    <w:rsid w:val="58AB6A45"/>
    <w:rsid w:val="5A696FE6"/>
    <w:rsid w:val="5F646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spacing w:line="240" w:lineRule="auto"/>
      <w:ind w:left="761" w:firstLine="0" w:firstLineChars="0"/>
      <w:jc w:val="left"/>
    </w:pPr>
    <w:rPr>
      <w:rFonts w:ascii="仿宋_GB2312"/>
      <w:kern w:val="0"/>
      <w:szCs w:val="32"/>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431</Words>
  <Characters>2457</Characters>
  <Lines>20</Lines>
  <Paragraphs>5</Paragraphs>
  <TotalTime>3</TotalTime>
  <ScaleCrop>false</ScaleCrop>
  <LinksUpToDate>false</LinksUpToDate>
  <CharactersWithSpaces>2883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2018-09-06T08:50:00Z</dcterms:created>
  <dc:creator>工作</dc:creator>
  <cp:lastModifiedBy>lenovo</cp:lastModifiedBy>
  <cp:lastPrinted>2018-09-17T02:04:00Z</cp:lastPrinted>
  <dcterms:modified xsi:type="dcterms:W3CDTF">2018-09-18T06:55:14Z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