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topLinePunct w:val="0"/>
        <w:bidi w:val="0"/>
        <w:adjustRightInd w:val="0"/>
        <w:snapToGrid w:val="0"/>
        <w:spacing w:line="360" w:lineRule="auto"/>
        <w:ind w:firstLine="0" w:firstLineChars="0"/>
        <w:jc w:val="center"/>
        <w:textAlignment w:val="auto"/>
        <w:outlineLvl w:val="9"/>
        <w:rPr>
          <w:rFonts w:ascii="方正小标宋简体" w:eastAsia="方正小标宋简体"/>
          <w:sz w:val="36"/>
          <w:szCs w:val="36"/>
        </w:rPr>
      </w:pPr>
      <w:r>
        <w:rPr>
          <w:rFonts w:hint="eastAsia" w:ascii="方正小标宋简体" w:eastAsia="方正小标宋简体"/>
          <w:sz w:val="36"/>
          <w:szCs w:val="36"/>
        </w:rPr>
        <w:t>201</w:t>
      </w:r>
      <w:r>
        <w:rPr>
          <w:rFonts w:hint="eastAsia" w:ascii="方正小标宋简体" w:eastAsia="方正小标宋简体"/>
          <w:sz w:val="36"/>
          <w:szCs w:val="36"/>
          <w:lang w:val="en-US" w:eastAsia="zh-CN"/>
        </w:rPr>
        <w:t>7</w:t>
      </w:r>
      <w:r>
        <w:rPr>
          <w:rFonts w:hint="eastAsia" w:ascii="方正小标宋简体" w:eastAsia="方正小标宋简体"/>
          <w:sz w:val="36"/>
          <w:szCs w:val="36"/>
        </w:rPr>
        <w:t>年度河南省南阳市高新技术产业开发区</w:t>
      </w:r>
      <w:r>
        <w:rPr>
          <w:rFonts w:hint="eastAsia" w:ascii="方正小标宋简体" w:eastAsia="方正小标宋简体"/>
          <w:sz w:val="36"/>
          <w:szCs w:val="36"/>
          <w:lang w:eastAsia="zh-CN"/>
        </w:rPr>
        <w:t>监察分局</w:t>
      </w:r>
      <w:r>
        <w:rPr>
          <w:rFonts w:hint="eastAsia" w:ascii="方正小标宋简体" w:eastAsia="方正小标宋简体"/>
          <w:sz w:val="36"/>
          <w:szCs w:val="36"/>
        </w:rPr>
        <w:t>公开决算</w:t>
      </w:r>
    </w:p>
    <w:p>
      <w:pPr>
        <w:keepNext w:val="0"/>
        <w:keepLines w:val="0"/>
        <w:pageBreakBefore w:val="0"/>
        <w:widowControl w:val="0"/>
        <w:kinsoku w:val="0"/>
        <w:wordWrap/>
        <w:overflowPunct w:val="0"/>
        <w:topLinePunct w:val="0"/>
        <w:bidi w:val="0"/>
        <w:adjustRightInd w:val="0"/>
        <w:snapToGrid w:val="0"/>
        <w:spacing w:line="360" w:lineRule="auto"/>
        <w:ind w:left="-142" w:right="51" w:firstLine="25" w:firstLineChars="7"/>
        <w:jc w:val="center"/>
        <w:textAlignment w:val="auto"/>
        <w:outlineLvl w:val="9"/>
        <w:rPr>
          <w:rFonts w:ascii="黑体" w:eastAsia="黑体" w:cs="黑体"/>
          <w:sz w:val="36"/>
          <w:szCs w:val="36"/>
        </w:rPr>
      </w:pPr>
      <w:r>
        <w:rPr>
          <w:rFonts w:hint="eastAsia" w:ascii="黑体" w:eastAsia="黑体" w:cs="黑体"/>
          <w:sz w:val="36"/>
          <w:szCs w:val="36"/>
        </w:rPr>
        <w:t>目</w:t>
      </w:r>
      <w:r>
        <w:rPr>
          <w:rFonts w:ascii="黑体" w:eastAsia="黑体" w:cs="黑体"/>
          <w:spacing w:val="2"/>
          <w:sz w:val="36"/>
          <w:szCs w:val="36"/>
        </w:rPr>
        <w:t xml:space="preserve"> </w:t>
      </w:r>
      <w:r>
        <w:rPr>
          <w:rFonts w:hint="eastAsia" w:ascii="黑体" w:eastAsia="黑体" w:cs="黑体"/>
          <w:sz w:val="36"/>
          <w:szCs w:val="36"/>
        </w:rPr>
        <w:t>录</w:t>
      </w:r>
    </w:p>
    <w:p>
      <w:pPr>
        <w:keepNext w:val="0"/>
        <w:keepLines w:val="0"/>
        <w:pageBreakBefore w:val="0"/>
        <w:widowControl w:val="0"/>
        <w:kinsoku w:val="0"/>
        <w:wordWrap/>
        <w:overflowPunct w:val="0"/>
        <w:topLinePunct w:val="0"/>
        <w:bidi w:val="0"/>
        <w:adjustRightInd w:val="0"/>
        <w:snapToGrid w:val="0"/>
        <w:spacing w:line="360" w:lineRule="auto"/>
        <w:ind w:left="101" w:firstLine="640"/>
        <w:textAlignment w:val="auto"/>
        <w:outlineLvl w:val="9"/>
        <w:rPr>
          <w:rFonts w:ascii="黑体" w:hAnsi="黑体" w:eastAsia="黑体"/>
          <w:sz w:val="32"/>
          <w:szCs w:val="32"/>
        </w:rPr>
      </w:pPr>
      <w:r>
        <w:rPr>
          <w:rFonts w:hint="eastAsia" w:ascii="黑体" w:hAnsi="黑体" w:eastAsia="黑体"/>
          <w:sz w:val="32"/>
          <w:szCs w:val="32"/>
        </w:rPr>
        <w:t>第一部分河南省南阳市高新技术产开发区</w:t>
      </w:r>
      <w:r>
        <w:rPr>
          <w:rFonts w:hint="eastAsia" w:ascii="黑体" w:hAnsi="黑体" w:eastAsia="黑体"/>
          <w:sz w:val="32"/>
          <w:szCs w:val="32"/>
          <w:lang w:eastAsia="zh-CN"/>
        </w:rPr>
        <w:t>监察分局</w:t>
      </w:r>
      <w:r>
        <w:rPr>
          <w:rFonts w:hint="eastAsia" w:ascii="黑体" w:hAnsi="黑体" w:eastAsia="黑体"/>
          <w:sz w:val="32"/>
          <w:szCs w:val="32"/>
        </w:rPr>
        <w:t>概况</w:t>
      </w:r>
      <w:r>
        <w:rPr>
          <w:rFonts w:ascii="黑体" w:hAnsi="黑体" w:eastAsia="黑体"/>
          <w:sz w:val="32"/>
          <w:szCs w:val="32"/>
        </w:rPr>
        <w:t xml:space="preserve"> </w:t>
      </w:r>
    </w:p>
    <w:p>
      <w:pPr>
        <w:keepNext w:val="0"/>
        <w:keepLines w:val="0"/>
        <w:pageBreakBefore w:val="0"/>
        <w:widowControl w:val="0"/>
        <w:kinsoku w:val="0"/>
        <w:wordWrap/>
        <w:overflowPunct w:val="0"/>
        <w:topLinePunct w:val="0"/>
        <w:bidi w:val="0"/>
        <w:adjustRightInd w:val="0"/>
        <w:snapToGrid w:val="0"/>
        <w:spacing w:line="360" w:lineRule="auto"/>
        <w:ind w:right="3569" w:firstLine="900" w:firstLineChars="3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一、主要职能</w:t>
      </w:r>
    </w:p>
    <w:p>
      <w:pPr>
        <w:keepNext w:val="0"/>
        <w:keepLines w:val="0"/>
        <w:pageBreakBefore w:val="0"/>
        <w:widowControl w:val="0"/>
        <w:kinsoku w:val="0"/>
        <w:wordWrap/>
        <w:overflowPunct w:val="0"/>
        <w:topLinePunct w:val="0"/>
        <w:bidi w:val="0"/>
        <w:adjustRightInd w:val="0"/>
        <w:snapToGrid w:val="0"/>
        <w:spacing w:line="360" w:lineRule="auto"/>
        <w:ind w:right="3569" w:firstLine="900" w:firstLineChars="3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二、部门决算单位构成</w:t>
      </w:r>
    </w:p>
    <w:p>
      <w:pPr>
        <w:keepNext w:val="0"/>
        <w:keepLines w:val="0"/>
        <w:pageBreakBefore w:val="0"/>
        <w:widowControl w:val="0"/>
        <w:kinsoku w:val="0"/>
        <w:wordWrap/>
        <w:overflowPunct w:val="0"/>
        <w:topLinePunct w:val="0"/>
        <w:bidi w:val="0"/>
        <w:adjustRightInd w:val="0"/>
        <w:snapToGrid w:val="0"/>
        <w:spacing w:line="360" w:lineRule="auto"/>
        <w:ind w:left="101" w:firstLine="640"/>
        <w:textAlignment w:val="auto"/>
        <w:outlineLvl w:val="9"/>
        <w:rPr>
          <w:rFonts w:hint="eastAsia" w:ascii="黑体" w:hAnsi="黑体" w:eastAsia="黑体"/>
          <w:sz w:val="32"/>
          <w:szCs w:val="32"/>
        </w:rPr>
      </w:pPr>
      <w:r>
        <w:rPr>
          <w:rFonts w:hint="eastAsia" w:ascii="黑体" w:hAnsi="黑体" w:eastAsia="黑体"/>
          <w:sz w:val="32"/>
          <w:szCs w:val="32"/>
        </w:rPr>
        <w:t>第二部分 河南省南阳市高新技术产开发区</w:t>
      </w:r>
      <w:r>
        <w:rPr>
          <w:rFonts w:hint="eastAsia" w:ascii="黑体" w:hAnsi="黑体" w:eastAsia="黑体"/>
          <w:sz w:val="32"/>
          <w:szCs w:val="32"/>
          <w:lang w:eastAsia="zh-CN"/>
        </w:rPr>
        <w:t>监察分局</w:t>
      </w:r>
      <w:r>
        <w:rPr>
          <w:rFonts w:hint="eastAsia" w:ascii="黑体" w:hAnsi="黑体" w:eastAsia="黑体"/>
          <w:sz w:val="32"/>
          <w:szCs w:val="32"/>
        </w:rPr>
        <w:t>2016年度部门决算表</w:t>
      </w:r>
    </w:p>
    <w:p>
      <w:pPr>
        <w:keepNext w:val="0"/>
        <w:keepLines w:val="0"/>
        <w:pageBreakBefore w:val="0"/>
        <w:widowControl w:val="0"/>
        <w:kinsoku w:val="0"/>
        <w:wordWrap/>
        <w:overflowPunct w:val="0"/>
        <w:topLinePunct w:val="0"/>
        <w:bidi w:val="0"/>
        <w:adjustRightInd w:val="0"/>
        <w:snapToGrid w:val="0"/>
        <w:spacing w:line="360" w:lineRule="auto"/>
        <w:ind w:right="51" w:firstLine="900" w:firstLineChars="3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一、收入支出决算总表 </w:t>
      </w:r>
    </w:p>
    <w:p>
      <w:pPr>
        <w:keepNext w:val="0"/>
        <w:keepLines w:val="0"/>
        <w:pageBreakBefore w:val="0"/>
        <w:widowControl w:val="0"/>
        <w:kinsoku w:val="0"/>
        <w:wordWrap/>
        <w:overflowPunct w:val="0"/>
        <w:topLinePunct w:val="0"/>
        <w:bidi w:val="0"/>
        <w:adjustRightInd w:val="0"/>
        <w:snapToGrid w:val="0"/>
        <w:spacing w:line="360" w:lineRule="auto"/>
        <w:ind w:right="51" w:firstLine="900" w:firstLineChars="3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二、收入决算表 </w:t>
      </w:r>
    </w:p>
    <w:p>
      <w:pPr>
        <w:keepNext w:val="0"/>
        <w:keepLines w:val="0"/>
        <w:pageBreakBefore w:val="0"/>
        <w:widowControl w:val="0"/>
        <w:kinsoku w:val="0"/>
        <w:wordWrap/>
        <w:overflowPunct w:val="0"/>
        <w:topLinePunct w:val="0"/>
        <w:bidi w:val="0"/>
        <w:adjustRightInd w:val="0"/>
        <w:snapToGrid w:val="0"/>
        <w:spacing w:line="360" w:lineRule="auto"/>
        <w:ind w:right="51" w:firstLine="900" w:firstLineChars="3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三、支出决算表</w:t>
      </w:r>
    </w:p>
    <w:p>
      <w:pPr>
        <w:keepNext w:val="0"/>
        <w:keepLines w:val="0"/>
        <w:pageBreakBefore w:val="0"/>
        <w:widowControl w:val="0"/>
        <w:kinsoku w:val="0"/>
        <w:wordWrap/>
        <w:overflowPunct w:val="0"/>
        <w:topLinePunct w:val="0"/>
        <w:bidi w:val="0"/>
        <w:adjustRightInd w:val="0"/>
        <w:snapToGrid w:val="0"/>
        <w:spacing w:line="360" w:lineRule="auto"/>
        <w:ind w:right="51" w:firstLine="900" w:firstLineChars="3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四、财政拨款收入支出决算总表 </w:t>
      </w:r>
    </w:p>
    <w:p>
      <w:pPr>
        <w:keepNext w:val="0"/>
        <w:keepLines w:val="0"/>
        <w:pageBreakBefore w:val="0"/>
        <w:widowControl w:val="0"/>
        <w:kinsoku w:val="0"/>
        <w:wordWrap/>
        <w:overflowPunct w:val="0"/>
        <w:topLinePunct w:val="0"/>
        <w:bidi w:val="0"/>
        <w:adjustRightInd w:val="0"/>
        <w:snapToGrid w:val="0"/>
        <w:spacing w:line="360" w:lineRule="auto"/>
        <w:ind w:right="51" w:firstLine="900" w:firstLineChars="3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五、一般公共预算财政拨款支出决算表 </w:t>
      </w:r>
    </w:p>
    <w:p>
      <w:pPr>
        <w:keepNext w:val="0"/>
        <w:keepLines w:val="0"/>
        <w:pageBreakBefore w:val="0"/>
        <w:widowControl w:val="0"/>
        <w:kinsoku w:val="0"/>
        <w:wordWrap/>
        <w:overflowPunct w:val="0"/>
        <w:topLinePunct w:val="0"/>
        <w:bidi w:val="0"/>
        <w:adjustRightInd w:val="0"/>
        <w:snapToGrid w:val="0"/>
        <w:spacing w:line="360" w:lineRule="auto"/>
        <w:ind w:right="51" w:firstLine="900" w:firstLineChars="3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六、一般公共预算财政拨款基本支出决算表 </w:t>
      </w:r>
    </w:p>
    <w:p>
      <w:pPr>
        <w:keepNext w:val="0"/>
        <w:keepLines w:val="0"/>
        <w:pageBreakBefore w:val="0"/>
        <w:widowControl w:val="0"/>
        <w:kinsoku w:val="0"/>
        <w:wordWrap/>
        <w:overflowPunct w:val="0"/>
        <w:topLinePunct w:val="0"/>
        <w:bidi w:val="0"/>
        <w:adjustRightInd w:val="0"/>
        <w:snapToGrid w:val="0"/>
        <w:spacing w:line="360" w:lineRule="auto"/>
        <w:ind w:right="51" w:firstLine="900" w:firstLineChars="3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七、一般公共预算财政拨款“三公”经费支出决算表 </w:t>
      </w:r>
    </w:p>
    <w:p>
      <w:pPr>
        <w:keepNext w:val="0"/>
        <w:keepLines w:val="0"/>
        <w:pageBreakBefore w:val="0"/>
        <w:widowControl w:val="0"/>
        <w:kinsoku w:val="0"/>
        <w:wordWrap/>
        <w:overflowPunct w:val="0"/>
        <w:topLinePunct w:val="0"/>
        <w:bidi w:val="0"/>
        <w:adjustRightInd w:val="0"/>
        <w:snapToGrid w:val="0"/>
        <w:spacing w:line="360" w:lineRule="auto"/>
        <w:ind w:right="51" w:firstLine="900" w:firstLineChars="3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八、政府性基金预算财政拨款收入支出决算表</w:t>
      </w:r>
    </w:p>
    <w:p>
      <w:pPr>
        <w:keepNext w:val="0"/>
        <w:keepLines w:val="0"/>
        <w:pageBreakBefore w:val="0"/>
        <w:widowControl w:val="0"/>
        <w:kinsoku w:val="0"/>
        <w:wordWrap/>
        <w:overflowPunct w:val="0"/>
        <w:topLinePunct w:val="0"/>
        <w:bidi w:val="0"/>
        <w:adjustRightInd w:val="0"/>
        <w:snapToGrid w:val="0"/>
        <w:spacing w:line="360" w:lineRule="auto"/>
        <w:ind w:left="101" w:firstLine="640"/>
        <w:textAlignment w:val="auto"/>
        <w:outlineLvl w:val="9"/>
        <w:rPr>
          <w:rFonts w:hint="eastAsia" w:ascii="黑体" w:hAnsi="黑体" w:eastAsia="黑体"/>
          <w:sz w:val="32"/>
          <w:szCs w:val="32"/>
        </w:rPr>
      </w:pPr>
      <w:r>
        <w:rPr>
          <w:rFonts w:hint="eastAsia" w:ascii="黑体" w:hAnsi="黑体" w:eastAsia="黑体"/>
          <w:sz w:val="32"/>
          <w:szCs w:val="32"/>
        </w:rPr>
        <w:t>第三部分 河南省南阳市高新技术产开发区</w:t>
      </w:r>
      <w:r>
        <w:rPr>
          <w:rFonts w:hint="eastAsia" w:ascii="黑体" w:hAnsi="黑体" w:eastAsia="黑体"/>
          <w:sz w:val="32"/>
          <w:szCs w:val="32"/>
          <w:lang w:eastAsia="zh-CN"/>
        </w:rPr>
        <w:t>监察分局</w:t>
      </w:r>
      <w:r>
        <w:rPr>
          <w:rFonts w:hint="eastAsia" w:ascii="黑体" w:hAnsi="黑体" w:eastAsia="黑体"/>
          <w:sz w:val="32"/>
          <w:szCs w:val="32"/>
        </w:rPr>
        <w:t xml:space="preserve">2016度部门决算情况说明 </w:t>
      </w:r>
    </w:p>
    <w:p>
      <w:pPr>
        <w:keepNext w:val="0"/>
        <w:keepLines w:val="0"/>
        <w:pageBreakBefore w:val="0"/>
        <w:widowControl w:val="0"/>
        <w:kinsoku w:val="0"/>
        <w:wordWrap/>
        <w:overflowPunct w:val="0"/>
        <w:topLinePunct w:val="0"/>
        <w:bidi w:val="0"/>
        <w:adjustRightInd w:val="0"/>
        <w:snapToGrid w:val="0"/>
        <w:spacing w:line="360" w:lineRule="auto"/>
        <w:ind w:left="101" w:firstLine="640"/>
        <w:textAlignment w:val="auto"/>
        <w:outlineLvl w:val="9"/>
        <w:rPr>
          <w:rFonts w:hint="eastAsia" w:ascii="黑体" w:hAnsi="黑体" w:eastAsia="黑体"/>
          <w:sz w:val="32"/>
          <w:szCs w:val="32"/>
        </w:rPr>
      </w:pPr>
      <w:r>
        <w:rPr>
          <w:rFonts w:hint="eastAsia" w:ascii="黑体" w:hAnsi="黑体" w:eastAsia="黑体"/>
          <w:sz w:val="32"/>
          <w:szCs w:val="32"/>
        </w:rPr>
        <w:t>第四部分 名词解释</w:t>
      </w:r>
    </w:p>
    <w:p>
      <w:pPr>
        <w:keepNext w:val="0"/>
        <w:keepLines w:val="0"/>
        <w:pageBreakBefore w:val="0"/>
        <w:widowControl w:val="0"/>
        <w:wordWrap/>
        <w:topLinePunct w:val="0"/>
        <w:bidi w:val="0"/>
        <w:adjustRightInd w:val="0"/>
        <w:snapToGrid w:val="0"/>
        <w:spacing w:line="360" w:lineRule="auto"/>
        <w:ind w:firstLine="0" w:firstLineChars="0"/>
        <w:jc w:val="center"/>
        <w:textAlignment w:val="auto"/>
        <w:outlineLvl w:val="9"/>
        <w:rPr>
          <w:rFonts w:hint="eastAsia" w:ascii="黑体" w:hAnsi="黑体" w:eastAsia="黑体"/>
          <w:sz w:val="36"/>
          <w:szCs w:val="36"/>
        </w:rPr>
      </w:pPr>
    </w:p>
    <w:p>
      <w:pPr>
        <w:keepNext w:val="0"/>
        <w:keepLines w:val="0"/>
        <w:pageBreakBefore w:val="0"/>
        <w:widowControl w:val="0"/>
        <w:wordWrap/>
        <w:topLinePunct w:val="0"/>
        <w:bidi w:val="0"/>
        <w:adjustRightInd w:val="0"/>
        <w:snapToGrid w:val="0"/>
        <w:spacing w:line="360" w:lineRule="auto"/>
        <w:ind w:firstLine="0" w:firstLineChars="0"/>
        <w:jc w:val="center"/>
        <w:textAlignment w:val="auto"/>
        <w:rPr>
          <w:rFonts w:ascii="黑体" w:hAnsi="黑体" w:eastAsia="黑体"/>
          <w:sz w:val="36"/>
          <w:szCs w:val="36"/>
        </w:rPr>
      </w:pPr>
      <w:r>
        <w:rPr>
          <w:rFonts w:hint="eastAsia" w:ascii="黑体" w:hAnsi="黑体" w:eastAsia="黑体"/>
          <w:sz w:val="36"/>
          <w:szCs w:val="36"/>
        </w:rPr>
        <w:t>2017年度河南省南阳市高新技术产开发区</w:t>
      </w:r>
      <w:r>
        <w:rPr>
          <w:rFonts w:hint="eastAsia" w:ascii="黑体" w:hAnsi="黑体" w:eastAsia="黑体"/>
          <w:sz w:val="36"/>
          <w:szCs w:val="36"/>
          <w:lang w:eastAsia="zh-CN"/>
        </w:rPr>
        <w:t>监察分局</w:t>
      </w:r>
      <w:r>
        <w:rPr>
          <w:rFonts w:hint="eastAsia" w:ascii="黑体" w:hAnsi="黑体" w:eastAsia="黑体"/>
          <w:sz w:val="36"/>
          <w:szCs w:val="36"/>
        </w:rPr>
        <w:t>决算公开说明</w:t>
      </w:r>
    </w:p>
    <w:p>
      <w:pPr>
        <w:keepNext w:val="0"/>
        <w:keepLines w:val="0"/>
        <w:pageBreakBefore w:val="0"/>
        <w:widowControl w:val="0"/>
        <w:wordWrap/>
        <w:topLinePunct w:val="0"/>
        <w:bidi w:val="0"/>
        <w:adjustRightInd w:val="0"/>
        <w:snapToGrid w:val="0"/>
        <w:spacing w:line="360" w:lineRule="auto"/>
        <w:ind w:firstLine="0" w:firstLineChars="0"/>
        <w:jc w:val="center"/>
        <w:textAlignment w:val="auto"/>
        <w:outlineLvl w:val="9"/>
        <w:rPr>
          <w:rFonts w:ascii="黑体" w:hAnsi="黑体" w:eastAsia="黑体"/>
          <w:sz w:val="36"/>
          <w:szCs w:val="36"/>
        </w:rPr>
      </w:pPr>
      <w:r>
        <w:rPr>
          <w:rFonts w:hint="eastAsia" w:ascii="黑体" w:hAnsi="黑体" w:eastAsia="黑体"/>
          <w:sz w:val="36"/>
          <w:szCs w:val="36"/>
        </w:rPr>
        <w:t>第一部分</w:t>
      </w:r>
    </w:p>
    <w:p>
      <w:pPr>
        <w:keepNext w:val="0"/>
        <w:keepLines w:val="0"/>
        <w:pageBreakBefore w:val="0"/>
        <w:widowControl w:val="0"/>
        <w:wordWrap/>
        <w:topLinePunct w:val="0"/>
        <w:bidi w:val="0"/>
        <w:adjustRightInd w:val="0"/>
        <w:snapToGrid w:val="0"/>
        <w:spacing w:line="360" w:lineRule="auto"/>
        <w:ind w:firstLine="0" w:firstLineChars="0"/>
        <w:jc w:val="center"/>
        <w:textAlignment w:val="auto"/>
        <w:outlineLvl w:val="9"/>
        <w:rPr>
          <w:rFonts w:ascii="黑体" w:hAnsi="黑体" w:eastAsia="黑体"/>
          <w:sz w:val="36"/>
          <w:szCs w:val="36"/>
        </w:rPr>
      </w:pPr>
      <w:r>
        <w:rPr>
          <w:rFonts w:hint="eastAsia" w:ascii="黑体" w:hAnsi="黑体" w:eastAsia="黑体"/>
          <w:sz w:val="36"/>
          <w:szCs w:val="36"/>
        </w:rPr>
        <w:t>河南省南阳市高新技术产开发区</w:t>
      </w:r>
      <w:r>
        <w:rPr>
          <w:rFonts w:hint="eastAsia" w:ascii="黑体" w:hAnsi="黑体" w:eastAsia="黑体"/>
          <w:sz w:val="36"/>
          <w:szCs w:val="36"/>
          <w:lang w:eastAsia="zh-CN"/>
        </w:rPr>
        <w:t>监察分局</w:t>
      </w:r>
      <w:r>
        <w:rPr>
          <w:rFonts w:hint="eastAsia" w:ascii="黑体" w:hAnsi="黑体" w:eastAsia="黑体"/>
          <w:sz w:val="36"/>
          <w:szCs w:val="36"/>
        </w:rPr>
        <w:t>概况</w:t>
      </w:r>
    </w:p>
    <w:p>
      <w:pPr>
        <w:keepNext w:val="0"/>
        <w:keepLines w:val="0"/>
        <w:pageBreakBefore w:val="0"/>
        <w:widowControl w:val="0"/>
        <w:wordWrap/>
        <w:topLinePunct w:val="0"/>
        <w:bidi w:val="0"/>
        <w:adjustRightInd w:val="0"/>
        <w:snapToGrid w:val="0"/>
        <w:spacing w:line="360" w:lineRule="auto"/>
        <w:ind w:firstLine="640"/>
        <w:textAlignment w:val="auto"/>
        <w:outlineLvl w:val="9"/>
        <w:rPr>
          <w:rFonts w:hint="eastAsia" w:ascii="黑体" w:hAnsi="黑体" w:eastAsia="黑体" w:cs="黑体"/>
          <w:sz w:val="32"/>
          <w:szCs w:val="32"/>
        </w:rPr>
      </w:pPr>
      <w:r>
        <w:rPr>
          <w:rFonts w:hint="eastAsia" w:ascii="黑体" w:hAnsi="黑体" w:eastAsia="黑体" w:cs="黑体"/>
          <w:sz w:val="32"/>
          <w:szCs w:val="32"/>
        </w:rPr>
        <w:t>一、河南省南阳市高新技术产开发区</w:t>
      </w:r>
      <w:r>
        <w:rPr>
          <w:rFonts w:hint="eastAsia" w:ascii="黑体" w:hAnsi="黑体" w:eastAsia="黑体" w:cs="黑体"/>
          <w:sz w:val="32"/>
          <w:szCs w:val="32"/>
          <w:lang w:eastAsia="zh-CN"/>
        </w:rPr>
        <w:t>监察分局</w:t>
      </w:r>
      <w:r>
        <w:rPr>
          <w:rFonts w:hint="eastAsia" w:ascii="黑体" w:hAnsi="黑体" w:eastAsia="黑体" w:cs="黑体"/>
          <w:sz w:val="32"/>
          <w:szCs w:val="32"/>
        </w:rPr>
        <w:t>主要职责</w:t>
      </w:r>
    </w:p>
    <w:p>
      <w:pPr>
        <w:keepNext w:val="0"/>
        <w:keepLines w:val="0"/>
        <w:pageBreakBefore w:val="0"/>
        <w:widowControl w:val="0"/>
        <w:wordWrap/>
        <w:topLinePunct w:val="0"/>
        <w:bidi w:val="0"/>
        <w:spacing w:line="360" w:lineRule="auto"/>
        <w:ind w:firstLine="640"/>
        <w:textAlignment w:val="auto"/>
        <w:outlineLvl w:val="9"/>
        <w:rPr>
          <w:rFonts w:hint="eastAsia" w:ascii="仿宋" w:hAnsi="仿宋" w:eastAsia="仿宋" w:cs="仿宋"/>
          <w:sz w:val="30"/>
          <w:szCs w:val="30"/>
        </w:rPr>
      </w:pPr>
      <w:r>
        <w:rPr>
          <w:rFonts w:hint="eastAsia" w:ascii="仿宋" w:hAnsi="仿宋" w:eastAsia="仿宋" w:cs="仿宋"/>
          <w:sz w:val="30"/>
          <w:szCs w:val="30"/>
        </w:rPr>
        <w:t>河南省南阳市高新技术产开发区</w:t>
      </w:r>
      <w:r>
        <w:rPr>
          <w:rFonts w:hint="eastAsia" w:ascii="仿宋" w:hAnsi="仿宋" w:eastAsia="仿宋" w:cs="仿宋"/>
          <w:sz w:val="30"/>
          <w:szCs w:val="30"/>
          <w:lang w:eastAsia="zh-CN"/>
        </w:rPr>
        <w:t>监察分局</w:t>
      </w:r>
      <w:r>
        <w:rPr>
          <w:rFonts w:hint="eastAsia" w:ascii="仿宋" w:hAnsi="仿宋" w:eastAsia="仿宋" w:cs="仿宋"/>
          <w:sz w:val="30"/>
          <w:szCs w:val="30"/>
        </w:rPr>
        <w:t>是正科级行政单位，经费实行全额预算管理，现有在职工作人员9人。</w:t>
      </w:r>
    </w:p>
    <w:p>
      <w:pPr>
        <w:keepNext w:val="0"/>
        <w:keepLines w:val="0"/>
        <w:pageBreakBefore w:val="0"/>
        <w:widowControl w:val="0"/>
        <w:wordWrap/>
        <w:topLinePunct w:val="0"/>
        <w:bidi w:val="0"/>
        <w:spacing w:line="360" w:lineRule="auto"/>
        <w:ind w:firstLine="450" w:firstLineChars="15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单位主要职责：负责全区行政监察工作；贯彻落实上级行政监察决定，监督检查工管委各部门及工作人员执行国家政策、法律法规、命令、决策及管委会各项决策的落实情况</w:t>
      </w:r>
      <w:r>
        <w:rPr>
          <w:rFonts w:hint="eastAsia" w:ascii="仿宋" w:hAnsi="仿宋" w:eastAsia="仿宋" w:cs="仿宋"/>
          <w:sz w:val="30"/>
          <w:szCs w:val="30"/>
          <w:lang w:eastAsia="zh-CN"/>
        </w:rPr>
        <w:t>；</w:t>
      </w:r>
      <w:r>
        <w:rPr>
          <w:rFonts w:hint="eastAsia" w:ascii="仿宋" w:hAnsi="仿宋" w:eastAsia="仿宋" w:cs="仿宋"/>
          <w:sz w:val="30"/>
          <w:szCs w:val="30"/>
        </w:rPr>
        <w:t>负责调查处理全区各工作部门领导人员和工作人员违反国家政策法律法规的行为，受理上述监察对象不服政纪处分的申诉，受理单位或个人对监察对象违法违纪行为的检举控告，受理投资者（含非公有制经济组织和个人）对党政机关及其工作人员的投诉</w:t>
      </w:r>
      <w:r>
        <w:rPr>
          <w:rFonts w:hint="eastAsia" w:ascii="仿宋" w:hAnsi="仿宋" w:eastAsia="仿宋" w:cs="仿宋"/>
          <w:sz w:val="30"/>
          <w:szCs w:val="30"/>
          <w:lang w:eastAsia="zh-CN"/>
        </w:rPr>
        <w:t>。</w:t>
      </w:r>
    </w:p>
    <w:p>
      <w:pPr>
        <w:keepNext w:val="0"/>
        <w:keepLines w:val="0"/>
        <w:pageBreakBefore w:val="0"/>
        <w:widowControl w:val="0"/>
        <w:wordWrap/>
        <w:topLinePunct w:val="0"/>
        <w:bidi w:val="0"/>
        <w:spacing w:line="360" w:lineRule="auto"/>
        <w:ind w:firstLine="450" w:firstLineChars="150"/>
        <w:textAlignment w:val="auto"/>
        <w:outlineLvl w:val="9"/>
        <w:rPr>
          <w:rFonts w:hint="eastAsia" w:ascii="仿宋" w:hAnsi="仿宋" w:eastAsia="仿宋" w:cs="仿宋"/>
          <w:sz w:val="30"/>
          <w:szCs w:val="30"/>
        </w:rPr>
      </w:pPr>
      <w:r>
        <w:rPr>
          <w:rFonts w:hint="eastAsia" w:ascii="仿宋" w:hAnsi="仿宋" w:eastAsia="仿宋" w:cs="仿宋"/>
          <w:sz w:val="30"/>
          <w:szCs w:val="30"/>
        </w:rPr>
        <w:t>负责党风廉政宣教工作，负责违法违纪案件的查办工作；贯彻执行国家审计工作的方针政策，依照《中华人民共和国审计法》，《审计署关于内部审计工作的规定》开展本区域内审计工作，并将审计结果向管委会汇报；承担上级审计机关授予的审计事项，组织实施对内部审计工作的指导和监督，对社会审计机构出具的相关审计报告进行审核；承办区工管委及市纪委、监察局、审计局交办的其他工作。</w:t>
      </w:r>
    </w:p>
    <w:p>
      <w:pPr>
        <w:keepNext w:val="0"/>
        <w:keepLines w:val="0"/>
        <w:pageBreakBefore w:val="0"/>
        <w:widowControl w:val="0"/>
        <w:wordWrap/>
        <w:topLinePunct w:val="0"/>
        <w:bidi w:val="0"/>
        <w:adjustRightInd w:val="0"/>
        <w:snapToGrid w:val="0"/>
        <w:spacing w:line="360" w:lineRule="auto"/>
        <w:ind w:firstLine="640"/>
        <w:textAlignment w:val="auto"/>
        <w:outlineLvl w:val="9"/>
        <w:rPr>
          <w:rFonts w:hint="eastAsia" w:ascii="黑体" w:hAnsi="黑体" w:eastAsia="黑体" w:cs="黑体"/>
          <w:sz w:val="32"/>
          <w:szCs w:val="32"/>
        </w:rPr>
      </w:pPr>
      <w:r>
        <w:rPr>
          <w:rFonts w:hint="eastAsia" w:ascii="黑体" w:hAnsi="黑体" w:eastAsia="黑体" w:cs="黑体"/>
          <w:sz w:val="32"/>
          <w:szCs w:val="32"/>
        </w:rPr>
        <w:t>二、河南省南阳市高新技术产开发区</w:t>
      </w:r>
      <w:r>
        <w:rPr>
          <w:rFonts w:hint="eastAsia" w:ascii="黑体" w:hAnsi="黑体" w:eastAsia="黑体" w:cs="黑体"/>
          <w:sz w:val="32"/>
          <w:szCs w:val="32"/>
          <w:lang w:eastAsia="zh-CN"/>
        </w:rPr>
        <w:t>监察分局</w:t>
      </w:r>
      <w:r>
        <w:rPr>
          <w:rFonts w:hint="eastAsia" w:ascii="黑体" w:hAnsi="黑体" w:eastAsia="黑体" w:cs="黑体"/>
          <w:sz w:val="32"/>
          <w:szCs w:val="32"/>
        </w:rPr>
        <w:t>决算单位构成</w:t>
      </w:r>
    </w:p>
    <w:p>
      <w:pPr>
        <w:pStyle w:val="2"/>
        <w:keepNext w:val="0"/>
        <w:keepLines w:val="0"/>
        <w:pageBreakBefore w:val="0"/>
        <w:widowControl w:val="0"/>
        <w:kinsoku w:val="0"/>
        <w:wordWrap/>
        <w:overflowPunct w:val="0"/>
        <w:topLinePunct w:val="0"/>
        <w:bidi w:val="0"/>
        <w:snapToGrid w:val="0"/>
        <w:spacing w:line="360" w:lineRule="auto"/>
        <w:ind w:left="121" w:right="118" w:firstLine="360"/>
        <w:textAlignment w:val="auto"/>
        <w:outlineLvl w:val="9"/>
        <w:rPr>
          <w:rFonts w:hint="eastAsia" w:ascii="仿宋" w:hAnsi="仿宋" w:eastAsia="仿宋" w:cs="仿宋"/>
          <w:spacing w:val="-1"/>
          <w:sz w:val="30"/>
          <w:szCs w:val="30"/>
        </w:rPr>
      </w:pPr>
      <w:r>
        <w:rPr>
          <w:rFonts w:hint="eastAsia" w:ascii="仿宋" w:hAnsi="仿宋" w:eastAsia="仿宋" w:cs="仿宋"/>
          <w:sz w:val="30"/>
          <w:szCs w:val="30"/>
        </w:rPr>
        <w:t>河南省南阳市高新技术产开发区</w:t>
      </w:r>
      <w:r>
        <w:rPr>
          <w:rFonts w:hint="eastAsia" w:ascii="仿宋" w:hAnsi="仿宋" w:eastAsia="仿宋" w:cs="仿宋"/>
          <w:sz w:val="30"/>
          <w:szCs w:val="30"/>
          <w:lang w:eastAsia="zh-CN"/>
        </w:rPr>
        <w:t>监察分局</w:t>
      </w:r>
      <w:r>
        <w:rPr>
          <w:rFonts w:hint="eastAsia" w:ascii="仿宋" w:hAnsi="仿宋" w:eastAsia="仿宋" w:cs="仿宋"/>
          <w:sz w:val="30"/>
          <w:szCs w:val="30"/>
        </w:rPr>
        <w:t>决算包括局机关本</w:t>
      </w:r>
      <w:r>
        <w:rPr>
          <w:rFonts w:hint="eastAsia" w:ascii="仿宋" w:hAnsi="仿宋" w:eastAsia="仿宋" w:cs="仿宋"/>
          <w:spacing w:val="2"/>
          <w:sz w:val="30"/>
          <w:szCs w:val="30"/>
        </w:rPr>
        <w:t>级</w:t>
      </w:r>
      <w:r>
        <w:rPr>
          <w:rFonts w:hint="eastAsia" w:ascii="仿宋" w:hAnsi="仿宋" w:eastAsia="仿宋" w:cs="仿宋"/>
          <w:spacing w:val="-1"/>
          <w:sz w:val="30"/>
          <w:szCs w:val="30"/>
        </w:rPr>
        <w:t>决算。</w:t>
      </w:r>
    </w:p>
    <w:p>
      <w:pPr>
        <w:keepNext w:val="0"/>
        <w:keepLines w:val="0"/>
        <w:pageBreakBefore w:val="0"/>
        <w:widowControl w:val="0"/>
        <w:wordWrap/>
        <w:topLinePunct w:val="0"/>
        <w:bidi w:val="0"/>
        <w:adjustRightInd w:val="0"/>
        <w:snapToGrid w:val="0"/>
        <w:spacing w:line="360" w:lineRule="auto"/>
        <w:ind w:firstLine="0" w:firstLineChars="0"/>
        <w:jc w:val="center"/>
        <w:textAlignment w:val="auto"/>
        <w:outlineLvl w:val="9"/>
        <w:rPr>
          <w:rFonts w:hint="eastAsia" w:ascii="黑体" w:hAnsi="黑体" w:eastAsia="黑体"/>
          <w:sz w:val="36"/>
          <w:szCs w:val="36"/>
        </w:rPr>
      </w:pPr>
    </w:p>
    <w:p>
      <w:pPr>
        <w:keepNext w:val="0"/>
        <w:keepLines w:val="0"/>
        <w:pageBreakBefore w:val="0"/>
        <w:widowControl w:val="0"/>
        <w:wordWrap/>
        <w:topLinePunct w:val="0"/>
        <w:bidi w:val="0"/>
        <w:adjustRightInd w:val="0"/>
        <w:snapToGrid w:val="0"/>
        <w:spacing w:line="360" w:lineRule="auto"/>
        <w:ind w:firstLine="0" w:firstLineChars="0"/>
        <w:jc w:val="center"/>
        <w:textAlignment w:val="auto"/>
        <w:outlineLvl w:val="9"/>
        <w:rPr>
          <w:rFonts w:hint="eastAsia" w:ascii="黑体" w:hAnsi="黑体" w:eastAsia="黑体"/>
          <w:sz w:val="36"/>
          <w:szCs w:val="36"/>
        </w:rPr>
      </w:pPr>
      <w:r>
        <w:rPr>
          <w:rFonts w:hint="eastAsia" w:ascii="黑体" w:hAnsi="黑体" w:eastAsia="黑体"/>
          <w:sz w:val="36"/>
          <w:szCs w:val="36"/>
        </w:rPr>
        <w:t>第二部分</w:t>
      </w:r>
    </w:p>
    <w:p>
      <w:pPr>
        <w:keepNext w:val="0"/>
        <w:keepLines w:val="0"/>
        <w:pageBreakBefore w:val="0"/>
        <w:widowControl w:val="0"/>
        <w:wordWrap/>
        <w:topLinePunct w:val="0"/>
        <w:bidi w:val="0"/>
        <w:adjustRightInd w:val="0"/>
        <w:snapToGrid w:val="0"/>
        <w:spacing w:line="360" w:lineRule="auto"/>
        <w:ind w:firstLine="0" w:firstLineChars="0"/>
        <w:jc w:val="center"/>
        <w:textAlignment w:val="auto"/>
        <w:outlineLvl w:val="9"/>
        <w:rPr>
          <w:rFonts w:hint="eastAsia" w:ascii="黑体" w:hAnsi="黑体" w:eastAsia="黑体"/>
          <w:sz w:val="36"/>
          <w:szCs w:val="36"/>
        </w:rPr>
      </w:pPr>
      <w:r>
        <w:rPr>
          <w:rFonts w:hint="eastAsia" w:ascii="黑体" w:hAnsi="黑体" w:eastAsia="黑体"/>
          <w:sz w:val="36"/>
          <w:szCs w:val="36"/>
        </w:rPr>
        <w:t>河南省南阳市高新技术产开发区</w:t>
      </w:r>
      <w:r>
        <w:rPr>
          <w:rFonts w:hint="eastAsia" w:ascii="黑体" w:hAnsi="黑体" w:eastAsia="黑体"/>
          <w:sz w:val="36"/>
          <w:szCs w:val="36"/>
          <w:lang w:eastAsia="zh-CN"/>
        </w:rPr>
        <w:t>监察分局</w:t>
      </w:r>
      <w:r>
        <w:rPr>
          <w:rFonts w:hint="eastAsia" w:ascii="黑体" w:hAnsi="黑体" w:eastAsia="黑体"/>
          <w:sz w:val="36"/>
          <w:szCs w:val="36"/>
        </w:rPr>
        <w:t>2016年度部门决算表</w:t>
      </w:r>
    </w:p>
    <w:p>
      <w:pPr>
        <w:keepNext w:val="0"/>
        <w:keepLines w:val="0"/>
        <w:pageBreakBefore w:val="0"/>
        <w:widowControl w:val="0"/>
        <w:wordWrap/>
        <w:topLinePunct w:val="0"/>
        <w:bidi w:val="0"/>
        <w:adjustRightInd w:val="0"/>
        <w:snapToGrid w:val="0"/>
        <w:spacing w:line="360" w:lineRule="auto"/>
        <w:ind w:firstLine="0" w:firstLineChars="0"/>
        <w:jc w:val="center"/>
        <w:textAlignment w:val="auto"/>
        <w:outlineLvl w:val="9"/>
        <w:rPr>
          <w:rFonts w:hint="eastAsia" w:ascii="黑体" w:hAnsi="黑体" w:eastAsia="黑体"/>
          <w:sz w:val="36"/>
          <w:szCs w:val="36"/>
        </w:rPr>
      </w:pPr>
      <w:r>
        <w:rPr>
          <w:rFonts w:hint="eastAsia" w:ascii="黑体" w:hAnsi="黑体" w:eastAsia="黑体"/>
          <w:sz w:val="36"/>
          <w:szCs w:val="36"/>
        </w:rPr>
        <w:t>见附件</w:t>
      </w:r>
    </w:p>
    <w:p>
      <w:pPr>
        <w:keepNext w:val="0"/>
        <w:keepLines w:val="0"/>
        <w:pageBreakBefore w:val="0"/>
        <w:widowControl w:val="0"/>
        <w:wordWrap/>
        <w:topLinePunct w:val="0"/>
        <w:bidi w:val="0"/>
        <w:adjustRightInd w:val="0"/>
        <w:snapToGrid w:val="0"/>
        <w:spacing w:line="360" w:lineRule="auto"/>
        <w:ind w:firstLine="0" w:firstLineChars="0"/>
        <w:jc w:val="center"/>
        <w:textAlignment w:val="auto"/>
        <w:outlineLvl w:val="9"/>
        <w:rPr>
          <w:rFonts w:hint="eastAsia" w:ascii="黑体" w:hAnsi="黑体" w:eastAsia="黑体"/>
          <w:sz w:val="36"/>
          <w:szCs w:val="36"/>
        </w:rPr>
      </w:pPr>
      <w:r>
        <w:rPr>
          <w:rFonts w:hint="eastAsia" w:ascii="黑体" w:hAnsi="黑体" w:eastAsia="黑体"/>
          <w:sz w:val="36"/>
          <w:szCs w:val="36"/>
        </w:rPr>
        <w:t>第三部分</w:t>
      </w:r>
    </w:p>
    <w:p>
      <w:pPr>
        <w:keepNext w:val="0"/>
        <w:keepLines w:val="0"/>
        <w:pageBreakBefore w:val="0"/>
        <w:widowControl w:val="0"/>
        <w:wordWrap/>
        <w:topLinePunct w:val="0"/>
        <w:bidi w:val="0"/>
        <w:adjustRightInd w:val="0"/>
        <w:snapToGrid w:val="0"/>
        <w:spacing w:line="360" w:lineRule="auto"/>
        <w:ind w:firstLine="0" w:firstLineChars="0"/>
        <w:jc w:val="center"/>
        <w:textAlignment w:val="auto"/>
        <w:outlineLvl w:val="9"/>
        <w:rPr>
          <w:rFonts w:hint="eastAsia" w:ascii="黑体" w:hAnsi="黑体" w:eastAsia="黑体"/>
          <w:sz w:val="36"/>
          <w:szCs w:val="36"/>
        </w:rPr>
      </w:pPr>
      <w:r>
        <w:rPr>
          <w:rFonts w:hint="eastAsia" w:ascii="黑体" w:hAnsi="黑体" w:eastAsia="黑体"/>
          <w:sz w:val="36"/>
          <w:szCs w:val="36"/>
        </w:rPr>
        <w:t>2017年度部门决算情况说明</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一、关于收入支出决算总体情况说明</w:t>
      </w:r>
    </w:p>
    <w:p>
      <w:pPr>
        <w:keepNext w:val="0"/>
        <w:keepLines w:val="0"/>
        <w:pageBreakBefore w:val="0"/>
        <w:widowControl w:val="0"/>
        <w:wordWrap/>
        <w:topLinePunct w:val="0"/>
        <w:autoSpaceDE w:val="0"/>
        <w:autoSpaceDN w:val="0"/>
        <w:bidi w:val="0"/>
        <w:adjustRightInd w:val="0"/>
        <w:spacing w:line="360" w:lineRule="auto"/>
        <w:jc w:val="left"/>
        <w:textAlignment w:val="auto"/>
        <w:outlineLvl w:val="9"/>
        <w:rPr>
          <w:rFonts w:ascii="仿宋" w:hAnsi="Times New Roman" w:eastAsia="仿宋" w:cs="仿宋"/>
          <w:sz w:val="32"/>
          <w:szCs w:val="32"/>
        </w:rPr>
      </w:pPr>
      <w:r>
        <w:rPr>
          <w:rFonts w:ascii="仿宋" w:hAnsi="Times New Roman" w:eastAsia="仿宋" w:cs="仿宋"/>
          <w:sz w:val="32"/>
          <w:szCs w:val="32"/>
        </w:rPr>
        <w:t xml:space="preserve">     2017</w:t>
      </w:r>
      <w:r>
        <w:rPr>
          <w:rFonts w:hint="eastAsia" w:ascii="仿宋" w:hAnsi="Times New Roman" w:eastAsia="仿宋" w:cs="仿宋"/>
          <w:sz w:val="32"/>
          <w:szCs w:val="32"/>
        </w:rPr>
        <w:t>年度收、支总计均为</w:t>
      </w:r>
      <w:r>
        <w:rPr>
          <w:rFonts w:ascii="仿宋" w:hAnsi="Times New Roman" w:eastAsia="仿宋" w:cs="仿宋"/>
          <w:sz w:val="32"/>
          <w:szCs w:val="32"/>
        </w:rPr>
        <w:t>727.03</w:t>
      </w:r>
      <w:r>
        <w:rPr>
          <w:rFonts w:hint="eastAsia" w:ascii="仿宋" w:hAnsi="Times New Roman" w:eastAsia="仿宋" w:cs="仿宋"/>
          <w:sz w:val="32"/>
          <w:szCs w:val="32"/>
        </w:rPr>
        <w:t>万元。与</w:t>
      </w:r>
      <w:r>
        <w:rPr>
          <w:rFonts w:ascii="仿宋" w:hAnsi="Times New Roman" w:eastAsia="仿宋" w:cs="仿宋"/>
          <w:sz w:val="32"/>
          <w:szCs w:val="32"/>
        </w:rPr>
        <w:t>2016</w:t>
      </w:r>
      <w:r>
        <w:rPr>
          <w:rFonts w:hint="eastAsia" w:ascii="仿宋" w:hAnsi="Times New Roman" w:eastAsia="仿宋" w:cs="仿宋"/>
          <w:sz w:val="32"/>
          <w:szCs w:val="32"/>
        </w:rPr>
        <w:t>年相比，收、支总计各增加</w:t>
      </w:r>
      <w:r>
        <w:rPr>
          <w:rFonts w:ascii="仿宋" w:hAnsi="Times New Roman" w:eastAsia="仿宋" w:cs="仿宋"/>
          <w:sz w:val="32"/>
          <w:szCs w:val="32"/>
        </w:rPr>
        <w:t>284.62</w:t>
      </w:r>
      <w:r>
        <w:rPr>
          <w:rFonts w:hint="eastAsia" w:ascii="仿宋" w:hAnsi="Times New Roman" w:eastAsia="仿宋" w:cs="仿宋"/>
          <w:sz w:val="32"/>
          <w:szCs w:val="32"/>
        </w:rPr>
        <w:t>万元，增长</w:t>
      </w:r>
      <w:r>
        <w:rPr>
          <w:rFonts w:ascii="仿宋" w:hAnsi="Times New Roman" w:eastAsia="仿宋" w:cs="仿宋"/>
          <w:sz w:val="32"/>
          <w:szCs w:val="32"/>
        </w:rPr>
        <w:t>64.34%</w:t>
      </w:r>
      <w:r>
        <w:rPr>
          <w:rFonts w:hint="eastAsia" w:ascii="仿宋" w:hAnsi="Times New Roman" w:eastAsia="仿宋" w:cs="仿宋"/>
          <w:sz w:val="32"/>
          <w:szCs w:val="32"/>
        </w:rPr>
        <w:t>。主要原因是</w:t>
      </w:r>
      <w:r>
        <w:rPr>
          <w:rFonts w:hint="eastAsia" w:ascii="仿宋" w:hAnsi="Times New Roman" w:eastAsia="仿宋" w:cs="仿宋"/>
          <w:sz w:val="32"/>
          <w:szCs w:val="32"/>
          <w:lang w:eastAsia="zh-CN"/>
        </w:rPr>
        <w:t>办案点维修建设开支增加</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二、关于收入决算情况说明</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年度收入合计</w:t>
      </w:r>
      <w:r>
        <w:rPr>
          <w:rFonts w:ascii="仿宋" w:hAnsi="Times New Roman" w:eastAsia="仿宋" w:cs="仿宋"/>
          <w:sz w:val="32"/>
          <w:szCs w:val="32"/>
        </w:rPr>
        <w:t>511.51</w:t>
      </w:r>
      <w:r>
        <w:rPr>
          <w:rFonts w:hint="eastAsia" w:ascii="仿宋" w:hAnsi="Times New Roman" w:eastAsia="仿宋" w:cs="仿宋"/>
          <w:sz w:val="32"/>
          <w:szCs w:val="32"/>
        </w:rPr>
        <w:t>万元，其中：财政拨款收入</w:t>
      </w:r>
      <w:r>
        <w:rPr>
          <w:rFonts w:ascii="仿宋" w:hAnsi="Times New Roman" w:eastAsia="仿宋" w:cs="仿宋"/>
          <w:sz w:val="32"/>
          <w:szCs w:val="32"/>
        </w:rPr>
        <w:t>509.51</w:t>
      </w:r>
      <w:r>
        <w:rPr>
          <w:rFonts w:hint="eastAsia" w:ascii="仿宋" w:hAnsi="Times New Roman" w:eastAsia="仿宋" w:cs="仿宋"/>
          <w:sz w:val="32"/>
          <w:szCs w:val="32"/>
        </w:rPr>
        <w:t>万元，占</w:t>
      </w:r>
      <w:r>
        <w:rPr>
          <w:rFonts w:ascii="仿宋" w:hAnsi="Times New Roman" w:eastAsia="仿宋" w:cs="仿宋"/>
          <w:sz w:val="32"/>
          <w:szCs w:val="32"/>
        </w:rPr>
        <w:t>99.61%</w:t>
      </w:r>
      <w:r>
        <w:rPr>
          <w:rFonts w:hint="eastAsia" w:ascii="仿宋" w:hAnsi="Times New Roman" w:eastAsia="仿宋" w:cs="仿宋"/>
          <w:sz w:val="32"/>
          <w:szCs w:val="32"/>
        </w:rPr>
        <w:t>；上级补助收入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；事业收入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；经营收入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；附属单位上缴收入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；其他收入</w:t>
      </w:r>
      <w:r>
        <w:rPr>
          <w:rFonts w:ascii="仿宋" w:hAnsi="Times New Roman" w:eastAsia="仿宋" w:cs="仿宋"/>
          <w:sz w:val="32"/>
          <w:szCs w:val="32"/>
        </w:rPr>
        <w:t>2</w:t>
      </w:r>
      <w:r>
        <w:rPr>
          <w:rFonts w:hint="eastAsia" w:ascii="仿宋" w:hAnsi="Times New Roman" w:eastAsia="仿宋" w:cs="仿宋"/>
          <w:sz w:val="32"/>
          <w:szCs w:val="32"/>
        </w:rPr>
        <w:t>万元，占</w:t>
      </w:r>
      <w:r>
        <w:rPr>
          <w:rFonts w:ascii="仿宋" w:hAnsi="Times New Roman" w:eastAsia="仿宋" w:cs="仿宋"/>
          <w:sz w:val="32"/>
          <w:szCs w:val="32"/>
        </w:rPr>
        <w:t>0.39%</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三、关于支出决算情况说明</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年度支出合计</w:t>
      </w:r>
      <w:r>
        <w:rPr>
          <w:rFonts w:ascii="仿宋" w:hAnsi="Times New Roman" w:eastAsia="仿宋" w:cs="仿宋"/>
          <w:sz w:val="32"/>
          <w:szCs w:val="32"/>
        </w:rPr>
        <w:t>482.26</w:t>
      </w:r>
      <w:r>
        <w:rPr>
          <w:rFonts w:hint="eastAsia" w:ascii="仿宋" w:hAnsi="Times New Roman" w:eastAsia="仿宋" w:cs="仿宋"/>
          <w:sz w:val="32"/>
          <w:szCs w:val="32"/>
        </w:rPr>
        <w:t>万元，其中：基本支出</w:t>
      </w:r>
      <w:r>
        <w:rPr>
          <w:rFonts w:ascii="仿宋" w:hAnsi="Times New Roman" w:eastAsia="仿宋" w:cs="仿宋"/>
          <w:sz w:val="32"/>
          <w:szCs w:val="32"/>
        </w:rPr>
        <w:t>117.32</w:t>
      </w:r>
      <w:r>
        <w:rPr>
          <w:rFonts w:hint="eastAsia" w:ascii="仿宋" w:hAnsi="Times New Roman" w:eastAsia="仿宋" w:cs="仿宋"/>
          <w:sz w:val="32"/>
          <w:szCs w:val="32"/>
        </w:rPr>
        <w:t>万元，占</w:t>
      </w:r>
      <w:r>
        <w:rPr>
          <w:rFonts w:ascii="仿宋" w:hAnsi="Times New Roman" w:eastAsia="仿宋" w:cs="仿宋"/>
          <w:sz w:val="32"/>
          <w:szCs w:val="32"/>
        </w:rPr>
        <w:t>24.33%</w:t>
      </w:r>
      <w:r>
        <w:rPr>
          <w:rFonts w:hint="eastAsia" w:ascii="仿宋" w:hAnsi="Times New Roman" w:eastAsia="仿宋" w:cs="仿宋"/>
          <w:sz w:val="32"/>
          <w:szCs w:val="32"/>
        </w:rPr>
        <w:t>；项目支出</w:t>
      </w:r>
      <w:r>
        <w:rPr>
          <w:rFonts w:ascii="仿宋" w:hAnsi="Times New Roman" w:eastAsia="仿宋" w:cs="仿宋"/>
          <w:sz w:val="32"/>
          <w:szCs w:val="32"/>
        </w:rPr>
        <w:t>364.94</w:t>
      </w:r>
      <w:r>
        <w:rPr>
          <w:rFonts w:hint="eastAsia" w:ascii="仿宋" w:hAnsi="Times New Roman" w:eastAsia="仿宋" w:cs="仿宋"/>
          <w:sz w:val="32"/>
          <w:szCs w:val="32"/>
        </w:rPr>
        <w:t>万元，占</w:t>
      </w:r>
      <w:r>
        <w:rPr>
          <w:rFonts w:ascii="仿宋" w:hAnsi="Times New Roman" w:eastAsia="仿宋" w:cs="仿宋"/>
          <w:sz w:val="32"/>
          <w:szCs w:val="32"/>
        </w:rPr>
        <w:t>75.67%</w:t>
      </w:r>
      <w:r>
        <w:rPr>
          <w:rFonts w:hint="eastAsia" w:ascii="仿宋" w:hAnsi="Times New Roman" w:eastAsia="仿宋" w:cs="仿宋"/>
          <w:sz w:val="32"/>
          <w:szCs w:val="32"/>
        </w:rPr>
        <w:t>；上缴上级支出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；经营支出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；对附属单位支出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四、关于财政拨款收入支出决算总体情况说明</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年财政拨款收、支总计均为</w:t>
      </w:r>
      <w:r>
        <w:rPr>
          <w:rFonts w:ascii="仿宋" w:hAnsi="Times New Roman" w:eastAsia="仿宋" w:cs="仿宋"/>
          <w:sz w:val="32"/>
          <w:szCs w:val="32"/>
        </w:rPr>
        <w:t>725.03</w:t>
      </w:r>
      <w:r>
        <w:rPr>
          <w:rFonts w:hint="eastAsia" w:ascii="仿宋" w:hAnsi="Times New Roman" w:eastAsia="仿宋" w:cs="仿宋"/>
          <w:sz w:val="32"/>
          <w:szCs w:val="32"/>
        </w:rPr>
        <w:t>万元。与</w:t>
      </w:r>
      <w:r>
        <w:rPr>
          <w:rFonts w:ascii="仿宋" w:hAnsi="Times New Roman" w:eastAsia="仿宋" w:cs="仿宋"/>
          <w:sz w:val="32"/>
          <w:szCs w:val="32"/>
        </w:rPr>
        <w:t>2016</w:t>
      </w:r>
      <w:r>
        <w:rPr>
          <w:rFonts w:hint="eastAsia" w:ascii="仿宋" w:hAnsi="Times New Roman" w:eastAsia="仿宋" w:cs="仿宋"/>
          <w:sz w:val="32"/>
          <w:szCs w:val="32"/>
        </w:rPr>
        <w:t>年相比，财政拨款收、支总计各增加</w:t>
      </w:r>
      <w:r>
        <w:rPr>
          <w:rFonts w:ascii="仿宋" w:hAnsi="Times New Roman" w:eastAsia="仿宋" w:cs="仿宋"/>
          <w:sz w:val="32"/>
          <w:szCs w:val="32"/>
        </w:rPr>
        <w:t>282.62</w:t>
      </w:r>
      <w:r>
        <w:rPr>
          <w:rFonts w:hint="eastAsia" w:ascii="仿宋" w:hAnsi="Times New Roman" w:eastAsia="仿宋" w:cs="仿宋"/>
          <w:sz w:val="32"/>
          <w:szCs w:val="32"/>
        </w:rPr>
        <w:t>万元，增长</w:t>
      </w:r>
      <w:r>
        <w:rPr>
          <w:rFonts w:ascii="仿宋" w:hAnsi="Times New Roman" w:eastAsia="仿宋" w:cs="仿宋"/>
          <w:sz w:val="32"/>
          <w:szCs w:val="32"/>
        </w:rPr>
        <w:t>63.88%</w:t>
      </w:r>
      <w:r>
        <w:rPr>
          <w:rFonts w:hint="eastAsia" w:ascii="仿宋" w:hAnsi="Times New Roman" w:eastAsia="仿宋" w:cs="仿宋"/>
          <w:sz w:val="32"/>
          <w:szCs w:val="32"/>
        </w:rPr>
        <w:t>。主要原因是</w:t>
      </w:r>
      <w:r>
        <w:rPr>
          <w:rFonts w:hint="eastAsia" w:ascii="仿宋" w:hAnsi="Times New Roman" w:eastAsia="仿宋" w:cs="仿宋"/>
          <w:sz w:val="32"/>
          <w:szCs w:val="32"/>
          <w:lang w:eastAsia="zh-CN"/>
        </w:rPr>
        <w:t>办案点维修建设开支增加</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五、关于一般公共预算财政拨款支出决算情况说明</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（一）总体情况。</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hint="eastAsia"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年一般公共预算财政拨款支出</w:t>
      </w:r>
      <w:r>
        <w:rPr>
          <w:rFonts w:ascii="仿宋" w:hAnsi="Times New Roman" w:eastAsia="仿宋" w:cs="仿宋"/>
          <w:sz w:val="32"/>
          <w:szCs w:val="32"/>
        </w:rPr>
        <w:t>482.26</w:t>
      </w:r>
      <w:r>
        <w:rPr>
          <w:rFonts w:hint="eastAsia" w:ascii="仿宋" w:hAnsi="Times New Roman" w:eastAsia="仿宋" w:cs="仿宋"/>
          <w:sz w:val="32"/>
          <w:szCs w:val="32"/>
        </w:rPr>
        <w:t>万元，占支出合计的</w:t>
      </w:r>
      <w:r>
        <w:rPr>
          <w:rFonts w:ascii="仿宋" w:hAnsi="Times New Roman" w:eastAsia="仿宋" w:cs="仿宋"/>
          <w:sz w:val="32"/>
          <w:szCs w:val="32"/>
        </w:rPr>
        <w:t>100%</w:t>
      </w:r>
      <w:r>
        <w:rPr>
          <w:rFonts w:hint="eastAsia" w:ascii="仿宋" w:hAnsi="Times New Roman" w:eastAsia="仿宋" w:cs="仿宋"/>
          <w:sz w:val="32"/>
          <w:szCs w:val="32"/>
        </w:rPr>
        <w:t>。与</w:t>
      </w:r>
      <w:r>
        <w:rPr>
          <w:rFonts w:ascii="仿宋" w:hAnsi="Times New Roman" w:eastAsia="仿宋" w:cs="仿宋"/>
          <w:sz w:val="32"/>
          <w:szCs w:val="32"/>
        </w:rPr>
        <w:t>2016</w:t>
      </w:r>
      <w:r>
        <w:rPr>
          <w:rFonts w:hint="eastAsia" w:ascii="仿宋" w:hAnsi="Times New Roman" w:eastAsia="仿宋" w:cs="仿宋"/>
          <w:sz w:val="32"/>
          <w:szCs w:val="32"/>
        </w:rPr>
        <w:t>年相比，一般公共预算财政拨款支出增加</w:t>
      </w:r>
      <w:r>
        <w:rPr>
          <w:rFonts w:ascii="仿宋" w:hAnsi="Times New Roman" w:eastAsia="仿宋" w:cs="仿宋"/>
          <w:sz w:val="32"/>
          <w:szCs w:val="32"/>
        </w:rPr>
        <w:t>155.68</w:t>
      </w:r>
      <w:r>
        <w:rPr>
          <w:rFonts w:hint="eastAsia" w:ascii="仿宋" w:hAnsi="Times New Roman" w:eastAsia="仿宋" w:cs="仿宋"/>
          <w:sz w:val="32"/>
          <w:szCs w:val="32"/>
        </w:rPr>
        <w:t>万元，增长</w:t>
      </w:r>
      <w:r>
        <w:rPr>
          <w:rFonts w:ascii="仿宋" w:hAnsi="Times New Roman" w:eastAsia="仿宋" w:cs="仿宋"/>
          <w:sz w:val="32"/>
          <w:szCs w:val="32"/>
        </w:rPr>
        <w:t>47.67%</w:t>
      </w:r>
      <w:r>
        <w:rPr>
          <w:rFonts w:hint="eastAsia" w:ascii="仿宋" w:hAnsi="Times New Roman" w:eastAsia="仿宋" w:cs="仿宋"/>
          <w:sz w:val="32"/>
          <w:szCs w:val="32"/>
        </w:rPr>
        <w:t>。变动的主要原因是</w:t>
      </w:r>
      <w:r>
        <w:rPr>
          <w:rFonts w:hint="eastAsia" w:ascii="仿宋" w:hAnsi="Times New Roman" w:eastAsia="仿宋" w:cs="仿宋"/>
          <w:sz w:val="32"/>
          <w:szCs w:val="32"/>
          <w:lang w:eastAsia="zh-CN"/>
        </w:rPr>
        <w:t>办案点维修开支增加，纪检监察人员外出培训学校支出增加</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（二）结构情况。</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年度一般公共预算财政拨款支出</w:t>
      </w:r>
      <w:r>
        <w:rPr>
          <w:rFonts w:ascii="仿宋" w:hAnsi="Times New Roman" w:eastAsia="仿宋" w:cs="仿宋"/>
          <w:sz w:val="32"/>
          <w:szCs w:val="32"/>
        </w:rPr>
        <w:t>482.26</w:t>
      </w:r>
      <w:r>
        <w:rPr>
          <w:rFonts w:hint="eastAsia" w:ascii="仿宋" w:hAnsi="Times New Roman" w:eastAsia="仿宋" w:cs="仿宋"/>
          <w:sz w:val="32"/>
          <w:szCs w:val="32"/>
        </w:rPr>
        <w:t>万元，主要用于以下方面：一般公共服务（类）支出</w:t>
      </w:r>
      <w:r>
        <w:rPr>
          <w:rFonts w:ascii="仿宋" w:hAnsi="Times New Roman" w:eastAsia="仿宋" w:cs="仿宋"/>
          <w:sz w:val="32"/>
          <w:szCs w:val="32"/>
        </w:rPr>
        <w:t>482.26</w:t>
      </w:r>
      <w:r>
        <w:rPr>
          <w:rFonts w:hint="eastAsia" w:ascii="仿宋" w:hAnsi="Times New Roman" w:eastAsia="仿宋" w:cs="仿宋"/>
          <w:sz w:val="32"/>
          <w:szCs w:val="32"/>
        </w:rPr>
        <w:t>万元，占</w:t>
      </w:r>
      <w:r>
        <w:rPr>
          <w:rFonts w:ascii="仿宋" w:hAnsi="Times New Roman" w:eastAsia="仿宋" w:cs="仿宋"/>
          <w:sz w:val="32"/>
          <w:szCs w:val="32"/>
        </w:rPr>
        <w:t>100%</w:t>
      </w:r>
      <w:r>
        <w:rPr>
          <w:rFonts w:hint="eastAsia" w:ascii="仿宋" w:hAnsi="Times New Roman" w:eastAsia="仿宋" w:cs="仿宋"/>
          <w:sz w:val="32"/>
          <w:szCs w:val="32"/>
        </w:rPr>
        <w:t>；外交（类）支出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；国防（类）支出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；公共安全（类）支出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；教育（类）支出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；科学技术（类）支出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；文化体育与传媒（类）支出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；社会保障和就业（类）支出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；医疗卫生和计划生育（类）支出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；节能环保（类）支出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；城乡社区（类）支出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；农林水（类）支出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；交通运输（类）支出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；资源勘探信息（类）支出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；商业服务业（类）支出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；金融（类）支出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；援助其他地区（类）支出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；国土海洋气象（类）支出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；住房保障（类）支出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；粮油物资储备（类）支出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；其他（类）支出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；债务还本（类）支出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；债务付息（类）支出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（三）具体情况。</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年度一般公共预算财政拨款支出年初预算为</w:t>
      </w:r>
      <w:r>
        <w:rPr>
          <w:rFonts w:ascii="仿宋" w:hAnsi="Times New Roman" w:eastAsia="仿宋" w:cs="仿宋"/>
          <w:sz w:val="32"/>
          <w:szCs w:val="32"/>
        </w:rPr>
        <w:t>468</w:t>
      </w:r>
      <w:r>
        <w:rPr>
          <w:rFonts w:hint="eastAsia" w:ascii="仿宋" w:hAnsi="Times New Roman" w:eastAsia="仿宋" w:cs="仿宋"/>
          <w:sz w:val="32"/>
          <w:szCs w:val="32"/>
        </w:rPr>
        <w:t>万元，支出决算为</w:t>
      </w:r>
      <w:r>
        <w:rPr>
          <w:rFonts w:ascii="仿宋" w:hAnsi="Times New Roman" w:eastAsia="仿宋" w:cs="仿宋"/>
          <w:sz w:val="32"/>
          <w:szCs w:val="32"/>
        </w:rPr>
        <w:t>482.26</w:t>
      </w:r>
      <w:r>
        <w:rPr>
          <w:rFonts w:hint="eastAsia" w:ascii="仿宋" w:hAnsi="Times New Roman" w:eastAsia="仿宋" w:cs="仿宋"/>
          <w:sz w:val="32"/>
          <w:szCs w:val="32"/>
        </w:rPr>
        <w:t>万元，完成年初预算的</w:t>
      </w:r>
      <w:r>
        <w:rPr>
          <w:rFonts w:ascii="仿宋" w:hAnsi="Times New Roman" w:eastAsia="仿宋" w:cs="仿宋"/>
          <w:sz w:val="32"/>
          <w:szCs w:val="32"/>
        </w:rPr>
        <w:t>103.05%</w:t>
      </w:r>
      <w:r>
        <w:rPr>
          <w:rFonts w:hint="eastAsia" w:ascii="仿宋" w:hAnsi="Times New Roman" w:eastAsia="仿宋" w:cs="仿宋"/>
          <w:sz w:val="32"/>
          <w:szCs w:val="32"/>
        </w:rPr>
        <w:t>。决算数与年初预算数存在差异的主要原因：</w:t>
      </w:r>
      <w:r>
        <w:rPr>
          <w:rFonts w:hint="eastAsia" w:ascii="仿宋" w:hAnsi="Times New Roman" w:eastAsia="仿宋" w:cs="仿宋"/>
          <w:sz w:val="32"/>
          <w:szCs w:val="32"/>
          <w:lang w:eastAsia="zh-CN"/>
        </w:rPr>
        <w:t>办案点工作需要支出增加</w:t>
      </w:r>
      <w:r>
        <w:rPr>
          <w:rFonts w:hint="eastAsia" w:ascii="仿宋" w:hAnsi="Times New Roman" w:eastAsia="仿宋" w:cs="仿宋"/>
          <w:sz w:val="32"/>
          <w:szCs w:val="32"/>
        </w:rPr>
        <w:t>。其中：</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1</w:t>
      </w:r>
      <w:r>
        <w:rPr>
          <w:rFonts w:hint="eastAsia" w:ascii="仿宋" w:hAnsi="Times New Roman" w:eastAsia="仿宋" w:cs="仿宋"/>
          <w:sz w:val="32"/>
          <w:szCs w:val="32"/>
        </w:rPr>
        <w:t>．一般公共服务</w:t>
      </w:r>
      <w:r>
        <w:rPr>
          <w:rFonts w:hint="eastAsia" w:ascii="仿宋" w:hAnsi="Times New Roman" w:eastAsia="仿宋" w:cs="仿宋"/>
          <w:sz w:val="32"/>
          <w:szCs w:val="32"/>
          <w:lang w:eastAsia="zh-CN"/>
        </w:rPr>
        <w:t>支出</w:t>
      </w:r>
      <w:r>
        <w:rPr>
          <w:rFonts w:hint="eastAsia" w:ascii="仿宋" w:hAnsi="Times New Roman" w:eastAsia="仿宋" w:cs="仿宋"/>
          <w:sz w:val="32"/>
          <w:szCs w:val="32"/>
        </w:rPr>
        <w:t>（类）党委办公厅（室）及相关机构事务（款）行政运行（项）。年初预算为</w:t>
      </w:r>
      <w:r>
        <w:rPr>
          <w:rFonts w:hint="eastAsia" w:ascii="仿宋" w:hAnsi="Times New Roman" w:eastAsia="仿宋" w:cs="仿宋"/>
          <w:sz w:val="32"/>
          <w:szCs w:val="32"/>
          <w:lang w:val="en-US" w:eastAsia="zh-CN"/>
        </w:rPr>
        <w:t>93.5</w:t>
      </w:r>
      <w:r>
        <w:rPr>
          <w:rFonts w:hint="eastAsia" w:ascii="仿宋" w:hAnsi="Times New Roman" w:eastAsia="仿宋" w:cs="仿宋"/>
          <w:sz w:val="32"/>
          <w:szCs w:val="32"/>
        </w:rPr>
        <w:t>万元，支出决算为</w:t>
      </w:r>
      <w:r>
        <w:rPr>
          <w:rFonts w:hint="eastAsia" w:ascii="仿宋" w:hAnsi="Times New Roman" w:eastAsia="仿宋" w:cs="仿宋"/>
          <w:sz w:val="32"/>
          <w:szCs w:val="32"/>
          <w:lang w:val="en-US" w:eastAsia="zh-CN"/>
        </w:rPr>
        <w:t>117.32</w:t>
      </w:r>
      <w:r>
        <w:rPr>
          <w:rFonts w:hint="eastAsia" w:ascii="仿宋" w:hAnsi="Times New Roman" w:eastAsia="仿宋" w:cs="仿宋"/>
          <w:sz w:val="32"/>
          <w:szCs w:val="32"/>
        </w:rPr>
        <w:t>万元，完成年初预算的</w:t>
      </w:r>
      <w:r>
        <w:rPr>
          <w:rFonts w:hint="eastAsia" w:ascii="仿宋" w:hAnsi="Times New Roman" w:eastAsia="仿宋" w:cs="仿宋"/>
          <w:sz w:val="32"/>
          <w:szCs w:val="32"/>
          <w:lang w:val="en-US" w:eastAsia="zh-CN"/>
        </w:rPr>
        <w:t>125.48</w:t>
      </w:r>
      <w:r>
        <w:rPr>
          <w:rFonts w:ascii="仿宋" w:hAnsi="Times New Roman" w:eastAsia="仿宋" w:cs="仿宋"/>
          <w:sz w:val="32"/>
          <w:szCs w:val="32"/>
        </w:rPr>
        <w:t>%</w:t>
      </w:r>
      <w:r>
        <w:rPr>
          <w:rFonts w:hint="eastAsia" w:ascii="仿宋" w:hAnsi="Times New Roman" w:eastAsia="仿宋" w:cs="仿宋"/>
          <w:sz w:val="32"/>
          <w:szCs w:val="32"/>
        </w:rPr>
        <w:t>。决算数大于预算数的主要原因是</w:t>
      </w:r>
      <w:r>
        <w:rPr>
          <w:rFonts w:hint="eastAsia" w:ascii="仿宋" w:hAnsi="Times New Roman" w:eastAsia="仿宋" w:cs="仿宋"/>
          <w:sz w:val="32"/>
          <w:szCs w:val="32"/>
          <w:lang w:eastAsia="zh-CN"/>
        </w:rPr>
        <w:t>工资调整，补发以前年度工资</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w:t>
      </w:r>
      <w:r>
        <w:rPr>
          <w:rFonts w:hint="eastAsia" w:ascii="仿宋" w:hAnsi="Times New Roman" w:eastAsia="仿宋" w:cs="仿宋"/>
          <w:sz w:val="32"/>
          <w:szCs w:val="32"/>
        </w:rPr>
        <w:t>．一般公共服务</w:t>
      </w:r>
      <w:r>
        <w:rPr>
          <w:rFonts w:hint="eastAsia" w:ascii="仿宋" w:hAnsi="Times New Roman" w:eastAsia="仿宋" w:cs="仿宋"/>
          <w:sz w:val="32"/>
          <w:szCs w:val="32"/>
          <w:lang w:eastAsia="zh-CN"/>
        </w:rPr>
        <w:t>支出</w:t>
      </w:r>
      <w:r>
        <w:rPr>
          <w:rFonts w:hint="eastAsia" w:ascii="仿宋" w:hAnsi="Times New Roman" w:eastAsia="仿宋" w:cs="仿宋"/>
          <w:sz w:val="32"/>
          <w:szCs w:val="32"/>
        </w:rPr>
        <w:t>（类）党委办公厅（室）及相关机构事务（款）一般行政管理事务（项）。年初预算为</w:t>
      </w:r>
      <w:r>
        <w:rPr>
          <w:rFonts w:hint="eastAsia" w:ascii="仿宋" w:hAnsi="Times New Roman" w:eastAsia="仿宋" w:cs="仿宋"/>
          <w:sz w:val="32"/>
          <w:szCs w:val="32"/>
          <w:lang w:val="en-US" w:eastAsia="zh-CN"/>
        </w:rPr>
        <w:t>374.5</w:t>
      </w:r>
      <w:r>
        <w:rPr>
          <w:rFonts w:hint="eastAsia" w:ascii="仿宋" w:hAnsi="Times New Roman" w:eastAsia="仿宋" w:cs="仿宋"/>
          <w:sz w:val="32"/>
          <w:szCs w:val="32"/>
        </w:rPr>
        <w:t>万元，支出决算为</w:t>
      </w:r>
      <w:r>
        <w:rPr>
          <w:rFonts w:hint="eastAsia" w:ascii="仿宋" w:hAnsi="Times New Roman" w:eastAsia="仿宋" w:cs="仿宋"/>
          <w:sz w:val="32"/>
          <w:szCs w:val="32"/>
          <w:lang w:val="en-US" w:eastAsia="zh-CN"/>
        </w:rPr>
        <w:t>482.26</w:t>
      </w:r>
      <w:r>
        <w:rPr>
          <w:rFonts w:hint="eastAsia" w:ascii="仿宋" w:hAnsi="Times New Roman" w:eastAsia="仿宋" w:cs="仿宋"/>
          <w:sz w:val="32"/>
          <w:szCs w:val="32"/>
        </w:rPr>
        <w:t>万元，完成年初预算的</w:t>
      </w:r>
      <w:r>
        <w:rPr>
          <w:rFonts w:hint="eastAsia" w:ascii="仿宋" w:hAnsi="Times New Roman" w:eastAsia="仿宋" w:cs="仿宋"/>
          <w:sz w:val="32"/>
          <w:szCs w:val="32"/>
          <w:lang w:val="en-US" w:eastAsia="zh-CN"/>
        </w:rPr>
        <w:t>128.77</w:t>
      </w:r>
      <w:r>
        <w:rPr>
          <w:rFonts w:ascii="仿宋" w:hAnsi="Times New Roman" w:eastAsia="仿宋" w:cs="仿宋"/>
          <w:sz w:val="32"/>
          <w:szCs w:val="32"/>
        </w:rPr>
        <w:t>%</w:t>
      </w:r>
      <w:r>
        <w:rPr>
          <w:rFonts w:hint="eastAsia" w:ascii="仿宋" w:hAnsi="Times New Roman" w:eastAsia="仿宋" w:cs="仿宋"/>
          <w:sz w:val="32"/>
          <w:szCs w:val="32"/>
        </w:rPr>
        <w:t>。决算数大于预算数的主要原因是</w:t>
      </w:r>
      <w:r>
        <w:rPr>
          <w:rFonts w:hint="eastAsia" w:ascii="仿宋" w:hAnsi="Times New Roman" w:eastAsia="仿宋" w:cs="仿宋"/>
          <w:sz w:val="32"/>
          <w:szCs w:val="32"/>
          <w:lang w:eastAsia="zh-CN"/>
        </w:rPr>
        <w:t>办案点维修等支出增加</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六、关于一般公共预算财政拨款基本支出决算情况说明</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hint="eastAsia" w:ascii="仿宋_GB2312" w:hAnsi="宋体" w:eastAsia="仿宋_GB2312" w:cs="宋体"/>
          <w:sz w:val="30"/>
          <w:szCs w:val="30"/>
        </w:rPr>
      </w:pPr>
      <w:r>
        <w:rPr>
          <w:rFonts w:hint="eastAsia" w:ascii="仿宋" w:hAnsi="仿宋" w:eastAsia="仿宋" w:cs="仿宋"/>
          <w:sz w:val="30"/>
          <w:szCs w:val="30"/>
        </w:rPr>
        <w:t>2017年一般公共预算财政拨款基本支出117.32万元。与2016年相比，减少209.26万元，下降64.08%。变动的主要原因：</w:t>
      </w:r>
      <w:r>
        <w:rPr>
          <w:rFonts w:hint="eastAsia" w:ascii="仿宋" w:hAnsi="仿宋" w:eastAsia="仿宋" w:cs="仿宋"/>
          <w:sz w:val="30"/>
          <w:szCs w:val="30"/>
          <w:lang w:eastAsia="zh-CN"/>
        </w:rPr>
        <w:t>工资调整</w:t>
      </w:r>
      <w:r>
        <w:rPr>
          <w:rFonts w:hint="eastAsia" w:ascii="仿宋" w:hAnsi="仿宋" w:eastAsia="仿宋" w:cs="仿宋"/>
          <w:sz w:val="30"/>
          <w:szCs w:val="30"/>
        </w:rPr>
        <w:t>。其中：人员经费106.9万元，主要包括：</w:t>
      </w:r>
      <w:r>
        <w:rPr>
          <w:rFonts w:hint="eastAsia" w:ascii="仿宋" w:hAnsi="仿宋" w:eastAsia="仿宋" w:cs="仿宋"/>
          <w:sz w:val="30"/>
          <w:szCs w:val="30"/>
        </w:rPr>
        <w:t>基本工资、津贴补贴、社会保障缴费、伙食补助费、绩效工资、其他工资福利支出、退休费、抚恤金、生活补助、 医疗费、助学金、奖励金、住房公积金、其他对个人和家庭的补助支出；公用经费10.42万元，主要包括：</w:t>
      </w:r>
      <w:bookmarkStart w:id="0" w:name="_GoBack"/>
      <w:bookmarkEnd w:id="0"/>
      <w:r>
        <w:rPr>
          <w:rFonts w:hint="eastAsia" w:ascii="仿宋" w:hAnsi="仿宋" w:eastAsia="仿宋" w:cs="仿宋"/>
          <w:sz w:val="30"/>
          <w:szCs w:val="30"/>
        </w:rPr>
        <w:t>办公费、印刷费、咨询费、手续费、水费、电费、邮电费、物业管理费、差旅费、维修（护）费、租赁费、会议费、培训费、专用材料费、劳务费、工会经费、福利费、其他交通费用、税金及附加费用、其他商品和服务支出、办公设备购置、专用设备购置、大型修缮、信息网络及软件购置更新、其他资本性支出。</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七、关于一般公共预算财政拨款</w:t>
      </w:r>
      <w:r>
        <w:rPr>
          <w:rFonts w:ascii="黑体" w:hAnsi="Times New Roman" w:eastAsia="黑体" w:cs="黑体"/>
          <w:sz w:val="32"/>
          <w:szCs w:val="32"/>
        </w:rPr>
        <w:t>“</w:t>
      </w:r>
      <w:r>
        <w:rPr>
          <w:rFonts w:hint="eastAsia" w:ascii="黑体" w:hAnsi="Times New Roman" w:eastAsia="黑体" w:cs="黑体"/>
          <w:sz w:val="32"/>
          <w:szCs w:val="32"/>
        </w:rPr>
        <w:t>三公</w:t>
      </w:r>
      <w:r>
        <w:rPr>
          <w:rFonts w:ascii="黑体" w:hAnsi="Times New Roman" w:eastAsia="黑体" w:cs="黑体"/>
          <w:sz w:val="32"/>
          <w:szCs w:val="32"/>
        </w:rPr>
        <w:t>”</w:t>
      </w:r>
      <w:r>
        <w:rPr>
          <w:rFonts w:hint="eastAsia" w:ascii="黑体" w:hAnsi="Times New Roman" w:eastAsia="黑体" w:cs="黑体"/>
          <w:sz w:val="32"/>
          <w:szCs w:val="32"/>
        </w:rPr>
        <w:t>经费支出决算情况说明</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（一）</w:t>
      </w:r>
      <w:r>
        <w:rPr>
          <w:rFonts w:ascii="楷体" w:hAnsi="Times New Roman" w:eastAsia="楷体" w:cs="楷体"/>
          <w:sz w:val="32"/>
          <w:szCs w:val="32"/>
        </w:rPr>
        <w:t>“</w:t>
      </w:r>
      <w:r>
        <w:rPr>
          <w:rFonts w:hint="eastAsia" w:ascii="楷体" w:hAnsi="Times New Roman" w:eastAsia="楷体" w:cs="楷体"/>
          <w:sz w:val="32"/>
          <w:szCs w:val="32"/>
        </w:rPr>
        <w:t>三公</w:t>
      </w:r>
      <w:r>
        <w:rPr>
          <w:rFonts w:ascii="楷体" w:hAnsi="Times New Roman" w:eastAsia="楷体" w:cs="楷体"/>
          <w:sz w:val="32"/>
          <w:szCs w:val="32"/>
        </w:rPr>
        <w:t>”</w:t>
      </w:r>
      <w:r>
        <w:rPr>
          <w:rFonts w:hint="eastAsia" w:ascii="楷体" w:hAnsi="Times New Roman" w:eastAsia="楷体" w:cs="楷体"/>
          <w:sz w:val="32"/>
          <w:szCs w:val="32"/>
        </w:rPr>
        <w:t>经费财政拨款支出决算总体情况说明。</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w:t>
      </w:r>
      <w:r>
        <w:rPr>
          <w:rFonts w:ascii="仿宋" w:hAnsi="Times New Roman" w:eastAsia="仿宋" w:cs="仿宋"/>
          <w:sz w:val="32"/>
          <w:szCs w:val="32"/>
        </w:rPr>
        <w:t>“</w:t>
      </w:r>
      <w:r>
        <w:rPr>
          <w:rFonts w:hint="eastAsia" w:ascii="仿宋" w:hAnsi="Times New Roman" w:eastAsia="仿宋" w:cs="仿宋"/>
          <w:sz w:val="32"/>
          <w:szCs w:val="32"/>
        </w:rPr>
        <w:t>三公</w:t>
      </w:r>
      <w:r>
        <w:rPr>
          <w:rFonts w:ascii="仿宋" w:hAnsi="Times New Roman" w:eastAsia="仿宋" w:cs="仿宋"/>
          <w:sz w:val="32"/>
          <w:szCs w:val="32"/>
        </w:rPr>
        <w:t>”</w:t>
      </w:r>
      <w:r>
        <w:rPr>
          <w:rFonts w:hint="eastAsia" w:ascii="仿宋" w:hAnsi="Times New Roman" w:eastAsia="仿宋" w:cs="仿宋"/>
          <w:sz w:val="32"/>
          <w:szCs w:val="32"/>
        </w:rPr>
        <w:t>经费财政拨款支出预算为</w:t>
      </w:r>
      <w:r>
        <w:rPr>
          <w:rFonts w:ascii="仿宋" w:hAnsi="Times New Roman" w:eastAsia="仿宋" w:cs="仿宋"/>
          <w:sz w:val="32"/>
          <w:szCs w:val="32"/>
        </w:rPr>
        <w:t>3.4</w:t>
      </w:r>
      <w:r>
        <w:rPr>
          <w:rFonts w:hint="eastAsia" w:ascii="仿宋" w:hAnsi="Times New Roman" w:eastAsia="仿宋" w:cs="仿宋"/>
          <w:sz w:val="32"/>
          <w:szCs w:val="32"/>
        </w:rPr>
        <w:t>万元，支出决算为</w:t>
      </w:r>
      <w:r>
        <w:rPr>
          <w:rFonts w:ascii="仿宋" w:hAnsi="Times New Roman" w:eastAsia="仿宋" w:cs="仿宋"/>
          <w:sz w:val="32"/>
          <w:szCs w:val="32"/>
        </w:rPr>
        <w:t>2.48</w:t>
      </w:r>
      <w:r>
        <w:rPr>
          <w:rFonts w:hint="eastAsia" w:ascii="仿宋" w:hAnsi="Times New Roman" w:eastAsia="仿宋" w:cs="仿宋"/>
          <w:sz w:val="32"/>
          <w:szCs w:val="32"/>
        </w:rPr>
        <w:t>万元，完成预算的</w:t>
      </w:r>
      <w:r>
        <w:rPr>
          <w:rFonts w:ascii="仿宋" w:hAnsi="Times New Roman" w:eastAsia="仿宋" w:cs="仿宋"/>
          <w:sz w:val="32"/>
          <w:szCs w:val="32"/>
        </w:rPr>
        <w:t>72.93%</w:t>
      </w:r>
      <w:r>
        <w:rPr>
          <w:rFonts w:hint="eastAsia" w:ascii="仿宋" w:hAnsi="Times New Roman" w:eastAsia="仿宋" w:cs="仿宋"/>
          <w:sz w:val="32"/>
          <w:szCs w:val="32"/>
        </w:rPr>
        <w:t>。</w:t>
      </w:r>
      <w:r>
        <w:rPr>
          <w:rFonts w:ascii="仿宋" w:hAnsi="Times New Roman" w:eastAsia="仿宋" w:cs="仿宋"/>
          <w:sz w:val="32"/>
          <w:szCs w:val="32"/>
        </w:rPr>
        <w:t>2017</w:t>
      </w:r>
      <w:r>
        <w:rPr>
          <w:rFonts w:hint="eastAsia" w:ascii="仿宋" w:hAnsi="Times New Roman" w:eastAsia="仿宋" w:cs="仿宋"/>
          <w:sz w:val="32"/>
          <w:szCs w:val="32"/>
        </w:rPr>
        <w:t>年度</w:t>
      </w:r>
      <w:r>
        <w:rPr>
          <w:rFonts w:ascii="仿宋" w:hAnsi="Times New Roman" w:eastAsia="仿宋" w:cs="仿宋"/>
          <w:sz w:val="32"/>
          <w:szCs w:val="32"/>
        </w:rPr>
        <w:t>“</w:t>
      </w:r>
      <w:r>
        <w:rPr>
          <w:rFonts w:hint="eastAsia" w:ascii="仿宋" w:hAnsi="Times New Roman" w:eastAsia="仿宋" w:cs="仿宋"/>
          <w:sz w:val="32"/>
          <w:szCs w:val="32"/>
        </w:rPr>
        <w:t>三公</w:t>
      </w:r>
      <w:r>
        <w:rPr>
          <w:rFonts w:ascii="仿宋" w:hAnsi="Times New Roman" w:eastAsia="仿宋" w:cs="仿宋"/>
          <w:sz w:val="32"/>
          <w:szCs w:val="32"/>
        </w:rPr>
        <w:t>”</w:t>
      </w:r>
      <w:r>
        <w:rPr>
          <w:rFonts w:hint="eastAsia" w:ascii="仿宋" w:hAnsi="Times New Roman" w:eastAsia="仿宋" w:cs="仿宋"/>
          <w:sz w:val="32"/>
          <w:szCs w:val="32"/>
        </w:rPr>
        <w:t>经费支出决算数与预算数存在差异的主要原因是</w:t>
      </w:r>
      <w:r>
        <w:rPr>
          <w:rFonts w:hint="eastAsia" w:ascii="仿宋" w:hAnsi="Times New Roman" w:eastAsia="仿宋" w:cs="仿宋"/>
          <w:sz w:val="32"/>
          <w:szCs w:val="32"/>
          <w:lang w:eastAsia="zh-CN"/>
        </w:rPr>
        <w:t>严格控制“三公”经费支出</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hint="eastAsia" w:ascii="楷体" w:hAnsi="Times New Roman" w:eastAsia="楷体" w:cs="楷体"/>
          <w:sz w:val="32"/>
          <w:szCs w:val="32"/>
        </w:rPr>
        <w:t>（二）</w:t>
      </w:r>
      <w:r>
        <w:rPr>
          <w:rFonts w:ascii="楷体" w:hAnsi="Times New Roman" w:eastAsia="楷体" w:cs="楷体"/>
          <w:sz w:val="32"/>
          <w:szCs w:val="32"/>
        </w:rPr>
        <w:t>“</w:t>
      </w:r>
      <w:r>
        <w:rPr>
          <w:rFonts w:hint="eastAsia" w:ascii="楷体" w:hAnsi="Times New Roman" w:eastAsia="楷体" w:cs="楷体"/>
          <w:sz w:val="32"/>
          <w:szCs w:val="32"/>
        </w:rPr>
        <w:t>三公</w:t>
      </w:r>
      <w:r>
        <w:rPr>
          <w:rFonts w:ascii="楷体" w:hAnsi="Times New Roman" w:eastAsia="楷体" w:cs="楷体"/>
          <w:sz w:val="32"/>
          <w:szCs w:val="32"/>
        </w:rPr>
        <w:t>”</w:t>
      </w:r>
      <w:r>
        <w:rPr>
          <w:rFonts w:hint="eastAsia" w:ascii="楷体" w:hAnsi="Times New Roman" w:eastAsia="楷体" w:cs="楷体"/>
          <w:sz w:val="32"/>
          <w:szCs w:val="32"/>
        </w:rPr>
        <w:t>经费财政拨款支出决算具体情况说明。</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w:t>
      </w:r>
      <w:r>
        <w:rPr>
          <w:rFonts w:ascii="仿宋" w:hAnsi="Times New Roman" w:eastAsia="仿宋" w:cs="仿宋"/>
          <w:sz w:val="32"/>
          <w:szCs w:val="32"/>
        </w:rPr>
        <w:t>“</w:t>
      </w:r>
      <w:r>
        <w:rPr>
          <w:rFonts w:hint="eastAsia" w:ascii="仿宋" w:hAnsi="Times New Roman" w:eastAsia="仿宋" w:cs="仿宋"/>
          <w:sz w:val="32"/>
          <w:szCs w:val="32"/>
        </w:rPr>
        <w:t>三公</w:t>
      </w:r>
      <w:r>
        <w:rPr>
          <w:rFonts w:ascii="仿宋" w:hAnsi="Times New Roman" w:eastAsia="仿宋" w:cs="仿宋"/>
          <w:sz w:val="32"/>
          <w:szCs w:val="32"/>
        </w:rPr>
        <w:t>”</w:t>
      </w:r>
      <w:r>
        <w:rPr>
          <w:rFonts w:hint="eastAsia" w:ascii="仿宋" w:hAnsi="Times New Roman" w:eastAsia="仿宋" w:cs="仿宋"/>
          <w:sz w:val="32"/>
          <w:szCs w:val="32"/>
        </w:rPr>
        <w:t>经费财政拨款支出决算中，因公出国（境）费支出决算</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，完成预算的</w:t>
      </w:r>
      <w:r>
        <w:rPr>
          <w:rFonts w:ascii="仿宋" w:hAnsi="Times New Roman" w:eastAsia="仿宋" w:cs="仿宋"/>
          <w:sz w:val="32"/>
          <w:szCs w:val="32"/>
        </w:rPr>
        <w:t>0%</w:t>
      </w:r>
      <w:r>
        <w:rPr>
          <w:rFonts w:hint="eastAsia" w:ascii="仿宋" w:hAnsi="Times New Roman" w:eastAsia="仿宋" w:cs="仿宋"/>
          <w:sz w:val="32"/>
          <w:szCs w:val="32"/>
        </w:rPr>
        <w:t>；公务用车购置及运行费支出决算</w:t>
      </w:r>
      <w:r>
        <w:rPr>
          <w:rFonts w:ascii="仿宋" w:hAnsi="Times New Roman" w:eastAsia="仿宋" w:cs="仿宋"/>
          <w:sz w:val="32"/>
          <w:szCs w:val="32"/>
        </w:rPr>
        <w:t>2.48</w:t>
      </w:r>
      <w:r>
        <w:rPr>
          <w:rFonts w:hint="eastAsia" w:ascii="仿宋" w:hAnsi="Times New Roman" w:eastAsia="仿宋" w:cs="仿宋"/>
          <w:sz w:val="32"/>
          <w:szCs w:val="32"/>
        </w:rPr>
        <w:t>万元，占</w:t>
      </w:r>
      <w:r>
        <w:rPr>
          <w:rFonts w:ascii="仿宋" w:hAnsi="Times New Roman" w:eastAsia="仿宋" w:cs="仿宋"/>
          <w:sz w:val="32"/>
          <w:szCs w:val="32"/>
        </w:rPr>
        <w:t>100%</w:t>
      </w:r>
      <w:r>
        <w:rPr>
          <w:rFonts w:hint="eastAsia" w:ascii="仿宋" w:hAnsi="Times New Roman" w:eastAsia="仿宋" w:cs="仿宋"/>
          <w:sz w:val="32"/>
          <w:szCs w:val="32"/>
        </w:rPr>
        <w:t>，完成预算的</w:t>
      </w:r>
      <w:r>
        <w:rPr>
          <w:rFonts w:ascii="仿宋" w:hAnsi="Times New Roman" w:eastAsia="仿宋" w:cs="仿宋"/>
          <w:sz w:val="32"/>
          <w:szCs w:val="32"/>
        </w:rPr>
        <w:t>99.19%</w:t>
      </w:r>
      <w:r>
        <w:rPr>
          <w:rFonts w:hint="eastAsia" w:ascii="仿宋" w:hAnsi="Times New Roman" w:eastAsia="仿宋" w:cs="仿宋"/>
          <w:sz w:val="32"/>
          <w:szCs w:val="32"/>
        </w:rPr>
        <w:t>；公务接待费支出决算</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，完成预算的</w:t>
      </w:r>
      <w:r>
        <w:rPr>
          <w:rFonts w:ascii="仿宋" w:hAnsi="Times New Roman" w:eastAsia="仿宋" w:cs="仿宋"/>
          <w:sz w:val="32"/>
          <w:szCs w:val="32"/>
        </w:rPr>
        <w:t>0%</w:t>
      </w:r>
      <w:r>
        <w:rPr>
          <w:rFonts w:hint="eastAsia" w:ascii="仿宋" w:hAnsi="Times New Roman" w:eastAsia="仿宋" w:cs="仿宋"/>
          <w:sz w:val="32"/>
          <w:szCs w:val="32"/>
        </w:rPr>
        <w:t>。具体情况如下：</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1</w:t>
      </w:r>
      <w:r>
        <w:rPr>
          <w:rFonts w:hint="eastAsia" w:ascii="仿宋" w:hAnsi="Times New Roman" w:eastAsia="仿宋" w:cs="仿宋"/>
          <w:sz w:val="32"/>
          <w:szCs w:val="32"/>
        </w:rPr>
        <w:t>．因公出国（境）费支出</w:t>
      </w:r>
      <w:r>
        <w:rPr>
          <w:rFonts w:ascii="仿宋" w:hAnsi="Times New Roman" w:eastAsia="仿宋" w:cs="仿宋"/>
          <w:sz w:val="32"/>
          <w:szCs w:val="32"/>
        </w:rPr>
        <w:t>0</w:t>
      </w:r>
      <w:r>
        <w:rPr>
          <w:rFonts w:hint="eastAsia" w:ascii="仿宋" w:hAnsi="Times New Roman" w:eastAsia="仿宋" w:cs="仿宋"/>
          <w:sz w:val="32"/>
          <w:szCs w:val="32"/>
        </w:rPr>
        <w:t>万元。全年安排河南省南阳市高新区监察分局机关因公出国（境）团组</w:t>
      </w:r>
      <w:r>
        <w:rPr>
          <w:rFonts w:ascii="仿宋" w:hAnsi="Times New Roman" w:eastAsia="仿宋" w:cs="仿宋"/>
          <w:sz w:val="32"/>
          <w:szCs w:val="32"/>
        </w:rPr>
        <w:t>0</w:t>
      </w:r>
      <w:r>
        <w:rPr>
          <w:rFonts w:hint="eastAsia" w:ascii="仿宋" w:hAnsi="Times New Roman" w:eastAsia="仿宋" w:cs="仿宋"/>
          <w:sz w:val="32"/>
          <w:szCs w:val="32"/>
        </w:rPr>
        <w:t>个，累计</w:t>
      </w:r>
      <w:r>
        <w:rPr>
          <w:rFonts w:ascii="仿宋" w:hAnsi="Times New Roman" w:eastAsia="仿宋" w:cs="仿宋"/>
          <w:sz w:val="32"/>
          <w:szCs w:val="32"/>
        </w:rPr>
        <w:t>0</w:t>
      </w:r>
      <w:r>
        <w:rPr>
          <w:rFonts w:hint="eastAsia" w:ascii="仿宋" w:hAnsi="Times New Roman" w:eastAsia="仿宋" w:cs="仿宋"/>
          <w:sz w:val="32"/>
          <w:szCs w:val="32"/>
        </w:rPr>
        <w:t>人次。开支内容包括：</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因公出国（境）费支出决算比</w:t>
      </w:r>
      <w:r>
        <w:rPr>
          <w:rFonts w:ascii="仿宋" w:hAnsi="Times New Roman" w:eastAsia="仿宋" w:cs="仿宋"/>
          <w:sz w:val="32"/>
          <w:szCs w:val="32"/>
        </w:rPr>
        <w:t>2016</w:t>
      </w:r>
      <w:r>
        <w:rPr>
          <w:rFonts w:hint="eastAsia" w:ascii="仿宋" w:hAnsi="Times New Roman" w:eastAsia="仿宋" w:cs="仿宋"/>
          <w:sz w:val="32"/>
          <w:szCs w:val="32"/>
        </w:rPr>
        <w:t>年度增加</w:t>
      </w:r>
      <w:r>
        <w:rPr>
          <w:rFonts w:ascii="仿宋" w:hAnsi="Times New Roman" w:eastAsia="仿宋" w:cs="仿宋"/>
          <w:sz w:val="32"/>
          <w:szCs w:val="32"/>
        </w:rPr>
        <w:t>0</w:t>
      </w:r>
      <w:r>
        <w:rPr>
          <w:rFonts w:hint="eastAsia" w:ascii="仿宋" w:hAnsi="Times New Roman" w:eastAsia="仿宋" w:cs="仿宋"/>
          <w:sz w:val="32"/>
          <w:szCs w:val="32"/>
        </w:rPr>
        <w:t>万元，增长</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2</w:t>
      </w:r>
      <w:r>
        <w:rPr>
          <w:rFonts w:hint="eastAsia" w:ascii="仿宋" w:hAnsi="Times New Roman" w:eastAsia="仿宋" w:cs="仿宋"/>
          <w:sz w:val="32"/>
          <w:szCs w:val="32"/>
        </w:rPr>
        <w:t>．公务用车购置及运行费支出</w:t>
      </w:r>
      <w:r>
        <w:rPr>
          <w:rFonts w:ascii="仿宋" w:hAnsi="Times New Roman" w:eastAsia="仿宋" w:cs="仿宋"/>
          <w:sz w:val="32"/>
          <w:szCs w:val="32"/>
        </w:rPr>
        <w:t>2.48</w:t>
      </w:r>
      <w:r>
        <w:rPr>
          <w:rFonts w:hint="eastAsia" w:ascii="仿宋" w:hAnsi="Times New Roman" w:eastAsia="仿宋" w:cs="仿宋"/>
          <w:sz w:val="32"/>
          <w:szCs w:val="32"/>
        </w:rPr>
        <w:t>万元。其中：</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公务用车购置支出为</w:t>
      </w:r>
      <w:r>
        <w:rPr>
          <w:rFonts w:ascii="仿宋" w:hAnsi="Times New Roman" w:eastAsia="仿宋" w:cs="仿宋"/>
          <w:sz w:val="32"/>
          <w:szCs w:val="32"/>
        </w:rPr>
        <w:t>0</w:t>
      </w:r>
      <w:r>
        <w:rPr>
          <w:rFonts w:hint="eastAsia" w:ascii="仿宋" w:hAnsi="Times New Roman" w:eastAsia="仿宋" w:cs="仿宋"/>
          <w:sz w:val="32"/>
          <w:szCs w:val="32"/>
        </w:rPr>
        <w:t>万元。</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公务用车运行支出</w:t>
      </w:r>
      <w:r>
        <w:rPr>
          <w:rFonts w:ascii="仿宋" w:hAnsi="Times New Roman" w:eastAsia="仿宋" w:cs="仿宋"/>
          <w:sz w:val="32"/>
          <w:szCs w:val="32"/>
        </w:rPr>
        <w:t>2.48</w:t>
      </w:r>
      <w:r>
        <w:rPr>
          <w:rFonts w:hint="eastAsia" w:ascii="仿宋" w:hAnsi="Times New Roman" w:eastAsia="仿宋" w:cs="仿宋"/>
          <w:sz w:val="32"/>
          <w:szCs w:val="32"/>
        </w:rPr>
        <w:t>万元。主要用于</w:t>
      </w:r>
      <w:r>
        <w:rPr>
          <w:rFonts w:hint="eastAsia" w:ascii="仿宋" w:hAnsi="Times New Roman" w:eastAsia="仿宋" w:cs="仿宋"/>
          <w:sz w:val="32"/>
          <w:szCs w:val="32"/>
          <w:lang w:eastAsia="zh-CN"/>
        </w:rPr>
        <w:t>公务车辆维修保养</w:t>
      </w:r>
      <w:r>
        <w:rPr>
          <w:rFonts w:hint="eastAsia" w:ascii="仿宋" w:hAnsi="Times New Roman" w:eastAsia="仿宋" w:cs="仿宋"/>
          <w:sz w:val="32"/>
          <w:szCs w:val="32"/>
        </w:rPr>
        <w:t>。</w:t>
      </w:r>
      <w:r>
        <w:rPr>
          <w:rFonts w:ascii="仿宋" w:hAnsi="Times New Roman" w:eastAsia="仿宋" w:cs="仿宋"/>
          <w:sz w:val="32"/>
          <w:szCs w:val="32"/>
        </w:rPr>
        <w:t>2017</w:t>
      </w:r>
      <w:r>
        <w:rPr>
          <w:rFonts w:hint="eastAsia" w:ascii="仿宋" w:hAnsi="Times New Roman" w:eastAsia="仿宋" w:cs="仿宋"/>
          <w:sz w:val="32"/>
          <w:szCs w:val="32"/>
        </w:rPr>
        <w:t>年期末，部门财政拨款公务用车保有量为</w:t>
      </w:r>
      <w:r>
        <w:rPr>
          <w:rFonts w:ascii="仿宋" w:hAnsi="Times New Roman" w:eastAsia="仿宋" w:cs="仿宋"/>
          <w:sz w:val="32"/>
          <w:szCs w:val="32"/>
        </w:rPr>
        <w:t>1</w:t>
      </w:r>
      <w:r>
        <w:rPr>
          <w:rFonts w:hint="eastAsia" w:ascii="仿宋" w:hAnsi="Times New Roman" w:eastAsia="仿宋" w:cs="仿宋"/>
          <w:sz w:val="32"/>
          <w:szCs w:val="32"/>
        </w:rPr>
        <w:t>辆。</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公务用车购置运行费支出决算比</w:t>
      </w:r>
      <w:r>
        <w:rPr>
          <w:rFonts w:ascii="仿宋" w:hAnsi="Times New Roman" w:eastAsia="仿宋" w:cs="仿宋"/>
          <w:sz w:val="32"/>
          <w:szCs w:val="32"/>
        </w:rPr>
        <w:t>2016</w:t>
      </w:r>
      <w:r>
        <w:rPr>
          <w:rFonts w:hint="eastAsia" w:ascii="仿宋" w:hAnsi="Times New Roman" w:eastAsia="仿宋" w:cs="仿宋"/>
          <w:sz w:val="32"/>
          <w:szCs w:val="32"/>
        </w:rPr>
        <w:t>年度增加</w:t>
      </w:r>
      <w:r>
        <w:rPr>
          <w:rFonts w:ascii="仿宋" w:hAnsi="Times New Roman" w:eastAsia="仿宋" w:cs="仿宋"/>
          <w:sz w:val="32"/>
          <w:szCs w:val="32"/>
        </w:rPr>
        <w:t>2.48</w:t>
      </w:r>
      <w:r>
        <w:rPr>
          <w:rFonts w:hint="eastAsia" w:ascii="仿宋" w:hAnsi="Times New Roman" w:eastAsia="仿宋" w:cs="仿宋"/>
          <w:sz w:val="32"/>
          <w:szCs w:val="32"/>
        </w:rPr>
        <w:t>万元，增长</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3</w:t>
      </w:r>
      <w:r>
        <w:rPr>
          <w:rFonts w:hint="eastAsia" w:ascii="仿宋" w:hAnsi="Times New Roman" w:eastAsia="仿宋" w:cs="仿宋"/>
          <w:sz w:val="32"/>
          <w:szCs w:val="32"/>
        </w:rPr>
        <w:t>．公务接待费支出</w:t>
      </w:r>
      <w:r>
        <w:rPr>
          <w:rFonts w:ascii="仿宋" w:hAnsi="Times New Roman" w:eastAsia="仿宋" w:cs="仿宋"/>
          <w:sz w:val="32"/>
          <w:szCs w:val="32"/>
        </w:rPr>
        <w:t>0</w:t>
      </w:r>
      <w:r>
        <w:rPr>
          <w:rFonts w:hint="eastAsia" w:ascii="仿宋" w:hAnsi="Times New Roman" w:eastAsia="仿宋" w:cs="仿宋"/>
          <w:sz w:val="32"/>
          <w:szCs w:val="32"/>
        </w:rPr>
        <w:t>万元。其中：</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外宾接待支出</w:t>
      </w:r>
      <w:r>
        <w:rPr>
          <w:rFonts w:ascii="仿宋" w:hAnsi="Times New Roman" w:eastAsia="仿宋" w:cs="仿宋"/>
          <w:sz w:val="32"/>
          <w:szCs w:val="32"/>
        </w:rPr>
        <w:t>0</w:t>
      </w:r>
      <w:r>
        <w:rPr>
          <w:rFonts w:hint="eastAsia" w:ascii="仿宋" w:hAnsi="Times New Roman" w:eastAsia="仿宋" w:cs="仿宋"/>
          <w:sz w:val="32"/>
          <w:szCs w:val="32"/>
        </w:rPr>
        <w:t>万元。</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其他国内公务接待支出</w:t>
      </w:r>
      <w:r>
        <w:rPr>
          <w:rFonts w:ascii="仿宋" w:hAnsi="Times New Roman" w:eastAsia="仿宋" w:cs="仿宋"/>
          <w:sz w:val="32"/>
          <w:szCs w:val="32"/>
        </w:rPr>
        <w:t>0</w:t>
      </w:r>
      <w:r>
        <w:rPr>
          <w:rFonts w:hint="eastAsia" w:ascii="仿宋" w:hAnsi="Times New Roman" w:eastAsia="仿宋" w:cs="仿宋"/>
          <w:sz w:val="32"/>
          <w:szCs w:val="32"/>
        </w:rPr>
        <w:t>万元。</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公务接待费支出决算比</w:t>
      </w:r>
      <w:r>
        <w:rPr>
          <w:rFonts w:ascii="仿宋" w:hAnsi="Times New Roman" w:eastAsia="仿宋" w:cs="仿宋"/>
          <w:sz w:val="32"/>
          <w:szCs w:val="32"/>
        </w:rPr>
        <w:t>2016</w:t>
      </w:r>
      <w:r>
        <w:rPr>
          <w:rFonts w:hint="eastAsia" w:ascii="仿宋" w:hAnsi="Times New Roman" w:eastAsia="仿宋" w:cs="仿宋"/>
          <w:sz w:val="32"/>
          <w:szCs w:val="32"/>
        </w:rPr>
        <w:t>年度增加</w:t>
      </w:r>
      <w:r>
        <w:rPr>
          <w:rFonts w:ascii="仿宋" w:hAnsi="Times New Roman" w:eastAsia="仿宋" w:cs="仿宋"/>
          <w:sz w:val="32"/>
          <w:szCs w:val="32"/>
        </w:rPr>
        <w:t>0</w:t>
      </w:r>
      <w:r>
        <w:rPr>
          <w:rFonts w:hint="eastAsia" w:ascii="仿宋" w:hAnsi="Times New Roman" w:eastAsia="仿宋" w:cs="仿宋"/>
          <w:sz w:val="32"/>
          <w:szCs w:val="32"/>
        </w:rPr>
        <w:t>万元，增长</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河南省南阳市高新区监察分局</w:t>
      </w:r>
      <w:r>
        <w:rPr>
          <w:rFonts w:ascii="仿宋" w:hAnsi="Times New Roman" w:eastAsia="仿宋" w:cs="仿宋"/>
          <w:sz w:val="32"/>
          <w:szCs w:val="32"/>
        </w:rPr>
        <w:t>2017</w:t>
      </w:r>
      <w:r>
        <w:rPr>
          <w:rFonts w:hint="eastAsia" w:ascii="仿宋" w:hAnsi="Times New Roman" w:eastAsia="仿宋" w:cs="仿宋"/>
          <w:sz w:val="32"/>
          <w:szCs w:val="32"/>
        </w:rPr>
        <w:t>年度共接待国内来访团组</w:t>
      </w:r>
      <w:r>
        <w:rPr>
          <w:rFonts w:ascii="仿宋" w:hAnsi="Times New Roman" w:eastAsia="仿宋" w:cs="仿宋"/>
          <w:sz w:val="32"/>
          <w:szCs w:val="32"/>
        </w:rPr>
        <w:t>0</w:t>
      </w:r>
      <w:r>
        <w:rPr>
          <w:rFonts w:hint="eastAsia" w:ascii="仿宋" w:hAnsi="Times New Roman" w:eastAsia="仿宋" w:cs="仿宋"/>
          <w:sz w:val="32"/>
          <w:szCs w:val="32"/>
        </w:rPr>
        <w:t>个、来访人员</w:t>
      </w:r>
      <w:r>
        <w:rPr>
          <w:rFonts w:ascii="仿宋" w:hAnsi="Times New Roman" w:eastAsia="仿宋" w:cs="仿宋"/>
          <w:sz w:val="32"/>
          <w:szCs w:val="32"/>
        </w:rPr>
        <w:t>0</w:t>
      </w:r>
      <w:r>
        <w:rPr>
          <w:rFonts w:hint="eastAsia" w:ascii="仿宋" w:hAnsi="Times New Roman" w:eastAsia="仿宋" w:cs="仿宋"/>
          <w:sz w:val="32"/>
          <w:szCs w:val="32"/>
        </w:rPr>
        <w:t>人次（不包括陪同人员）。</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八、关于预算绩效情况说明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hint="eastAsia" w:ascii="楷体" w:hAnsi="Times New Roman" w:eastAsia="楷体" w:cs="楷体"/>
          <w:sz w:val="32"/>
          <w:szCs w:val="32"/>
        </w:rPr>
      </w:pPr>
      <w:r>
        <w:rPr>
          <w:rFonts w:hint="eastAsia" w:ascii="楷体" w:hAnsi="Times New Roman" w:eastAsia="楷体" w:cs="楷体"/>
          <w:sz w:val="32"/>
          <w:szCs w:val="32"/>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hint="eastAsia" w:ascii="仿宋" w:hAnsi="Times New Roman" w:eastAsia="仿宋" w:cs="仿宋"/>
          <w:sz w:val="32"/>
          <w:szCs w:val="32"/>
          <w:lang w:val="en-US" w:eastAsia="zh-CN"/>
        </w:rPr>
      </w:pPr>
      <w:r>
        <w:rPr>
          <w:rFonts w:hint="eastAsia" w:ascii="仿宋" w:hAnsi="Times New Roman" w:eastAsia="仿宋" w:cs="仿宋"/>
          <w:sz w:val="32"/>
          <w:szCs w:val="32"/>
          <w:lang w:val="en-US" w:eastAsia="zh-CN"/>
        </w:rPr>
        <w:t>2017年</w:t>
      </w:r>
      <w:r>
        <w:rPr>
          <w:rFonts w:hint="eastAsia" w:ascii="仿宋" w:eastAsia="仿宋" w:cs="仿宋"/>
          <w:sz w:val="32"/>
          <w:szCs w:val="32"/>
          <w:lang w:val="en-US" w:eastAsia="zh-CN"/>
        </w:rPr>
        <w:t>我单位未开展预算绩效管理工作。</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firstLine="640"/>
        <w:jc w:val="left"/>
        <w:textAlignment w:val="auto"/>
        <w:outlineLvl w:val="9"/>
        <w:rPr>
          <w:rFonts w:hint="eastAsia" w:ascii="楷体" w:hAnsi="Times New Roman" w:eastAsia="楷体" w:cs="楷体"/>
          <w:sz w:val="32"/>
          <w:szCs w:val="32"/>
        </w:rPr>
      </w:pPr>
      <w:r>
        <w:rPr>
          <w:rFonts w:hint="eastAsia" w:ascii="楷体" w:hAnsi="Times New Roman" w:eastAsia="楷体" w:cs="楷体"/>
          <w:sz w:val="32"/>
          <w:szCs w:val="32"/>
        </w:rPr>
        <w:t>项目绩效自评结果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lang w:val="en-US" w:eastAsia="zh-CN"/>
        </w:rPr>
        <w:t>2017年</w:t>
      </w:r>
      <w:r>
        <w:rPr>
          <w:rFonts w:hint="eastAsia" w:ascii="仿宋" w:eastAsia="仿宋" w:cs="仿宋"/>
          <w:sz w:val="32"/>
          <w:szCs w:val="32"/>
          <w:lang w:val="en-US" w:eastAsia="zh-CN"/>
        </w:rPr>
        <w:t>我单位未开展预算绩效评价管理工作。</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九、关于政府性基金预算财政拨款支出决算情况说明</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年度政府性基金预算财政拨款支出年初预算为</w:t>
      </w:r>
      <w:r>
        <w:rPr>
          <w:rFonts w:ascii="仿宋" w:hAnsi="Times New Roman" w:eastAsia="仿宋" w:cs="仿宋"/>
          <w:sz w:val="32"/>
          <w:szCs w:val="32"/>
        </w:rPr>
        <w:t>0</w:t>
      </w:r>
      <w:r>
        <w:rPr>
          <w:rFonts w:hint="eastAsia" w:ascii="仿宋" w:hAnsi="Times New Roman" w:eastAsia="仿宋" w:cs="仿宋"/>
          <w:sz w:val="32"/>
          <w:szCs w:val="32"/>
        </w:rPr>
        <w:t>万元，支出决算为</w:t>
      </w:r>
      <w:r>
        <w:rPr>
          <w:rFonts w:ascii="仿宋" w:hAnsi="Times New Roman" w:eastAsia="仿宋" w:cs="仿宋"/>
          <w:sz w:val="32"/>
          <w:szCs w:val="32"/>
        </w:rPr>
        <w:t>0</w:t>
      </w:r>
      <w:r>
        <w:rPr>
          <w:rFonts w:hint="eastAsia" w:ascii="仿宋" w:hAnsi="Times New Roman" w:eastAsia="仿宋" w:cs="仿宋"/>
          <w:sz w:val="32"/>
          <w:szCs w:val="32"/>
        </w:rPr>
        <w:t>万元，完成年初预算的</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十、机关运行经费支出情况说明</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年度机关运行经费支出</w:t>
      </w:r>
      <w:r>
        <w:rPr>
          <w:rFonts w:ascii="仿宋" w:hAnsi="Times New Roman" w:eastAsia="仿宋" w:cs="仿宋"/>
          <w:sz w:val="32"/>
          <w:szCs w:val="32"/>
        </w:rPr>
        <w:t>10.42</w:t>
      </w:r>
      <w:r>
        <w:rPr>
          <w:rFonts w:hint="eastAsia" w:ascii="仿宋" w:hAnsi="Times New Roman" w:eastAsia="仿宋" w:cs="仿宋"/>
          <w:sz w:val="32"/>
          <w:szCs w:val="32"/>
        </w:rPr>
        <w:t>万元，较</w:t>
      </w:r>
      <w:r>
        <w:rPr>
          <w:rFonts w:ascii="仿宋" w:hAnsi="Times New Roman" w:eastAsia="仿宋" w:cs="仿宋"/>
          <w:sz w:val="32"/>
          <w:szCs w:val="32"/>
        </w:rPr>
        <w:t>2016</w:t>
      </w:r>
      <w:r>
        <w:rPr>
          <w:rFonts w:hint="eastAsia" w:ascii="仿宋" w:hAnsi="Times New Roman" w:eastAsia="仿宋" w:cs="仿宋"/>
          <w:sz w:val="32"/>
          <w:szCs w:val="32"/>
        </w:rPr>
        <w:t>年度减少</w:t>
      </w:r>
      <w:r>
        <w:rPr>
          <w:rFonts w:ascii="仿宋" w:hAnsi="Times New Roman" w:eastAsia="仿宋" w:cs="仿宋"/>
          <w:sz w:val="32"/>
          <w:szCs w:val="32"/>
        </w:rPr>
        <w:t>262.46</w:t>
      </w:r>
      <w:r>
        <w:rPr>
          <w:rFonts w:hint="eastAsia" w:ascii="仿宋" w:hAnsi="Times New Roman" w:eastAsia="仿宋" w:cs="仿宋"/>
          <w:sz w:val="32"/>
          <w:szCs w:val="32"/>
        </w:rPr>
        <w:t>万元，下降</w:t>
      </w:r>
      <w:r>
        <w:rPr>
          <w:rFonts w:ascii="仿宋" w:hAnsi="Times New Roman" w:eastAsia="仿宋" w:cs="仿宋"/>
          <w:sz w:val="32"/>
          <w:szCs w:val="32"/>
        </w:rPr>
        <w:t>96.18%</w:t>
      </w:r>
      <w:r>
        <w:rPr>
          <w:rFonts w:hint="eastAsia" w:ascii="仿宋" w:hAnsi="Times New Roman" w:eastAsia="仿宋" w:cs="仿宋"/>
          <w:sz w:val="32"/>
          <w:szCs w:val="32"/>
        </w:rPr>
        <w:t>。减少的主要原因是：</w:t>
      </w:r>
      <w:r>
        <w:rPr>
          <w:rFonts w:hint="eastAsia" w:ascii="仿宋" w:hAnsi="Times New Roman" w:eastAsia="仿宋" w:cs="仿宋"/>
          <w:sz w:val="32"/>
          <w:szCs w:val="32"/>
          <w:lang w:eastAsia="zh-CN"/>
        </w:rPr>
        <w:t>压减一般性支出</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十一、政府采购支出情况说明</w:t>
      </w:r>
    </w:p>
    <w:p>
      <w:pPr>
        <w:keepNext w:val="0"/>
        <w:keepLines w:val="0"/>
        <w:pageBreakBefore w:val="0"/>
        <w:widowControl w:val="0"/>
        <w:wordWrap/>
        <w:topLinePunct w:val="0"/>
        <w:autoSpaceDE w:val="0"/>
        <w:autoSpaceDN w:val="0"/>
        <w:bidi w:val="0"/>
        <w:adjustRightInd w:val="0"/>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年度政府采购支出总额</w:t>
      </w:r>
      <w:r>
        <w:rPr>
          <w:rFonts w:ascii="仿宋" w:hAnsi="Times New Roman" w:eastAsia="仿宋" w:cs="仿宋"/>
          <w:sz w:val="32"/>
          <w:szCs w:val="32"/>
        </w:rPr>
        <w:t>10.5</w:t>
      </w:r>
      <w:r>
        <w:rPr>
          <w:rFonts w:hint="eastAsia" w:ascii="仿宋" w:hAnsi="Times New Roman" w:eastAsia="仿宋" w:cs="仿宋"/>
          <w:sz w:val="32"/>
          <w:szCs w:val="32"/>
        </w:rPr>
        <w:t>万元，其中：政府采购货物支出</w:t>
      </w:r>
      <w:r>
        <w:rPr>
          <w:rFonts w:ascii="仿宋" w:hAnsi="Times New Roman" w:eastAsia="仿宋" w:cs="仿宋"/>
          <w:sz w:val="32"/>
          <w:szCs w:val="32"/>
        </w:rPr>
        <w:t>10.5</w:t>
      </w:r>
      <w:r>
        <w:rPr>
          <w:rFonts w:hint="eastAsia" w:ascii="仿宋" w:hAnsi="Times New Roman" w:eastAsia="仿宋" w:cs="仿宋"/>
          <w:sz w:val="32"/>
          <w:szCs w:val="32"/>
        </w:rPr>
        <w:t>万元，政府采购工程支出</w:t>
      </w:r>
      <w:r>
        <w:rPr>
          <w:rFonts w:ascii="仿宋" w:hAnsi="Times New Roman" w:eastAsia="仿宋" w:cs="仿宋"/>
          <w:sz w:val="32"/>
          <w:szCs w:val="32"/>
        </w:rPr>
        <w:t>0</w:t>
      </w:r>
      <w:r>
        <w:rPr>
          <w:rFonts w:hint="eastAsia" w:ascii="仿宋" w:hAnsi="Times New Roman" w:eastAsia="仿宋" w:cs="仿宋"/>
          <w:sz w:val="32"/>
          <w:szCs w:val="32"/>
        </w:rPr>
        <w:t>万元，政府采购服务支出</w:t>
      </w:r>
      <w:r>
        <w:rPr>
          <w:rFonts w:ascii="仿宋" w:hAnsi="Times New Roman" w:eastAsia="仿宋" w:cs="仿宋"/>
          <w:sz w:val="32"/>
          <w:szCs w:val="32"/>
        </w:rPr>
        <w:t>0</w:t>
      </w:r>
      <w:r>
        <w:rPr>
          <w:rFonts w:hint="eastAsia" w:ascii="仿宋" w:hAnsi="Times New Roman" w:eastAsia="仿宋" w:cs="仿宋"/>
          <w:sz w:val="32"/>
          <w:szCs w:val="32"/>
        </w:rPr>
        <w:t>万元，其中：授予小微企业合同金额</w:t>
      </w:r>
      <w:r>
        <w:rPr>
          <w:rFonts w:hint="eastAsia" w:ascii="仿宋" w:hAnsi="Times New Roman" w:eastAsia="仿宋" w:cs="仿宋"/>
          <w:sz w:val="32"/>
          <w:szCs w:val="32"/>
          <w:lang w:val="en-US" w:eastAsia="zh-CN"/>
        </w:rPr>
        <w:t>10.5</w:t>
      </w:r>
      <w:r>
        <w:rPr>
          <w:rFonts w:hint="eastAsia" w:ascii="仿宋" w:hAnsi="Times New Roman" w:eastAsia="仿宋" w:cs="仿宋"/>
          <w:sz w:val="32"/>
          <w:szCs w:val="32"/>
        </w:rPr>
        <w:t>万元，占政府采购支出总额的</w:t>
      </w:r>
      <w:r>
        <w:rPr>
          <w:rFonts w:hint="eastAsia" w:ascii="仿宋" w:hAnsi="Times New Roman" w:eastAsia="仿宋" w:cs="仿宋"/>
          <w:sz w:val="32"/>
          <w:szCs w:val="32"/>
          <w:lang w:val="en-US" w:eastAsia="zh-CN"/>
        </w:rPr>
        <w:t>100</w:t>
      </w:r>
      <w:r>
        <w:rPr>
          <w:rFonts w:ascii="仿宋" w:hAnsi="Times New Roman" w:eastAsia="仿宋" w:cs="仿宋"/>
          <w:sz w:val="32"/>
          <w:szCs w:val="32"/>
        </w:rPr>
        <w:t>%</w:t>
      </w:r>
      <w:r>
        <w:rPr>
          <w:rFonts w:hint="eastAsia" w:ascii="仿宋" w:hAnsi="Times New Roman" w:eastAsia="仿宋" w:cs="仿宋"/>
          <w:sz w:val="32"/>
          <w:szCs w:val="32"/>
        </w:rPr>
        <w:t>。</w:t>
      </w:r>
    </w:p>
    <w:p>
      <w:pPr>
        <w:keepNext w:val="0"/>
        <w:keepLines w:val="0"/>
        <w:pageBreakBefore w:val="0"/>
        <w:widowControl w:val="0"/>
        <w:wordWrap/>
        <w:topLinePunct w:val="0"/>
        <w:autoSpaceDE w:val="0"/>
        <w:autoSpaceDN w:val="0"/>
        <w:bidi w:val="0"/>
        <w:adjustRightInd w:val="0"/>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十二、国有资产占用情况说明</w:t>
      </w:r>
    </w:p>
    <w:p>
      <w:pPr>
        <w:keepNext w:val="0"/>
        <w:keepLines w:val="0"/>
        <w:pageBreakBefore w:val="0"/>
        <w:widowControl w:val="0"/>
        <w:wordWrap/>
        <w:topLinePunct w:val="0"/>
        <w:bidi w:val="0"/>
        <w:adjustRightInd w:val="0"/>
        <w:snapToGrid w:val="0"/>
        <w:spacing w:line="360" w:lineRule="auto"/>
        <w:ind w:firstLine="640" w:firstLineChars="0"/>
        <w:jc w:val="center"/>
        <w:textAlignment w:val="auto"/>
        <w:outlineLvl w:val="9"/>
        <w:rPr>
          <w:rFonts w:hint="eastAsia" w:ascii="黑体" w:hAnsi="黑体" w:eastAsia="黑体"/>
          <w:sz w:val="36"/>
          <w:szCs w:val="36"/>
        </w:rPr>
      </w:pPr>
      <w:r>
        <w:rPr>
          <w:rFonts w:ascii="仿宋" w:hAnsi="Times New Roman" w:eastAsia="仿宋" w:cs="仿宋"/>
          <w:sz w:val="32"/>
          <w:szCs w:val="32"/>
        </w:rPr>
        <w:t>2017</w:t>
      </w:r>
      <w:r>
        <w:rPr>
          <w:rFonts w:hint="eastAsia" w:ascii="仿宋" w:hAnsi="Times New Roman" w:eastAsia="仿宋" w:cs="仿宋"/>
          <w:sz w:val="32"/>
          <w:szCs w:val="32"/>
        </w:rPr>
        <w:t>年期末，河南省南阳市高新区监察分局共有车辆</w:t>
      </w:r>
      <w:r>
        <w:rPr>
          <w:rFonts w:ascii="仿宋" w:hAnsi="Times New Roman" w:eastAsia="仿宋" w:cs="仿宋"/>
          <w:sz w:val="32"/>
          <w:szCs w:val="32"/>
        </w:rPr>
        <w:t>1</w:t>
      </w:r>
      <w:r>
        <w:rPr>
          <w:rFonts w:hint="eastAsia" w:ascii="仿宋" w:hAnsi="Times New Roman" w:eastAsia="仿宋" w:cs="仿宋"/>
          <w:sz w:val="32"/>
          <w:szCs w:val="32"/>
        </w:rPr>
        <w:t>辆，其中：一般公务用车</w:t>
      </w:r>
      <w:r>
        <w:rPr>
          <w:rFonts w:ascii="仿宋" w:hAnsi="Times New Roman" w:eastAsia="仿宋" w:cs="仿宋"/>
          <w:sz w:val="32"/>
          <w:szCs w:val="32"/>
        </w:rPr>
        <w:t>1</w:t>
      </w:r>
      <w:r>
        <w:rPr>
          <w:rFonts w:hint="eastAsia" w:ascii="仿宋" w:hAnsi="Times New Roman" w:eastAsia="仿宋" w:cs="仿宋"/>
          <w:sz w:val="32"/>
          <w:szCs w:val="32"/>
        </w:rPr>
        <w:t>辆、一般执法执勤用车</w:t>
      </w:r>
      <w:r>
        <w:rPr>
          <w:rFonts w:ascii="仿宋" w:hAnsi="Times New Roman" w:eastAsia="仿宋" w:cs="仿宋"/>
          <w:sz w:val="32"/>
          <w:szCs w:val="32"/>
        </w:rPr>
        <w:t>0</w:t>
      </w:r>
      <w:r>
        <w:rPr>
          <w:rFonts w:hint="eastAsia" w:ascii="仿宋" w:hAnsi="Times New Roman" w:eastAsia="仿宋" w:cs="仿宋"/>
          <w:sz w:val="32"/>
          <w:szCs w:val="32"/>
        </w:rPr>
        <w:t>辆、特种专业技术用车</w:t>
      </w:r>
      <w:r>
        <w:rPr>
          <w:rFonts w:ascii="仿宋" w:hAnsi="Times New Roman" w:eastAsia="仿宋" w:cs="仿宋"/>
          <w:sz w:val="32"/>
          <w:szCs w:val="32"/>
        </w:rPr>
        <w:t>0</w:t>
      </w:r>
      <w:r>
        <w:rPr>
          <w:rFonts w:hint="eastAsia" w:ascii="仿宋" w:hAnsi="Times New Roman" w:eastAsia="仿宋" w:cs="仿宋"/>
          <w:sz w:val="32"/>
          <w:szCs w:val="32"/>
        </w:rPr>
        <w:t>辆，其他用车</w:t>
      </w:r>
      <w:r>
        <w:rPr>
          <w:rFonts w:ascii="仿宋" w:hAnsi="Times New Roman" w:eastAsia="仿宋" w:cs="仿宋"/>
          <w:sz w:val="32"/>
          <w:szCs w:val="32"/>
        </w:rPr>
        <w:t>0</w:t>
      </w:r>
      <w:r>
        <w:rPr>
          <w:rFonts w:hint="eastAsia" w:ascii="仿宋" w:hAnsi="Times New Roman" w:eastAsia="仿宋" w:cs="仿宋"/>
          <w:sz w:val="32"/>
          <w:szCs w:val="32"/>
        </w:rPr>
        <w:t>辆；单位价值</w:t>
      </w:r>
      <w:r>
        <w:rPr>
          <w:rFonts w:ascii="仿宋" w:hAnsi="Times New Roman" w:eastAsia="仿宋" w:cs="仿宋"/>
          <w:sz w:val="32"/>
          <w:szCs w:val="32"/>
        </w:rPr>
        <w:t>50</w:t>
      </w:r>
      <w:r>
        <w:rPr>
          <w:rFonts w:hint="eastAsia" w:ascii="仿宋" w:hAnsi="Times New Roman" w:eastAsia="仿宋" w:cs="仿宋"/>
          <w:sz w:val="32"/>
          <w:szCs w:val="32"/>
        </w:rPr>
        <w:t>万元以上通用设备</w:t>
      </w:r>
      <w:r>
        <w:rPr>
          <w:rFonts w:ascii="仿宋" w:hAnsi="Times New Roman" w:eastAsia="仿宋" w:cs="仿宋"/>
          <w:sz w:val="32"/>
          <w:szCs w:val="32"/>
        </w:rPr>
        <w:t>0</w:t>
      </w:r>
      <w:r>
        <w:rPr>
          <w:rFonts w:hint="eastAsia" w:ascii="仿宋" w:hAnsi="Times New Roman" w:eastAsia="仿宋" w:cs="仿宋"/>
          <w:sz w:val="32"/>
          <w:szCs w:val="32"/>
        </w:rPr>
        <w:t>台（套），单位价值</w:t>
      </w:r>
      <w:r>
        <w:rPr>
          <w:rFonts w:ascii="仿宋" w:hAnsi="Times New Roman" w:eastAsia="仿宋" w:cs="仿宋"/>
          <w:sz w:val="32"/>
          <w:szCs w:val="32"/>
        </w:rPr>
        <w:t>100</w:t>
      </w:r>
      <w:r>
        <w:rPr>
          <w:rFonts w:hint="eastAsia" w:ascii="仿宋" w:hAnsi="Times New Roman" w:eastAsia="仿宋" w:cs="仿宋"/>
          <w:sz w:val="32"/>
          <w:szCs w:val="32"/>
        </w:rPr>
        <w:t>万元以上专用设备0台（套）</w:t>
      </w:r>
      <w:r>
        <w:rPr>
          <w:rFonts w:hint="eastAsia" w:ascii="黑体" w:hAnsi="黑体" w:eastAsia="黑体"/>
          <w:sz w:val="36"/>
          <w:szCs w:val="36"/>
        </w:rPr>
        <w:t>。</w:t>
      </w:r>
    </w:p>
    <w:p>
      <w:pPr>
        <w:keepNext w:val="0"/>
        <w:keepLines w:val="0"/>
        <w:pageBreakBefore w:val="0"/>
        <w:widowControl w:val="0"/>
        <w:wordWrap/>
        <w:topLinePunct w:val="0"/>
        <w:bidi w:val="0"/>
        <w:adjustRightInd w:val="0"/>
        <w:snapToGrid w:val="0"/>
        <w:spacing w:line="360" w:lineRule="auto"/>
        <w:ind w:firstLine="640" w:firstLineChars="0"/>
        <w:jc w:val="center"/>
        <w:textAlignment w:val="auto"/>
        <w:outlineLvl w:val="9"/>
        <w:rPr>
          <w:rFonts w:hint="eastAsia" w:ascii="黑体" w:hAnsi="黑体" w:eastAsia="黑体"/>
          <w:sz w:val="36"/>
          <w:szCs w:val="36"/>
        </w:rPr>
      </w:pPr>
    </w:p>
    <w:p>
      <w:pPr>
        <w:keepNext w:val="0"/>
        <w:keepLines w:val="0"/>
        <w:pageBreakBefore w:val="0"/>
        <w:widowControl w:val="0"/>
        <w:wordWrap/>
        <w:topLinePunct w:val="0"/>
        <w:bidi w:val="0"/>
        <w:adjustRightInd w:val="0"/>
        <w:snapToGrid w:val="0"/>
        <w:spacing w:line="360" w:lineRule="auto"/>
        <w:ind w:firstLine="0" w:firstLineChars="0"/>
        <w:jc w:val="center"/>
        <w:textAlignment w:val="auto"/>
        <w:outlineLvl w:val="9"/>
        <w:rPr>
          <w:rFonts w:hint="eastAsia" w:ascii="黑体" w:hAnsi="黑体" w:eastAsia="黑体"/>
          <w:sz w:val="36"/>
          <w:szCs w:val="36"/>
        </w:rPr>
      </w:pPr>
      <w:r>
        <w:rPr>
          <w:rFonts w:hint="eastAsia" w:ascii="黑体" w:hAnsi="黑体" w:eastAsia="黑体"/>
          <w:sz w:val="36"/>
          <w:szCs w:val="36"/>
        </w:rPr>
        <w:t xml:space="preserve">    第四部分  名词解释</w:t>
      </w:r>
    </w:p>
    <w:p>
      <w:pPr>
        <w:keepNext w:val="0"/>
        <w:keepLines w:val="0"/>
        <w:pageBreakBefore w:val="0"/>
        <w:widowControl w:val="0"/>
        <w:kinsoku w:val="0"/>
        <w:wordWrap/>
        <w:overflowPunct w:val="0"/>
        <w:topLinePunct w:val="0"/>
        <w:bidi w:val="0"/>
        <w:adjustRightInd w:val="0"/>
        <w:snapToGrid w:val="0"/>
        <w:spacing w:line="360" w:lineRule="auto"/>
        <w:ind w:left="101" w:right="521" w:firstLine="512"/>
        <w:jc w:val="center"/>
        <w:textAlignment w:val="auto"/>
        <w:outlineLvl w:val="9"/>
        <w:rPr>
          <w:rFonts w:ascii="黑体" w:eastAsia="黑体" w:cs="黑体"/>
          <w:spacing w:val="-32"/>
          <w:szCs w:val="32"/>
        </w:rPr>
      </w:pPr>
    </w:p>
    <w:p>
      <w:pPr>
        <w:pStyle w:val="2"/>
        <w:keepNext w:val="0"/>
        <w:keepLines w:val="0"/>
        <w:pageBreakBefore w:val="0"/>
        <w:widowControl w:val="0"/>
        <w:kinsoku w:val="0"/>
        <w:wordWrap/>
        <w:overflowPunct w:val="0"/>
        <w:topLinePunct w:val="0"/>
        <w:bidi w:val="0"/>
        <w:snapToGrid w:val="0"/>
        <w:spacing w:line="360" w:lineRule="auto"/>
        <w:ind w:left="0" w:firstLine="600" w:firstLineChars="2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一、财政拨款收入：是指财政当年拨付的资金。</w:t>
      </w:r>
    </w:p>
    <w:p>
      <w:pPr>
        <w:pStyle w:val="2"/>
        <w:keepNext w:val="0"/>
        <w:keepLines w:val="0"/>
        <w:pageBreakBefore w:val="0"/>
        <w:widowControl w:val="0"/>
        <w:kinsoku w:val="0"/>
        <w:wordWrap/>
        <w:overflowPunct w:val="0"/>
        <w:topLinePunct w:val="0"/>
        <w:bidi w:val="0"/>
        <w:snapToGrid w:val="0"/>
        <w:spacing w:line="360" w:lineRule="auto"/>
        <w:ind w:left="0" w:firstLine="600" w:firstLineChars="2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二、事业收入：是指事业单位开展专业活动及辅助活动所取 得的收入。</w:t>
      </w:r>
    </w:p>
    <w:p>
      <w:pPr>
        <w:pStyle w:val="2"/>
        <w:keepNext w:val="0"/>
        <w:keepLines w:val="0"/>
        <w:pageBreakBefore w:val="0"/>
        <w:widowControl w:val="0"/>
        <w:kinsoku w:val="0"/>
        <w:wordWrap/>
        <w:overflowPunct w:val="0"/>
        <w:topLinePunct w:val="0"/>
        <w:bidi w:val="0"/>
        <w:snapToGrid w:val="0"/>
        <w:spacing w:line="360" w:lineRule="auto"/>
        <w:ind w:left="0" w:firstLine="600" w:firstLineChars="2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 xml:space="preserve">三、其他收入：是指部门取得的除“财政拨款”、“事业收入”、“事业单位经营收入”等以外的收入。 </w:t>
      </w:r>
    </w:p>
    <w:p>
      <w:pPr>
        <w:pStyle w:val="2"/>
        <w:keepNext w:val="0"/>
        <w:keepLines w:val="0"/>
        <w:pageBreakBefore w:val="0"/>
        <w:widowControl w:val="0"/>
        <w:kinsoku w:val="0"/>
        <w:wordWrap/>
        <w:overflowPunct w:val="0"/>
        <w:topLinePunct w:val="0"/>
        <w:bidi w:val="0"/>
        <w:snapToGrid w:val="0"/>
        <w:spacing w:line="360" w:lineRule="auto"/>
        <w:ind w:left="0" w:firstLine="600" w:firstLineChars="2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pStyle w:val="2"/>
        <w:keepNext w:val="0"/>
        <w:keepLines w:val="0"/>
        <w:pageBreakBefore w:val="0"/>
        <w:widowControl w:val="0"/>
        <w:kinsoku w:val="0"/>
        <w:wordWrap/>
        <w:overflowPunct w:val="0"/>
        <w:topLinePunct w:val="0"/>
        <w:bidi w:val="0"/>
        <w:snapToGrid w:val="0"/>
        <w:spacing w:line="360" w:lineRule="auto"/>
        <w:ind w:left="0" w:firstLine="600" w:firstLineChars="2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五、上年结转和结余：是指以前年度支出预算因客观条件变化未执行完毕、结转到本年度按有关规定继续使用的资金，既包括财政拨款结转和结余，也包括事业收入、经营收入、其他收入的结转和结余。</w:t>
      </w:r>
    </w:p>
    <w:p>
      <w:pPr>
        <w:pStyle w:val="2"/>
        <w:keepNext w:val="0"/>
        <w:keepLines w:val="0"/>
        <w:pageBreakBefore w:val="0"/>
        <w:widowControl w:val="0"/>
        <w:kinsoku w:val="0"/>
        <w:wordWrap/>
        <w:overflowPunct w:val="0"/>
        <w:topLinePunct w:val="0"/>
        <w:bidi w:val="0"/>
        <w:snapToGrid w:val="0"/>
        <w:spacing w:line="360" w:lineRule="auto"/>
        <w:ind w:left="0" w:firstLine="600" w:firstLineChars="2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六、基本支出：是指为保障机构正常运转、完成日常工作任务所必需的开支，其内容包括人员经费和日常公用经费两部分。</w:t>
      </w:r>
    </w:p>
    <w:p>
      <w:pPr>
        <w:pStyle w:val="2"/>
        <w:keepNext w:val="0"/>
        <w:keepLines w:val="0"/>
        <w:pageBreakBefore w:val="0"/>
        <w:widowControl w:val="0"/>
        <w:kinsoku w:val="0"/>
        <w:wordWrap/>
        <w:overflowPunct w:val="0"/>
        <w:topLinePunct w:val="0"/>
        <w:bidi w:val="0"/>
        <w:snapToGrid w:val="0"/>
        <w:spacing w:line="360" w:lineRule="auto"/>
        <w:ind w:left="0" w:firstLine="600" w:firstLineChars="2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七、项目支出：是指在基本支出之外，为完成特定的行政工作任务或事业发展目标所发生的支出。</w:t>
      </w:r>
    </w:p>
    <w:p>
      <w:pPr>
        <w:pStyle w:val="2"/>
        <w:keepNext w:val="0"/>
        <w:keepLines w:val="0"/>
        <w:pageBreakBefore w:val="0"/>
        <w:widowControl w:val="0"/>
        <w:kinsoku w:val="0"/>
        <w:wordWrap/>
        <w:overflowPunct w:val="0"/>
        <w:topLinePunct w:val="0"/>
        <w:bidi w:val="0"/>
        <w:snapToGrid w:val="0"/>
        <w:spacing w:line="360" w:lineRule="auto"/>
        <w:ind w:left="0" w:firstLine="600" w:firstLineChars="2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八、一般公共服务（类）××事务（款）：是指南阳市高新区</w:t>
      </w:r>
      <w:r>
        <w:rPr>
          <w:rFonts w:hint="eastAsia" w:ascii="仿宋" w:hAnsi="仿宋" w:eastAsia="仿宋" w:cs="仿宋"/>
          <w:kern w:val="2"/>
          <w:sz w:val="30"/>
          <w:szCs w:val="30"/>
          <w:lang w:eastAsia="zh-CN"/>
        </w:rPr>
        <w:t>监察分局</w:t>
      </w:r>
      <w:r>
        <w:rPr>
          <w:rFonts w:hint="eastAsia" w:ascii="仿宋" w:hAnsi="仿宋" w:eastAsia="仿宋" w:cs="仿宋"/>
          <w:kern w:val="2"/>
          <w:sz w:val="30"/>
          <w:szCs w:val="30"/>
        </w:rPr>
        <w:t>用于保障机构正常运行、开展××业务等活动的支出。</w:t>
      </w:r>
    </w:p>
    <w:p>
      <w:pPr>
        <w:pStyle w:val="2"/>
        <w:keepNext w:val="0"/>
        <w:keepLines w:val="0"/>
        <w:pageBreakBefore w:val="0"/>
        <w:widowControl w:val="0"/>
        <w:kinsoku w:val="0"/>
        <w:wordWrap/>
        <w:overflowPunct w:val="0"/>
        <w:topLinePunct w:val="0"/>
        <w:bidi w:val="0"/>
        <w:snapToGrid w:val="0"/>
        <w:spacing w:line="360" w:lineRule="auto"/>
        <w:ind w:left="0" w:firstLine="600" w:firstLineChars="2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（一）行政运行（项）：是指为保障南阳市高新区纪检</w:t>
      </w:r>
      <w:r>
        <w:rPr>
          <w:rFonts w:hint="eastAsia" w:ascii="仿宋" w:hAnsi="仿宋" w:eastAsia="仿宋" w:cs="仿宋"/>
          <w:kern w:val="2"/>
          <w:sz w:val="30"/>
          <w:szCs w:val="30"/>
          <w:lang w:eastAsia="zh-CN"/>
        </w:rPr>
        <w:t>监察分局</w:t>
      </w:r>
      <w:r>
        <w:rPr>
          <w:rFonts w:hint="eastAsia" w:ascii="仿宋" w:hAnsi="仿宋" w:eastAsia="仿宋" w:cs="仿宋"/>
          <w:kern w:val="2"/>
          <w:sz w:val="30"/>
          <w:szCs w:val="30"/>
        </w:rPr>
        <w:t>各行政机构正常运转、完成日常工作任务安排的支出。</w:t>
      </w:r>
    </w:p>
    <w:p>
      <w:pPr>
        <w:pStyle w:val="2"/>
        <w:keepNext w:val="0"/>
        <w:keepLines w:val="0"/>
        <w:pageBreakBefore w:val="0"/>
        <w:widowControl w:val="0"/>
        <w:kinsoku w:val="0"/>
        <w:wordWrap/>
        <w:overflowPunct w:val="0"/>
        <w:topLinePunct w:val="0"/>
        <w:bidi w:val="0"/>
        <w:snapToGrid w:val="0"/>
        <w:spacing w:line="360" w:lineRule="auto"/>
        <w:ind w:left="0" w:firstLine="600" w:firstLineChars="2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（二）一般行政管理事务（项）：是指南阳市高新区</w:t>
      </w:r>
      <w:r>
        <w:rPr>
          <w:rFonts w:hint="eastAsia" w:ascii="仿宋" w:hAnsi="仿宋" w:eastAsia="仿宋" w:cs="仿宋"/>
          <w:kern w:val="2"/>
          <w:sz w:val="30"/>
          <w:szCs w:val="30"/>
          <w:lang w:eastAsia="zh-CN"/>
        </w:rPr>
        <w:t>监察分局</w:t>
      </w:r>
      <w:r>
        <w:rPr>
          <w:rFonts w:hint="eastAsia" w:ascii="仿宋" w:hAnsi="仿宋" w:eastAsia="仿宋" w:cs="仿宋"/>
          <w:kern w:val="2"/>
          <w:sz w:val="30"/>
          <w:szCs w:val="30"/>
        </w:rPr>
        <w:t>机关及所属二级单位的项目支出。</w:t>
      </w:r>
    </w:p>
    <w:p>
      <w:pPr>
        <w:pStyle w:val="2"/>
        <w:keepNext w:val="0"/>
        <w:keepLines w:val="0"/>
        <w:pageBreakBefore w:val="0"/>
        <w:widowControl w:val="0"/>
        <w:kinsoku w:val="0"/>
        <w:wordWrap/>
        <w:overflowPunct w:val="0"/>
        <w:topLinePunct w:val="0"/>
        <w:bidi w:val="0"/>
        <w:snapToGrid w:val="0"/>
        <w:spacing w:line="360" w:lineRule="auto"/>
        <w:ind w:left="0" w:firstLine="600" w:firstLineChars="2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（三）机关服务（项）：是指为南阳市高新区</w:t>
      </w:r>
      <w:r>
        <w:rPr>
          <w:rFonts w:hint="eastAsia" w:ascii="仿宋" w:hAnsi="仿宋" w:eastAsia="仿宋" w:cs="仿宋"/>
          <w:kern w:val="2"/>
          <w:sz w:val="30"/>
          <w:szCs w:val="30"/>
          <w:lang w:eastAsia="zh-CN"/>
        </w:rPr>
        <w:t>监察分局</w:t>
      </w:r>
      <w:r>
        <w:rPr>
          <w:rFonts w:hint="eastAsia" w:ascii="仿宋" w:hAnsi="仿宋" w:eastAsia="仿宋" w:cs="仿宋"/>
          <w:kern w:val="2"/>
          <w:sz w:val="30"/>
          <w:szCs w:val="30"/>
        </w:rPr>
        <w:t>机关提供后勤保障服务的机关服务局的支出。</w:t>
      </w:r>
    </w:p>
    <w:p>
      <w:pPr>
        <w:pStyle w:val="2"/>
        <w:keepNext w:val="0"/>
        <w:keepLines w:val="0"/>
        <w:pageBreakBefore w:val="0"/>
        <w:widowControl w:val="0"/>
        <w:kinsoku w:val="0"/>
        <w:wordWrap/>
        <w:overflowPunct w:val="0"/>
        <w:topLinePunct w:val="0"/>
        <w:bidi w:val="0"/>
        <w:snapToGrid w:val="0"/>
        <w:spacing w:line="360" w:lineRule="auto"/>
        <w:ind w:left="0" w:firstLine="600" w:firstLineChars="2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（四）事业运行（项）：是指事业单位用于保障机构正常运转的基本支出。</w:t>
      </w:r>
    </w:p>
    <w:p>
      <w:pPr>
        <w:pStyle w:val="2"/>
        <w:keepNext w:val="0"/>
        <w:keepLines w:val="0"/>
        <w:pageBreakBefore w:val="0"/>
        <w:widowControl w:val="0"/>
        <w:kinsoku w:val="0"/>
        <w:wordWrap/>
        <w:overflowPunct w:val="0"/>
        <w:topLinePunct w:val="0"/>
        <w:bidi w:val="0"/>
        <w:snapToGrid w:val="0"/>
        <w:spacing w:line="360" w:lineRule="auto"/>
        <w:ind w:left="0" w:firstLine="600" w:firstLineChars="2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kinsoku w:val="0"/>
        <w:wordWrap/>
        <w:overflowPunct w:val="0"/>
        <w:topLinePunct w:val="0"/>
        <w:bidi w:val="0"/>
        <w:snapToGrid w:val="0"/>
        <w:spacing w:line="360" w:lineRule="auto"/>
        <w:ind w:lef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kern w:val="2"/>
          <w:sz w:val="30"/>
          <w:szCs w:val="30"/>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wordWrap/>
        <w:topLinePunct w:val="0"/>
        <w:autoSpaceDE w:val="0"/>
        <w:autoSpaceDN w:val="0"/>
        <w:bidi w:val="0"/>
        <w:adjustRightInd w:val="0"/>
        <w:spacing w:line="360" w:lineRule="auto"/>
        <w:jc w:val="left"/>
        <w:textAlignment w:val="auto"/>
        <w:outlineLvl w:val="9"/>
        <w:rPr>
          <w:rFonts w:ascii="仿宋" w:hAnsi="Times New Roman" w:eastAsia="仿宋" w:cs="仿宋"/>
          <w:sz w:val="32"/>
          <w:szCs w:val="32"/>
        </w:rPr>
      </w:pPr>
    </w:p>
    <w:p>
      <w:pPr>
        <w:keepNext w:val="0"/>
        <w:keepLines w:val="0"/>
        <w:pageBreakBefore w:val="0"/>
        <w:widowControl w:val="0"/>
        <w:wordWrap/>
        <w:topLinePunct w:val="0"/>
        <w:autoSpaceDE w:val="0"/>
        <w:autoSpaceDN w:val="0"/>
        <w:bidi w:val="0"/>
        <w:adjustRightInd w:val="0"/>
        <w:spacing w:line="360" w:lineRule="auto"/>
        <w:jc w:val="left"/>
        <w:textAlignment w:val="auto"/>
        <w:outlineLvl w:val="9"/>
        <w:rPr>
          <w:rFonts w:ascii="Times New Roman" w:hAnsi="Times New Roman" w:eastAsia="仿宋" w:cs="Times New Roman"/>
          <w:sz w:val="52"/>
          <w:szCs w:val="52"/>
        </w:rPr>
      </w:pPr>
      <w:r>
        <w:rPr>
          <w:rFonts w:ascii="仿宋" w:hAnsi="Times New Roman" w:eastAsia="仿宋" w:cs="仿宋"/>
          <w:sz w:val="32"/>
          <w:szCs w:val="32"/>
        </w:rPr>
        <w:t xml:space="preserve">   </w:t>
      </w:r>
    </w:p>
    <w:p>
      <w:pPr>
        <w:keepNext w:val="0"/>
        <w:keepLines w:val="0"/>
        <w:pageBreakBefore w:val="0"/>
        <w:widowControl w:val="0"/>
        <w:wordWrap/>
        <w:topLinePunct w:val="0"/>
        <w:autoSpaceDE w:val="0"/>
        <w:autoSpaceDN w:val="0"/>
        <w:bidi w:val="0"/>
        <w:adjustRightInd w:val="0"/>
        <w:spacing w:line="360" w:lineRule="auto"/>
        <w:textAlignment w:val="auto"/>
        <w:outlineLvl w:val="9"/>
        <w:rPr>
          <w:rFonts w:ascii="Times New Roman" w:hAnsi="Times New Roman" w:eastAsia="仿宋" w:cs="Times New Roman"/>
          <w:szCs w:val="21"/>
        </w:rPr>
      </w:pPr>
    </w:p>
    <w:p>
      <w:pPr>
        <w:keepNext w:val="0"/>
        <w:keepLines w:val="0"/>
        <w:pageBreakBefore w:val="0"/>
        <w:widowControl w:val="0"/>
        <w:wordWrap/>
        <w:topLinePunct w:val="0"/>
        <w:autoSpaceDE w:val="0"/>
        <w:autoSpaceDN w:val="0"/>
        <w:bidi w:val="0"/>
        <w:adjustRightInd w:val="0"/>
        <w:spacing w:line="360" w:lineRule="auto"/>
        <w:jc w:val="left"/>
        <w:textAlignment w:val="auto"/>
        <w:outlineLvl w:val="9"/>
        <w:rPr>
          <w:rFonts w:ascii="宋体" w:hAnsi="Times New Roman" w:eastAsia="宋体" w:cs="宋体"/>
          <w:kern w:val="0"/>
          <w:sz w:val="18"/>
          <w:szCs w:val="18"/>
          <w:lang w:val="zh-CN"/>
        </w:rPr>
      </w:pPr>
    </w:p>
    <w:p>
      <w:pPr>
        <w:keepNext w:val="0"/>
        <w:keepLines w:val="0"/>
        <w:pageBreakBefore w:val="0"/>
        <w:widowControl w:val="0"/>
        <w:wordWrap/>
        <w:topLinePunct w:val="0"/>
        <w:bidi w:val="0"/>
        <w:spacing w:line="360" w:lineRule="auto"/>
        <w:textAlignment w:val="auto"/>
        <w:outlineLvl w:val="9"/>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BA6AAB"/>
    <w:multiLevelType w:val="singleLevel"/>
    <w:tmpl w:val="B8BA6A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2063"/>
    <w:rsid w:val="00062063"/>
    <w:rsid w:val="0033126C"/>
    <w:rsid w:val="05702922"/>
    <w:rsid w:val="091610CA"/>
    <w:rsid w:val="0995589E"/>
    <w:rsid w:val="0BD82F65"/>
    <w:rsid w:val="1A617C16"/>
    <w:rsid w:val="1AE7764F"/>
    <w:rsid w:val="1B254CFF"/>
    <w:rsid w:val="1F332DAB"/>
    <w:rsid w:val="21562608"/>
    <w:rsid w:val="223619BD"/>
    <w:rsid w:val="238204B7"/>
    <w:rsid w:val="26FF1058"/>
    <w:rsid w:val="296A6C06"/>
    <w:rsid w:val="2CAC6C58"/>
    <w:rsid w:val="2EAE5214"/>
    <w:rsid w:val="31C360FA"/>
    <w:rsid w:val="38902E1F"/>
    <w:rsid w:val="38D93AF9"/>
    <w:rsid w:val="39A0235D"/>
    <w:rsid w:val="3B305944"/>
    <w:rsid w:val="3D315EA2"/>
    <w:rsid w:val="3EC71948"/>
    <w:rsid w:val="40F472CB"/>
    <w:rsid w:val="41C57761"/>
    <w:rsid w:val="46AA5656"/>
    <w:rsid w:val="51082CD3"/>
    <w:rsid w:val="556F5A47"/>
    <w:rsid w:val="56105144"/>
    <w:rsid w:val="5BAE4D67"/>
    <w:rsid w:val="70F34154"/>
    <w:rsid w:val="71455C7F"/>
    <w:rsid w:val="74022911"/>
    <w:rsid w:val="7AB25010"/>
    <w:rsid w:val="7E0E3577"/>
    <w:rsid w:val="7F0E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pacing w:line="240" w:lineRule="auto"/>
      <w:ind w:left="761" w:firstLine="0" w:firstLineChars="0"/>
      <w:jc w:val="left"/>
    </w:pPr>
    <w:rPr>
      <w:rFonts w:ascii="仿宋_GB2312" w:cs="仿宋_GB2312"/>
      <w:kern w:val="0"/>
      <w:szCs w:val="32"/>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428</Words>
  <Characters>2442</Characters>
  <Lines>20</Lines>
  <Paragraphs>5</Paragraphs>
  <TotalTime>4</TotalTime>
  <ScaleCrop>false</ScaleCrop>
  <LinksUpToDate>false</LinksUpToDate>
  <CharactersWithSpaces>2865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2018-09-06T08:44:00Z</dcterms:created>
  <dc:creator>工作</dc:creator>
  <cp:lastModifiedBy>lenovo</cp:lastModifiedBy>
  <dcterms:modified xsi:type="dcterms:W3CDTF">2018-09-18T08:36:08Z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