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56" w:lineRule="auto"/>
        <w:rPr>
          <w:rFonts w:ascii="Arial"/>
          <w:sz w:val="21"/>
        </w:rPr>
      </w:pPr>
      <w:r>
        <w:pict>
          <v:shape id="_x0000_s1026" o:spid="_x0000_s1026" o:spt="202" type="#_x0000_t202" style="position:absolute;left:0pt;margin-left:385.95pt;margin-top:492.85pt;height:11.85pt;width:37.85pt;mso-position-horizontal-relative:page;mso-position-vertical-relative:page;z-index:25165926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196" w:lineRule="exact"/>
                    <w:ind w:left="20"/>
                    <w:rPr>
                      <w:rFonts w:ascii="宋体" w:hAnsi="宋体" w:eastAsia="宋体" w:cs="宋体"/>
                      <w:sz w:val="29"/>
                      <w:szCs w:val="29"/>
                    </w:rPr>
                  </w:pPr>
                  <w:r>
                    <w:rPr>
                      <w:rFonts w:ascii="宋体" w:hAnsi="宋体" w:eastAsia="宋体" w:cs="宋体"/>
                      <w:spacing w:val="-5"/>
                      <w:position w:val="-5"/>
                      <w:sz w:val="29"/>
                      <w:szCs w:val="29"/>
                    </w:rPr>
                    <w:t>—</w:t>
                  </w:r>
                  <w:r>
                    <w:rPr>
                      <w:rFonts w:ascii="宋体" w:hAnsi="宋体" w:eastAsia="宋体" w:cs="宋体"/>
                      <w:spacing w:val="8"/>
                      <w:position w:val="-5"/>
                      <w:sz w:val="29"/>
                      <w:szCs w:val="29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-5"/>
                      <w:position w:val="-5"/>
                      <w:sz w:val="29"/>
                      <w:szCs w:val="29"/>
                    </w:rPr>
                    <w:t>—</w:t>
                  </w:r>
                </w:p>
              </w:txbxContent>
            </v:textbox>
          </v:shape>
        </w:pict>
      </w:r>
    </w:p>
    <w:p>
      <w:pPr>
        <w:spacing w:line="256" w:lineRule="auto"/>
        <w:rPr>
          <w:rFonts w:ascii="Arial"/>
          <w:sz w:val="21"/>
        </w:rPr>
      </w:pPr>
    </w:p>
    <w:p>
      <w:pPr>
        <w:spacing w:before="143" w:line="219" w:lineRule="auto"/>
        <w:ind w:left="3051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20"/>
          <w:sz w:val="44"/>
          <w:szCs w:val="44"/>
        </w:rPr>
        <w:t>河南省失信惩戒措施补充清单(2022年版)</w:t>
      </w:r>
    </w:p>
    <w:p/>
    <w:p>
      <w:pPr>
        <w:spacing w:line="109" w:lineRule="exact"/>
      </w:pPr>
    </w:p>
    <w:tbl>
      <w:tblPr>
        <w:tblStyle w:val="5"/>
        <w:tblW w:w="1473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5"/>
        <w:gridCol w:w="1349"/>
        <w:gridCol w:w="669"/>
        <w:gridCol w:w="3208"/>
        <w:gridCol w:w="4647"/>
        <w:gridCol w:w="2928"/>
        <w:gridCol w:w="12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715" w:type="dxa"/>
            <w:vAlign w:val="top"/>
          </w:tcPr>
          <w:p>
            <w:pPr>
              <w:spacing w:before="72" w:line="216" w:lineRule="auto"/>
              <w:ind w:left="108" w:right="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17"/>
                <w:sz w:val="24"/>
                <w:szCs w:val="24"/>
              </w:rPr>
              <w:t>项目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1349" w:type="dxa"/>
            <w:vAlign w:val="top"/>
          </w:tcPr>
          <w:p>
            <w:pPr>
              <w:spacing w:before="202" w:line="220" w:lineRule="auto"/>
              <w:ind w:left="17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>惩戒措施</w:t>
            </w:r>
          </w:p>
        </w:tc>
        <w:tc>
          <w:tcPr>
            <w:tcW w:w="669" w:type="dxa"/>
            <w:vAlign w:val="top"/>
          </w:tcPr>
          <w:p>
            <w:pPr>
              <w:spacing w:before="206" w:line="221" w:lineRule="auto"/>
              <w:ind w:left="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序号</w:t>
            </w:r>
          </w:p>
        </w:tc>
        <w:tc>
          <w:tcPr>
            <w:tcW w:w="3208" w:type="dxa"/>
            <w:vAlign w:val="top"/>
          </w:tcPr>
          <w:p>
            <w:pPr>
              <w:spacing w:before="201" w:line="219" w:lineRule="auto"/>
              <w:ind w:left="11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3"/>
                <w:sz w:val="24"/>
                <w:szCs w:val="24"/>
              </w:rPr>
              <w:t>惩戒内容</w:t>
            </w:r>
          </w:p>
        </w:tc>
        <w:tc>
          <w:tcPr>
            <w:tcW w:w="4647" w:type="dxa"/>
            <w:vAlign w:val="top"/>
          </w:tcPr>
          <w:p>
            <w:pPr>
              <w:spacing w:before="201" w:line="219" w:lineRule="auto"/>
              <w:ind w:left="18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8"/>
                <w:sz w:val="24"/>
                <w:szCs w:val="24"/>
              </w:rPr>
              <w:t>惩戒对象</w:t>
            </w:r>
          </w:p>
        </w:tc>
        <w:tc>
          <w:tcPr>
            <w:tcW w:w="2928" w:type="dxa"/>
            <w:vAlign w:val="top"/>
          </w:tcPr>
          <w:p>
            <w:pPr>
              <w:spacing w:before="199" w:line="219" w:lineRule="auto"/>
              <w:ind w:left="75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24"/>
                <w:szCs w:val="24"/>
              </w:rPr>
              <w:t>法规政策依据</w:t>
            </w:r>
          </w:p>
        </w:tc>
        <w:tc>
          <w:tcPr>
            <w:tcW w:w="1214" w:type="dxa"/>
            <w:vAlign w:val="top"/>
          </w:tcPr>
          <w:p>
            <w:pPr>
              <w:spacing w:before="202" w:line="220" w:lineRule="auto"/>
              <w:ind w:left="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>实施主体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8" w:hRule="atLeast"/>
        </w:trPr>
        <w:tc>
          <w:tcPr>
            <w:tcW w:w="71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restart"/>
            <w:tcBorders>
              <w:bottom w:val="nil"/>
            </w:tcBorders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before="78" w:line="227" w:lineRule="auto"/>
              <w:ind w:left="40" w:right="8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依法依规实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施市场或行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业禁入</w:t>
            </w:r>
          </w:p>
        </w:tc>
        <w:tc>
          <w:tcPr>
            <w:tcW w:w="6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78" w:line="184" w:lineRule="auto"/>
              <w:ind w:left="2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3208" w:type="dxa"/>
            <w:vAlign w:val="top"/>
          </w:tcPr>
          <w:p>
            <w:pPr>
              <w:spacing w:line="418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不再将其列入审查机构名录</w:t>
            </w:r>
          </w:p>
        </w:tc>
        <w:tc>
          <w:tcPr>
            <w:tcW w:w="4647" w:type="dxa"/>
            <w:vAlign w:val="top"/>
          </w:tcPr>
          <w:p>
            <w:pPr>
              <w:spacing w:before="101" w:line="228" w:lineRule="auto"/>
              <w:ind w:left="54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违反《河南省绿色建筑条例》第十五条规定，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对不符合绿色建筑等级和标准要求的施工图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设计文件出具审查合格意见，且情节严重的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施工图设计文件审查机构</w:t>
            </w:r>
          </w:p>
        </w:tc>
        <w:tc>
          <w:tcPr>
            <w:tcW w:w="2928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before="74" w:line="238" w:lineRule="auto"/>
              <w:ind w:left="118" w:hanging="11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《河南省绿色建筑条例》第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十五条、第三十八条</w:t>
            </w:r>
          </w:p>
        </w:tc>
        <w:tc>
          <w:tcPr>
            <w:tcW w:w="1214" w:type="dxa"/>
            <w:vAlign w:val="top"/>
          </w:tcPr>
          <w:p>
            <w:pPr>
              <w:spacing w:before="78" w:line="223" w:lineRule="auto"/>
              <w:ind w:left="68" w:right="161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省人民政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府住房城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乡建设部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71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9" w:type="dxa"/>
            <w:vAlign w:val="top"/>
          </w:tcPr>
          <w:p>
            <w:pPr>
              <w:spacing w:before="254" w:line="183" w:lineRule="auto"/>
              <w:ind w:left="2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3208" w:type="dxa"/>
            <w:vAlign w:val="top"/>
          </w:tcPr>
          <w:p>
            <w:pPr>
              <w:spacing w:before="192" w:line="219" w:lineRule="auto"/>
              <w:ind w:left="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四年内不得确定其为代收银行</w:t>
            </w:r>
          </w:p>
        </w:tc>
        <w:tc>
          <w:tcPr>
            <w:tcW w:w="4647" w:type="dxa"/>
            <w:vAlign w:val="top"/>
          </w:tcPr>
          <w:p>
            <w:pPr>
              <w:spacing w:before="60" w:line="224" w:lineRule="auto"/>
              <w:ind w:left="5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不按照规定收纳、清算、划转政府非税收入，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且情节严重的代收银行</w:t>
            </w:r>
          </w:p>
        </w:tc>
        <w:tc>
          <w:tcPr>
            <w:tcW w:w="2928" w:type="dxa"/>
            <w:vAlign w:val="top"/>
          </w:tcPr>
          <w:p>
            <w:pPr>
              <w:spacing w:before="70" w:line="220" w:lineRule="auto"/>
              <w:ind w:left="118" w:right="70" w:hanging="11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8"/>
                <w:sz w:val="23"/>
                <w:szCs w:val="23"/>
              </w:rPr>
              <w:t>《河南省政府非税收入管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 xml:space="preserve"> 理条例》第四十二条</w:t>
            </w:r>
          </w:p>
        </w:tc>
        <w:tc>
          <w:tcPr>
            <w:tcW w:w="1214" w:type="dxa"/>
            <w:vAlign w:val="top"/>
          </w:tcPr>
          <w:p>
            <w:pPr>
              <w:spacing w:before="192" w:line="219" w:lineRule="auto"/>
              <w:ind w:left="6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财政部门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7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9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2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3208" w:type="dxa"/>
            <w:vAlign w:val="top"/>
          </w:tcPr>
          <w:p>
            <w:pPr>
              <w:spacing w:before="233" w:line="218" w:lineRule="auto"/>
              <w:ind w:left="42" w:right="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三年内不得委托其从事政府投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资建设项目审计工作</w:t>
            </w:r>
          </w:p>
        </w:tc>
        <w:tc>
          <w:tcPr>
            <w:tcW w:w="4647" w:type="dxa"/>
            <w:vAlign w:val="top"/>
          </w:tcPr>
          <w:p>
            <w:pPr>
              <w:spacing w:before="93" w:line="221" w:lineRule="auto"/>
              <w:ind w:left="54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在政府投资建设项目审计中，出具虚假审计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结果，违法收取费用、隐瞒审计中发现的违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法、违规问题的社会中介机构</w:t>
            </w:r>
          </w:p>
        </w:tc>
        <w:tc>
          <w:tcPr>
            <w:tcW w:w="2928" w:type="dxa"/>
            <w:vAlign w:val="top"/>
          </w:tcPr>
          <w:p>
            <w:pPr>
              <w:spacing w:before="243" w:line="238" w:lineRule="auto"/>
              <w:ind w:left="118" w:right="70" w:hanging="11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8"/>
                <w:sz w:val="23"/>
                <w:szCs w:val="23"/>
              </w:rPr>
              <w:t>《河南省政府投资建设项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 xml:space="preserve"> 目审计条例》第四十一条</w:t>
            </w:r>
          </w:p>
        </w:tc>
        <w:tc>
          <w:tcPr>
            <w:tcW w:w="1214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6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审计机关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15" w:type="dxa"/>
            <w:vMerge w:val="restart"/>
            <w:tcBorders>
              <w:bottom w:val="nil"/>
            </w:tcBorders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before="78" w:line="178" w:lineRule="auto"/>
              <w:ind w:left="2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二</w:t>
            </w:r>
          </w:p>
        </w:tc>
        <w:tc>
          <w:tcPr>
            <w:tcW w:w="1349" w:type="dxa"/>
            <w:vMerge w:val="restart"/>
            <w:tcBorders>
              <w:bottom w:val="nil"/>
            </w:tcBorders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78" w:line="225" w:lineRule="auto"/>
              <w:ind w:left="40" w:right="78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依法依规实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施职业禁入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或从业限制</w:t>
            </w:r>
          </w:p>
        </w:tc>
        <w:tc>
          <w:tcPr>
            <w:tcW w:w="669" w:type="dxa"/>
            <w:vAlign w:val="top"/>
          </w:tcPr>
          <w:p>
            <w:pPr>
              <w:spacing w:before="266" w:line="183" w:lineRule="auto"/>
              <w:ind w:left="2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3208" w:type="dxa"/>
            <w:vAlign w:val="top"/>
          </w:tcPr>
          <w:p>
            <w:pPr>
              <w:spacing w:before="204" w:line="219" w:lineRule="auto"/>
              <w:ind w:left="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终身不得从事婴幼儿照护服务</w:t>
            </w:r>
          </w:p>
        </w:tc>
        <w:tc>
          <w:tcPr>
            <w:tcW w:w="4647" w:type="dxa"/>
            <w:vAlign w:val="top"/>
          </w:tcPr>
          <w:p>
            <w:pPr>
              <w:spacing w:before="73" w:line="223" w:lineRule="auto"/>
              <w:ind w:left="5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有虐待婴儿行为的托育机构的直接负责的主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管人员和其他直接责任人员</w:t>
            </w:r>
          </w:p>
        </w:tc>
        <w:tc>
          <w:tcPr>
            <w:tcW w:w="2928" w:type="dxa"/>
            <w:vAlign w:val="top"/>
          </w:tcPr>
          <w:p>
            <w:pPr>
              <w:spacing w:before="95" w:line="214" w:lineRule="auto"/>
              <w:ind w:left="118" w:right="70" w:hanging="11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8"/>
                <w:sz w:val="23"/>
                <w:szCs w:val="23"/>
              </w:rPr>
              <w:t>《河南省人口与计划生育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 xml:space="preserve"> 条例》第三十八条</w:t>
            </w:r>
          </w:p>
        </w:tc>
        <w:tc>
          <w:tcPr>
            <w:tcW w:w="1214" w:type="dxa"/>
            <w:vAlign w:val="top"/>
          </w:tcPr>
          <w:p>
            <w:pPr>
              <w:spacing w:before="95" w:line="214" w:lineRule="auto"/>
              <w:ind w:left="68" w:right="14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卫生健康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主管部门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7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9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before="78" w:line="182" w:lineRule="auto"/>
              <w:ind w:left="2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3208" w:type="dxa"/>
            <w:vAlign w:val="top"/>
          </w:tcPr>
          <w:p>
            <w:pPr>
              <w:spacing w:before="214" w:line="230" w:lineRule="auto"/>
              <w:ind w:left="42" w:right="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五年内不得从事食品生产经营 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活动</w:t>
            </w:r>
          </w:p>
        </w:tc>
        <w:tc>
          <w:tcPr>
            <w:tcW w:w="4647" w:type="dxa"/>
            <w:vAlign w:val="top"/>
          </w:tcPr>
          <w:p>
            <w:pPr>
              <w:spacing w:before="215" w:line="242" w:lineRule="auto"/>
              <w:ind w:left="5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4"/>
                <w:sz w:val="23"/>
                <w:szCs w:val="23"/>
              </w:rPr>
              <w:t>一年内两次受到责令停产停业处罚的小作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坊、小经营店的业主及其他直接责任人员</w:t>
            </w:r>
          </w:p>
        </w:tc>
        <w:tc>
          <w:tcPr>
            <w:tcW w:w="2928" w:type="dxa"/>
            <w:vAlign w:val="top"/>
          </w:tcPr>
          <w:p>
            <w:pPr>
              <w:spacing w:before="86" w:line="228" w:lineRule="auto"/>
              <w:ind w:left="116" w:hanging="117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《河南省食品小作坊、小经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 xml:space="preserve">营店和小摊点管理条例》第 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五十条</w:t>
            </w:r>
          </w:p>
        </w:tc>
        <w:tc>
          <w:tcPr>
            <w:tcW w:w="1214" w:type="dxa"/>
            <w:vAlign w:val="top"/>
          </w:tcPr>
          <w:p>
            <w:pPr>
              <w:spacing w:before="225" w:line="225" w:lineRule="auto"/>
              <w:ind w:left="68" w:right="1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市场监管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8" w:hRule="atLeast"/>
        </w:trPr>
        <w:tc>
          <w:tcPr>
            <w:tcW w:w="715" w:type="dxa"/>
            <w:vMerge w:val="restart"/>
            <w:tcBorders>
              <w:bottom w:val="nil"/>
            </w:tcBorders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before="78" w:line="237" w:lineRule="auto"/>
              <w:ind w:left="2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三</w:t>
            </w:r>
          </w:p>
        </w:tc>
        <w:tc>
          <w:tcPr>
            <w:tcW w:w="1349" w:type="dxa"/>
            <w:vMerge w:val="restart"/>
            <w:tcBorders>
              <w:bottom w:val="nil"/>
            </w:tcBorders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78" w:line="232" w:lineRule="auto"/>
              <w:ind w:left="40" w:right="85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依法依规限 制参加评先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评优</w:t>
            </w:r>
          </w:p>
        </w:tc>
        <w:tc>
          <w:tcPr>
            <w:tcW w:w="669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2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3208" w:type="dxa"/>
            <w:vAlign w:val="top"/>
          </w:tcPr>
          <w:p>
            <w:pPr>
              <w:spacing w:before="89" w:line="231" w:lineRule="auto"/>
              <w:ind w:left="42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地区和单位在一年内不得被评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 xml:space="preserve"> 选为社会主义精神文明或者综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 xml:space="preserve">合性先进单位，其责任人和负 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有领导责任的人员不得被评选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为先进、模范，不得晋职晋级</w:t>
            </w:r>
          </w:p>
        </w:tc>
        <w:tc>
          <w:tcPr>
            <w:tcW w:w="4647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74" w:line="239" w:lineRule="auto"/>
              <w:ind w:left="54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社会治安综合治理目标管理责任制不落实，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发生严重危害社会治安重特大案事件的地区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和单位及其责任人和负有领导责任的人员</w:t>
            </w:r>
          </w:p>
        </w:tc>
        <w:tc>
          <w:tcPr>
            <w:tcW w:w="2928" w:type="dxa"/>
            <w:vAlign w:val="top"/>
          </w:tcPr>
          <w:p>
            <w:pPr>
              <w:spacing w:line="459" w:lineRule="auto"/>
              <w:rPr>
                <w:rFonts w:ascii="Arial"/>
                <w:sz w:val="21"/>
              </w:rPr>
            </w:pPr>
          </w:p>
          <w:p>
            <w:pPr>
              <w:spacing w:before="74" w:line="238" w:lineRule="auto"/>
              <w:ind w:left="118" w:right="70" w:hanging="11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8"/>
                <w:sz w:val="23"/>
                <w:szCs w:val="23"/>
              </w:rPr>
              <w:t>《河南省社会治安综合治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 xml:space="preserve"> 理条例》第二十八条</w:t>
            </w:r>
          </w:p>
        </w:tc>
        <w:tc>
          <w:tcPr>
            <w:tcW w:w="1214" w:type="dxa"/>
            <w:vAlign w:val="top"/>
          </w:tcPr>
          <w:p>
            <w:pPr>
              <w:spacing w:before="231" w:line="227" w:lineRule="auto"/>
              <w:ind w:left="68" w:right="164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县级以上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人民政府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及其相关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9" w:type="dxa"/>
            <w:vAlign w:val="top"/>
          </w:tcPr>
          <w:p>
            <w:pPr>
              <w:spacing w:before="262" w:line="182" w:lineRule="auto"/>
              <w:ind w:left="2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3208" w:type="dxa"/>
            <w:vAlign w:val="top"/>
          </w:tcPr>
          <w:p>
            <w:pPr>
              <w:spacing w:before="68" w:line="225" w:lineRule="auto"/>
              <w:ind w:left="51" w:hanging="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取消或者不得授予综合治理、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精神文明等先进单位荣誉称号</w:t>
            </w:r>
          </w:p>
        </w:tc>
        <w:tc>
          <w:tcPr>
            <w:tcW w:w="4647" w:type="dxa"/>
            <w:vAlign w:val="top"/>
          </w:tcPr>
          <w:p>
            <w:pPr>
              <w:spacing w:before="108" w:line="209" w:lineRule="auto"/>
              <w:ind w:left="5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连续多次发生赌博活动的机关、团体、企业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事业单位</w:t>
            </w:r>
          </w:p>
        </w:tc>
        <w:tc>
          <w:tcPr>
            <w:tcW w:w="2928" w:type="dxa"/>
            <w:vAlign w:val="top"/>
          </w:tcPr>
          <w:p>
            <w:pPr>
              <w:spacing w:before="68" w:line="225" w:lineRule="auto"/>
              <w:ind w:left="118" w:hanging="11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《河南省禁止赌博条例》第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十四条</w:t>
            </w:r>
          </w:p>
        </w:tc>
        <w:tc>
          <w:tcPr>
            <w:tcW w:w="1214" w:type="dxa"/>
            <w:vAlign w:val="top"/>
          </w:tcPr>
          <w:p>
            <w:pPr>
              <w:spacing w:before="59" w:line="219" w:lineRule="auto"/>
              <w:ind w:left="68" w:right="14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评先评优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实施部门</w:t>
            </w:r>
          </w:p>
        </w:tc>
      </w:tr>
    </w:tbl>
    <w:p>
      <w:pPr>
        <w:spacing w:line="68" w:lineRule="exact"/>
        <w:rPr>
          <w:rFonts w:ascii="Arial"/>
          <w:sz w:val="5"/>
        </w:rPr>
      </w:pPr>
    </w:p>
    <w:p>
      <w:pPr>
        <w:sectPr>
          <w:footerReference r:id="rId5" w:type="default"/>
          <w:pgSz w:w="16560" w:h="11340"/>
          <w:pgMar w:top="963" w:right="964" w:bottom="1551" w:left="854" w:header="0" w:footer="1265" w:gutter="0"/>
          <w:cols w:space="720" w:num="1"/>
        </w:sectPr>
      </w:pPr>
    </w:p>
    <w:p>
      <w:pPr>
        <w:spacing w:line="192" w:lineRule="exact"/>
      </w:pPr>
    </w:p>
    <w:tbl>
      <w:tblPr>
        <w:tblStyle w:val="5"/>
        <w:tblW w:w="147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1369"/>
        <w:gridCol w:w="669"/>
        <w:gridCol w:w="3218"/>
        <w:gridCol w:w="4667"/>
        <w:gridCol w:w="2928"/>
        <w:gridCol w:w="12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724" w:type="dxa"/>
            <w:vAlign w:val="top"/>
          </w:tcPr>
          <w:p>
            <w:pPr>
              <w:spacing w:before="22" w:line="230" w:lineRule="auto"/>
              <w:ind w:left="118" w:right="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16"/>
                <w:sz w:val="24"/>
                <w:szCs w:val="24"/>
              </w:rPr>
              <w:t>项目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1369" w:type="dxa"/>
            <w:vAlign w:val="top"/>
          </w:tcPr>
          <w:p>
            <w:pPr>
              <w:spacing w:before="202" w:line="220" w:lineRule="auto"/>
              <w:ind w:left="1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>惩戒措施</w:t>
            </w:r>
          </w:p>
        </w:tc>
        <w:tc>
          <w:tcPr>
            <w:tcW w:w="669" w:type="dxa"/>
            <w:vAlign w:val="top"/>
          </w:tcPr>
          <w:p>
            <w:pPr>
              <w:spacing w:before="202" w:line="221" w:lineRule="auto"/>
              <w:ind w:left="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3218" w:type="dxa"/>
            <w:vAlign w:val="top"/>
          </w:tcPr>
          <w:p>
            <w:pPr>
              <w:spacing w:before="201" w:line="219" w:lineRule="auto"/>
              <w:ind w:left="11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8"/>
                <w:sz w:val="24"/>
                <w:szCs w:val="24"/>
              </w:rPr>
              <w:t>惩戒内容</w:t>
            </w:r>
          </w:p>
        </w:tc>
        <w:tc>
          <w:tcPr>
            <w:tcW w:w="4667" w:type="dxa"/>
            <w:vAlign w:val="top"/>
          </w:tcPr>
          <w:p>
            <w:pPr>
              <w:spacing w:before="201" w:line="219" w:lineRule="auto"/>
              <w:ind w:left="18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3"/>
                <w:sz w:val="24"/>
                <w:szCs w:val="24"/>
              </w:rPr>
              <w:t>惩戒对象</w:t>
            </w:r>
          </w:p>
        </w:tc>
        <w:tc>
          <w:tcPr>
            <w:tcW w:w="2928" w:type="dxa"/>
            <w:vAlign w:val="top"/>
          </w:tcPr>
          <w:p>
            <w:pPr>
              <w:spacing w:before="199" w:line="219" w:lineRule="auto"/>
              <w:ind w:left="7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12"/>
                <w:sz w:val="24"/>
                <w:szCs w:val="24"/>
              </w:rPr>
              <w:t>法规政策依据</w:t>
            </w:r>
          </w:p>
        </w:tc>
        <w:tc>
          <w:tcPr>
            <w:tcW w:w="1214" w:type="dxa"/>
            <w:vAlign w:val="top"/>
          </w:tcPr>
          <w:p>
            <w:pPr>
              <w:spacing w:before="202" w:line="220" w:lineRule="auto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>实施主体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7" w:hRule="atLeast"/>
        </w:trPr>
        <w:tc>
          <w:tcPr>
            <w:tcW w:w="724" w:type="dxa"/>
            <w:vMerge w:val="restart"/>
            <w:tcBorders>
              <w:bottom w:val="nil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78" w:line="222" w:lineRule="auto"/>
              <w:ind w:left="2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四</w:t>
            </w:r>
          </w:p>
        </w:tc>
        <w:tc>
          <w:tcPr>
            <w:tcW w:w="1369" w:type="dxa"/>
            <w:vMerge w:val="restart"/>
            <w:tcBorders>
              <w:bottom w:val="nil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78" w:line="225" w:lineRule="auto"/>
              <w:ind w:left="21" w:right="121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依法依规共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享公示失信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信息</w:t>
            </w:r>
          </w:p>
        </w:tc>
        <w:tc>
          <w:tcPr>
            <w:tcW w:w="6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2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3218" w:type="dxa"/>
            <w:vAlign w:val="top"/>
          </w:tcPr>
          <w:p>
            <w:pPr>
              <w:spacing w:line="420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记入信用档案</w:t>
            </w:r>
          </w:p>
        </w:tc>
        <w:tc>
          <w:tcPr>
            <w:tcW w:w="4667" w:type="dxa"/>
            <w:vAlign w:val="top"/>
          </w:tcPr>
          <w:p>
            <w:pPr>
              <w:spacing w:before="41"/>
              <w:ind w:left="34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违反《河南省绿色建筑条例》第十五条规定，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对不符合绿色建筑等级和标准要求的施工图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设计文件出具审查合格意见的施工图设计文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件审查机构</w:t>
            </w:r>
          </w:p>
        </w:tc>
        <w:tc>
          <w:tcPr>
            <w:tcW w:w="2928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75" w:line="234" w:lineRule="auto"/>
              <w:ind w:left="118" w:hanging="11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《河南省绿色建筑条例》第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十五条、第三十八条</w:t>
            </w:r>
          </w:p>
        </w:tc>
        <w:tc>
          <w:tcPr>
            <w:tcW w:w="1214" w:type="dxa"/>
            <w:vAlign w:val="top"/>
          </w:tcPr>
          <w:p>
            <w:pPr>
              <w:spacing w:before="61" w:line="226" w:lineRule="auto"/>
              <w:ind w:left="49" w:right="18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县级以上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住房和城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乡建设部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8" w:hRule="atLeast"/>
        </w:trPr>
        <w:tc>
          <w:tcPr>
            <w:tcW w:w="72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9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2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3218" w:type="dxa"/>
            <w:vAlign w:val="top"/>
          </w:tcPr>
          <w:p>
            <w:pPr>
              <w:spacing w:before="211" w:line="225" w:lineRule="auto"/>
              <w:ind w:left="32" w:right="2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0"/>
                <w:sz w:val="24"/>
                <w:szCs w:val="24"/>
              </w:rPr>
              <w:t>由公安机关作出行政处罚决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定，可以作为当事人社会信用 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信息予以记录</w:t>
            </w:r>
          </w:p>
        </w:tc>
        <w:tc>
          <w:tcPr>
            <w:tcW w:w="4667" w:type="dxa"/>
            <w:vAlign w:val="top"/>
          </w:tcPr>
          <w:p>
            <w:pPr>
              <w:spacing w:before="61" w:line="236" w:lineRule="auto"/>
              <w:ind w:left="34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对公民实施见义勇为、紧急现场救护、扶助</w:t>
            </w: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等救助行为，有故意隐瞒真相、捏造事实、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企图谋取不正当利益、违反治安管理规定的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被助人及其近亲属</w:t>
            </w:r>
          </w:p>
        </w:tc>
        <w:tc>
          <w:tcPr>
            <w:tcW w:w="2928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75" w:line="242" w:lineRule="auto"/>
              <w:ind w:left="118" w:right="40" w:hanging="11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1"/>
                <w:sz w:val="23"/>
                <w:szCs w:val="23"/>
              </w:rPr>
              <w:t>《河南省文明行为促进条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例》第五十一条</w:t>
            </w:r>
          </w:p>
        </w:tc>
        <w:tc>
          <w:tcPr>
            <w:tcW w:w="1214" w:type="dxa"/>
            <w:vAlign w:val="top"/>
          </w:tcPr>
          <w:p>
            <w:pPr>
              <w:spacing w:line="421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公安机关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8" w:hRule="atLeast"/>
        </w:trPr>
        <w:tc>
          <w:tcPr>
            <w:tcW w:w="72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9" w:type="dxa"/>
            <w:vAlign w:val="top"/>
          </w:tcPr>
          <w:p>
            <w:pPr>
              <w:spacing w:line="475" w:lineRule="auto"/>
              <w:rPr>
                <w:rFonts w:ascii="Arial"/>
                <w:sz w:val="21"/>
              </w:rPr>
            </w:pPr>
          </w:p>
          <w:p>
            <w:pPr>
              <w:spacing w:before="78" w:line="184" w:lineRule="auto"/>
              <w:ind w:left="2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10</w:t>
            </w:r>
          </w:p>
        </w:tc>
        <w:tc>
          <w:tcPr>
            <w:tcW w:w="3218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75" w:line="238" w:lineRule="auto"/>
              <w:ind w:left="3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4"/>
                <w:sz w:val="23"/>
                <w:szCs w:val="23"/>
              </w:rPr>
              <w:t>将处罚情况纳入社会诚信系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统，记入个人诚信档案</w:t>
            </w:r>
          </w:p>
        </w:tc>
        <w:tc>
          <w:tcPr>
            <w:tcW w:w="4667" w:type="dxa"/>
            <w:vAlign w:val="top"/>
          </w:tcPr>
          <w:p>
            <w:pPr>
              <w:spacing w:before="53" w:line="224" w:lineRule="auto"/>
              <w:ind w:left="34" w:right="31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干涉老年人婚姻自由，对老年人负有赡养义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务、扶养义务而拒绝赡养、扶养，虐待老年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人或者对老年人实施家庭暴力，受到治安管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理处罚或者刑事处罚的个人</w:t>
            </w:r>
          </w:p>
        </w:tc>
        <w:tc>
          <w:tcPr>
            <w:tcW w:w="2928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75" w:line="230" w:lineRule="auto"/>
              <w:ind w:left="118" w:hanging="11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5"/>
                <w:sz w:val="23"/>
                <w:szCs w:val="23"/>
              </w:rPr>
              <w:t>《河南省老年人权益保障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条例》第五十七条</w:t>
            </w:r>
          </w:p>
        </w:tc>
        <w:tc>
          <w:tcPr>
            <w:tcW w:w="1214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68" w:line="256" w:lineRule="auto"/>
              <w:ind w:left="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公安机关、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人民法院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</w:trPr>
        <w:tc>
          <w:tcPr>
            <w:tcW w:w="7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9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before="78" w:line="184" w:lineRule="auto"/>
              <w:ind w:left="2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11</w:t>
            </w:r>
          </w:p>
        </w:tc>
        <w:tc>
          <w:tcPr>
            <w:tcW w:w="3218" w:type="dxa"/>
            <w:vAlign w:val="top"/>
          </w:tcPr>
          <w:p>
            <w:pPr>
              <w:spacing w:before="218" w:line="228" w:lineRule="auto"/>
              <w:ind w:left="32" w:right="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将违法超限超载运输行为记录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向社会公布</w:t>
            </w:r>
          </w:p>
        </w:tc>
        <w:tc>
          <w:tcPr>
            <w:tcW w:w="4667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有违法超限超载运输情形的货运车辆</w:t>
            </w:r>
          </w:p>
        </w:tc>
        <w:tc>
          <w:tcPr>
            <w:tcW w:w="2928" w:type="dxa"/>
            <w:vAlign w:val="top"/>
          </w:tcPr>
          <w:p>
            <w:pPr>
              <w:spacing w:before="227" w:line="234" w:lineRule="auto"/>
              <w:ind w:left="118" w:hanging="11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0"/>
                <w:sz w:val="23"/>
                <w:szCs w:val="23"/>
              </w:rPr>
              <w:t>《河南省治理货物运输车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辆超限超载条例》第十九条</w:t>
            </w:r>
          </w:p>
        </w:tc>
        <w:tc>
          <w:tcPr>
            <w:tcW w:w="1214" w:type="dxa"/>
            <w:vAlign w:val="top"/>
          </w:tcPr>
          <w:p>
            <w:pPr>
              <w:spacing w:before="59" w:line="224" w:lineRule="auto"/>
              <w:ind w:left="49" w:right="184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交通运输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综合执法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机构</w:t>
            </w:r>
          </w:p>
        </w:tc>
      </w:tr>
    </w:tbl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  <w:bookmarkStart w:id="0" w:name="_GoBack"/>
      <w:bookmarkEnd w:id="0"/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before="98" w:line="183" w:lineRule="auto"/>
        <w:ind w:left="6854"/>
        <w:sectPr>
          <w:footerReference r:id="rId6" w:type="default"/>
          <w:pgSz w:w="16790" w:h="11680"/>
          <w:pgMar w:top="992" w:right="1104" w:bottom="400" w:left="885" w:header="0" w:footer="0" w:gutter="0"/>
          <w:cols w:space="720" w:num="1"/>
        </w:sectPr>
      </w:pPr>
    </w:p>
    <w:p>
      <w:pPr>
        <w:spacing w:line="243" w:lineRule="auto"/>
        <w:rPr>
          <w:rFonts w:ascii="Arial"/>
          <w:sz w:val="21"/>
        </w:rPr>
      </w:pPr>
      <w: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882650</wp:posOffset>
            </wp:positionH>
            <wp:positionV relativeFrom="page">
              <wp:posOffset>9525000</wp:posOffset>
            </wp:positionV>
            <wp:extent cx="5715000" cy="12700"/>
            <wp:effectExtent l="0" t="0" r="0" b="0"/>
            <wp:wrapNone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15001" cy="126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0" w:lineRule="exact"/>
        <w:textAlignment w:val="center"/>
      </w:pPr>
      <w:r>
        <w:drawing>
          <wp:inline distT="0" distB="0" distL="0" distR="0">
            <wp:extent cx="5720715" cy="1270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21337" cy="12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0" w:lineRule="exact"/>
      </w:pPr>
    </w:p>
    <w:p>
      <w:pPr>
        <w:sectPr>
          <w:pgSz w:w="11740" w:h="16830"/>
          <w:pgMar w:top="1430" w:right="1349" w:bottom="400" w:left="1370" w:header="0" w:footer="0" w:gutter="0"/>
          <w:cols w:equalWidth="0" w:num="1">
            <w:col w:w="9020"/>
          </w:cols>
        </w:sectPr>
      </w:pPr>
    </w:p>
    <w:p>
      <w:pPr>
        <w:spacing w:before="138" w:line="189" w:lineRule="auto"/>
        <w:ind w:left="32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河南省发展和改革委员会办公室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55" w:line="222" w:lineRule="auto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30"/>
          <w:sz w:val="28"/>
          <w:szCs w:val="28"/>
        </w:rPr>
        <w:t>2023年5月9日印发</w:t>
      </w:r>
    </w:p>
    <w:p>
      <w:pPr>
        <w:sectPr>
          <w:type w:val="continuous"/>
          <w:pgSz w:w="11740" w:h="16830"/>
          <w:pgMar w:top="1430" w:right="1349" w:bottom="400" w:left="1370" w:header="0" w:footer="0" w:gutter="0"/>
          <w:cols w:equalWidth="0" w:num="2">
            <w:col w:w="5860" w:space="100"/>
            <w:col w:w="3061"/>
          </w:cols>
        </w:sectPr>
      </w:pPr>
    </w:p>
    <w:p>
      <w:pPr>
        <w:spacing w:before="64" w:line="1180" w:lineRule="exact"/>
        <w:ind w:firstLine="6129"/>
        <w:textAlignment w:val="center"/>
      </w:pPr>
      <w:r>
        <w:drawing>
          <wp:inline distT="0" distB="0" distL="0" distR="0">
            <wp:extent cx="1809750" cy="748665"/>
            <wp:effectExtent l="0" t="0" r="0" b="0"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09751" cy="749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type w:val="continuous"/>
      <w:pgSz w:w="11740" w:h="16830"/>
      <w:pgMar w:top="1430" w:right="1349" w:bottom="400" w:left="1370" w:header="0" w:footer="0" w:gutter="0"/>
      <w:cols w:equalWidth="0" w:num="1">
        <w:col w:w="902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1" w:lineRule="auto"/>
      <w:rPr>
        <w:rFonts w:ascii="宋体" w:hAnsi="宋体" w:eastAsia="宋体" w:cs="宋体"/>
        <w:sz w:val="29"/>
        <w:szCs w:val="2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mM1MDNmNDA5NTQ3OTUyYTA1MmUxODRiN2ZkZjQyN2UifQ=="/>
  </w:docVars>
  <w:rsids>
    <w:rsidRoot w:val="00000000"/>
    <w:rsid w:val="40877A5B"/>
    <w:rsid w:val="440B6DCA"/>
    <w:rsid w:val="54CC5F5D"/>
    <w:rsid w:val="6BDC27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2483</Words>
  <Characters>2525</Characters>
  <TotalTime>10</TotalTime>
  <ScaleCrop>false</ScaleCrop>
  <LinksUpToDate>false</LinksUpToDate>
  <CharactersWithSpaces>2628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2023-07-05T15:17:00Z</dcterms:created>
  <dc:creator>Kingsoft-PDF</dc:creator>
  <cp:lastModifiedBy>Administrator</cp:lastModifiedBy>
  <dcterms:modified xsi:type="dcterms:W3CDTF">2023-07-07T10:21:05Z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2023-07-05T15:17:21Z</vt:filetime>
  </property>
  <property fmtid="{D5CDD505-2E9C-101B-9397-08002B2CF9AE}" pid="4" name="UsrData">
    <vt:lpwstr>64a518f631e116001ff7387d</vt:lpwstr>
  </property>
  <property fmtid="{D5CDD505-2E9C-101B-9397-08002B2CF9AE}" pid="5" name="KSOProductBuildVer">
    <vt:lpwstr>2052-11.1.0.14309</vt:lpwstr>
  </property>
  <property fmtid="{D5CDD505-2E9C-101B-9397-08002B2CF9AE}" pid="6" name="ICV">
    <vt:lpwstr>70C2C56FE50648FD9364E5F4C2B5FF62_13</vt:lpwstr>
  </property>
</Properties>
</file>