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Theme="majorEastAsia" w:hAnsiTheme="majorEastAsia" w:eastAsiaTheme="majorEastAsia" w:cstheme="majorEastAsia"/>
          <w:b/>
          <w:bCs/>
          <w:sz w:val="44"/>
          <w:szCs w:val="44"/>
          <w:lang w:val="en-US" w:eastAsia="zh-CN"/>
        </w:rPr>
        <w:t>南阳市联合奖惩措施清单</w:t>
      </w: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为认真贯彻落实《国务院关于建立完善守信联合激励和失信联合惩戒制度加快推进社会诚信建设的指导意见》（国发〔2016〕33 号）等关于“褒扬诚信”的总体要求，加快推进全市社会信用体系建设，建立南阳市守信联合激励机制，依据《中共中央办公厅 国务院办公厅关于加快推进失信被执行人信用监督、警示和惩戒机制建设的意见》和《河南省社会信用条例》，梳理形成了南阳市联合奖惩措施清单，具体如下（见表）：</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1600" w:firstLineChars="500"/>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numPr>
          <w:ilvl w:val="0"/>
          <w:numId w:val="0"/>
        </w:numPr>
        <w:rPr>
          <w:rFonts w:hint="eastAsia" w:ascii="仿宋_GB2312" w:hAnsi="仿宋_GB2312" w:eastAsia="仿宋_GB2312" w:cs="仿宋_GB2312"/>
          <w:sz w:val="32"/>
          <w:szCs w:val="32"/>
          <w:lang w:val="en-US" w:eastAsia="zh-CN"/>
        </w:rPr>
      </w:pPr>
    </w:p>
    <w:tbl>
      <w:tblPr>
        <w:tblStyle w:val="4"/>
        <w:tblW w:w="134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469"/>
        <w:gridCol w:w="4672"/>
        <w:gridCol w:w="2322"/>
        <w:gridCol w:w="3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08" w:type="dxa"/>
            <w:gridSpan w:val="5"/>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附件2               南阳市联合奖惩措施清单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联合奖惩对象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联合奖惩措施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实施部门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法律及政策依据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市发展和改革委员会</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招录（聘）为公务人员限制。限制招录（聘）失信被执行人为公务员或事业单位工作人员，在职公务员或事业单位工作人员被确定为失信被执行人的，失信情况应作为其评先、评优、晋职晋级的参考。</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市委组织部</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鼓励各级党政机关、人民团体、社会组织、企事业单位使用失信被执行人名单信息，结合各自主管领域、业务范围、经营活动，实施对失信被执行人的信用监督、警示和惩戒。</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公安、检察机关和人民法院对拒不执行生效判决、裁定以及其他妨碍执行构成犯罪的行为，要及时依法侦查、提起公诉和审判。</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市公安局,司法局,中级人民法院</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协助人民法院依法查询失信被执行人身份、出入境证件信息及车辆信息，协助查封、扣押失信被执行人名下的车辆，协助查找、控制下落不明的失信被执行人，限制失信被执行人出境。</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市出入境检验检疫局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市公安局,住建局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购买具有现金价值保险限制。限制失信被执行人及失信被执行人的法定代表人、主要负责人、实际控制人、影响债务履行的直接责任人员支付高额保费购买具有现金价值的保险产品。</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南阳银保监分局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子女就读高收费学校限制。限制失信被执行人及失信被执行人的法定代表人、主要负责人、实际控制人、影响债务履行的直接责任人员以其财产支付子女入学就读高收费私立学校。</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市教育局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市文广旅局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市文广旅局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南阳车务段、南航基地</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其他国有自然资源利用限制。限制失信被执行人申报水流、海域、无居民海岛、山岭、荒地、滩涂等国有自然资源利用项目以及重点自然资源保护建设项目。</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市自然资源规划局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使用草原限制。限制失信被执行人申报草原征占用项目；限制其申报承担国家草原保护建设项目。</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市自然资源规划局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使用国有林地限制。限制失信被执行人申报使用国有林地项目；限制其申报重点林业建设项目。</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市自然资源规划局，林业局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市自然资源规划局，住建局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授信限制。银行业金融机构在融资授信时要查询拟授信对象及其法定代表人、主要负责人、实际控制人、董事、监事、高级管理人员是否为失信被执行人，对拟授信对象为失信被执行人的，要从严审核。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南阳银保监分局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律师和律师事务所荣誉限制。协助人民法院查询失信被执行人的律师身份信息、律师事务所登记信息；失信被执行人为律师、律师事务所的，在一定期限内限制其参与评先、评优。</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市司法局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市委文明办</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房地产、建筑企业资质限制。将房地产、建筑企业不依法履行生效法律文书确定的义务情况，记入房地产和建筑市场信用档案，向社会披露有关信息，对其企业资质作出限制。</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市住建局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市市场监管局，应急管理局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海关认证限制。限制失信被执行人成为海关认证企业；在失信被执行人办理通关业务时，实施严密监管，加强单证审核或布控查验</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南阳海关</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入伍服役限制。失信被执行人为个人的，将其失信情况作为入伍服役和现役、预备役军官评先、评优、晋职晋级的重要参考。</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南阳军分区</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担任党代表、人大代表和政协委员限制。失信被执行人为个人的，不作为组织推荐的各级党代会代表、各级人大代表和政协委员候选人。</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市委组织部</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入党或党员的特别限制。将严格遵守法律、履行生效法律文书确定的义务情况，作为申请加入中国共产党、预备党员转为正式党员以及党员评先、评优、晋职晋级的重要参考。</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担任社会组织负责人限制。失信被执行人为个人的，限制其登记或备案为社会组织负责人。</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市民政局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担任金融机构高管限制。限制失信被执行人担任银行业金融机构、证券公司、基金管理公司、期货公司、保险公司、融资性担保公司的董事、监事、高级管理人员。</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南阳银保监分局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担任事业单位法定代表人限制。失信被执行人为个人的，限制其登记为事业单位法定代表人。</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市委组织部</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市财政局，工信局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获得政策支持限制。在审批投资、进出口、科技等政策支持的申请时，查询相关机构及其法定代表人、实际控制人、董事、监事、高级管理人员是否为失信被执行人，作为其享受该政策的审慎性参考。</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市发展和改革委员会，科技局，南阳海关</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获取政府补贴限制。限制失信被执行人申请政府补贴资金和社会保障资金支持。</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市财政局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市财政局,市公共资源交易中心</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设立社会组织限制。将失信被执行人信息作为发起设立社会组织审批登记的参考，限制失信被执行人发起设立社会组织。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市民政局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股票发行或挂牌转让限制。将失信被执行人信息作为股票发行和在全国中小企业股份转让系统挂牌公开转让股票审核的参考。</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市发展和改革委员会,南阳银保监分局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股权激励限制。失信被执行人为境内国有控股上市公司的，协助中止其股权激励计划；对失信被执行人为境内国有控股上市公司股权激励对象的，协助终止其行权资格。</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市发展和改革委员会,南阳银保监分局</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合格投资者额度限制。在合格境外机构投资者、合格境内机构投资者额度审批和管理中，将失信状况作为审慎性参考依据。</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市发展和改革委员会</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失信被执行人，失信被执行人名单，政府失信被执行人名单</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发行债券限制。对失信被执行人在银行间市场发行债券从严审核，限制失信被执行人公开发行公司债券。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市发展和改革委员会</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　国务院办公厅印发《关于加快推进失信被执行人信用监督、警示和惩戒机制建设的意见》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拖欠农民工工资黑名单，拖欠农民工工资严重失信当事人，河南省拖欠农民工工资</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拖欠农民工工资需要列入失信联合惩戒名单的具体情形，由国务院人力资源社会保障行政部门规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《保障农民工工资支付条例》第四十八条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拖欠农民工工资黑名单，拖欠农民工工资严重失信当事人，河南省拖欠农民工工资</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建设单位未依法提供工程款支付担保或者政府投资项目拖欠工程款，导致拖欠农民工工资的，县级以上地方人民政府应当限制其新建项目，并记入信用记录，纳入国家信用信息系统进行公示。</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《保障农民工工资支付条例》第四十九条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r>
              <w:rPr>
                <w:rStyle w:val="6"/>
                <w:lang w:val="en-US" w:eastAsia="zh-CN" w:bidi="ar"/>
              </w:rPr>
              <w:t>级纳税人、海关高级认证企业、交通运输工程建设领域守信企业、交通运输工程建设领域守信企业</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在实施行政许可中，应当给予优先办理、简化程序等便利服务措施；</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A级纳税人、海关高级认证企业、交通运输工程建设领域守信企业、交通运输工程建设领域守信企业</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在财政性资金和项目支持中，在同等条件下应当优先列为选择对象；</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A级纳税人、海关高级认证企业、交通运输工程建设领域守信企业、交通运输工程建设领域守信企业</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在公共资源交易中，给予信用加分、提升信用等级；</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r>
              <w:rPr>
                <w:rStyle w:val="6"/>
                <w:lang w:val="en-US" w:eastAsia="zh-CN" w:bidi="ar"/>
              </w:rPr>
              <w:t>级纳税人、海关高级认证企业、交通运输工程建设领域守信企业、交通运输工程建设领域守信企业</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符合规定条件的，在日常监管中减少检查频次；</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A级纳税人、海关高级认证企业、交通运输工程建设领域守信企业、交通运输工程建设领域守信企业</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依照国家和本省有关规定授予荣誉称号；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A级纳税人、海关高级认证企业、交通运输工程建设领域守信企业、交通运输工程建设领域守信企业</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优先推荐评优评先；</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A级纳税人、海关高级认证企业、交通运输工程建设领域守信企业、交通运输工程建设领域守信企业</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国家和本省规定的其他激励措施。</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A级纳税人、海关高级认证企业、交通运输工程建设领域守信企业、交通运输工程建设领域守信企业</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在教育、就业、创业、社会保障等公共服务方面给予支持和便利；</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失信被执行人、重大税收违法案件当事人、安全生产黑名单、出入境严重失信企业、严重质量失信企业、统计上严重失信当事人、海关失信企业、超限超载严重失信当事人、拖欠农民工工资严重失信当事人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限制参加政府采购，政府投资项目招标投标，国有土地招标、拍卖、挂牌等公共资源交易活动；</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失信被执行人、重大税收违法案件当事人、安全生产黑名单、出入境严重失信企业、严重质量失信企业、统计上严重失信当事人、海关失信企业、超限超载严重失信当事人、拖欠农民工工资严重失信当事人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限制参与基础设施和公共事业特许经营活动；</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失信被执行人、重大税收违法案件当事人、安全生产黑名单、出入境严重失信企业、严重质量失信企业、统计上严重失信当事人、海关失信企业、超限超载严重失信当事人、拖欠农民工工资严重失信当事人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限制高消费；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失信被执行人、重大税收违法案件当事人、安全生产黑名单、出入境严重失信企业、严重质量失信企业、统计上严重失信当事人、海关失信企业、超限超载严重失信当事人、拖欠农民工工资严重失信当事人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限制开展相关金融业务；</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失信被执行人、重大税收违法案件当事人、安全生产黑名单、出入境严重失信企业、严重质量失信企业、统计上严重失信当事人、海关失信企业、超限超载严重失信当事人、拖欠农民工工资严重失信当事人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限制相关任职资格；</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失信被执行人、重大税收违法案件当事人、安全生产黑名单、出入境严重失信企业、严重质量失信企业、统计上严重失信当事人、海关失信企业、超限超载严重失信当事人、拖欠农民工工资严重失信当事人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限制享受相关公共服务或者政策性扶持资助政策；</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失信被执行人、重大税收违法案件当事人、安全生产黑名单、出入境严重失信企业、严重质量失信企业、统计上严重失信当事人、海关失信企业、超限超载严重失信当事人、拖欠农民工工资严重失信当事人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撤销相关荣誉称号；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失信被执行人、重大税收违法案件当事人、安全生产黑名单、出入境严重失信企业、严重质量失信企业、统计上严重失信当事人、海关失信企业、超限超载严重失信当事人、拖欠农民工工资严重失信当事人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国家和本省规定的其他惩戒措施。</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失信被执行人、重大税收违法案件当事人、安全生产黑名单、出入境严重失信企业、严重质量失信企业、统计上严重失信当事人、海关失信企业、超限超载严重失信当事人、拖欠农民工工资严重失信当事人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实施市场和行业禁入或者退出措施；</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市社会信用体系建设工作领导小组各成员单位</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《河南省社会信用条例》第三十四条</w:t>
            </w:r>
          </w:p>
        </w:tc>
      </w:tr>
    </w:tbl>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1600" w:firstLineChars="500"/>
        <w:rPr>
          <w:rFonts w:hint="eastAsia" w:ascii="仿宋_GB2312" w:hAnsi="仿宋_GB2312" w:eastAsia="仿宋_GB2312" w:cs="仿宋_GB2312"/>
          <w:sz w:val="32"/>
          <w:szCs w:val="32"/>
          <w:lang w:val="en-US" w:eastAsia="zh-CN"/>
        </w:rPr>
      </w:pPr>
    </w:p>
    <w:p>
      <w:pPr>
        <w:numPr>
          <w:ilvl w:val="0"/>
          <w:numId w:val="0"/>
        </w:numPr>
        <w:ind w:firstLine="1600" w:firstLineChars="500"/>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p>
    <w:p>
      <w:pPr>
        <w:numPr>
          <w:ilvl w:val="0"/>
          <w:numId w:val="0"/>
        </w:numPr>
        <w:ind w:firstLine="640" w:firstLineChars="200"/>
        <w:rPr>
          <w:rFonts w:hint="eastAsia" w:ascii="仿宋_GB2312" w:hAnsi="仿宋_GB2312" w:eastAsia="仿宋_GB2312" w:cs="仿宋_GB2312"/>
          <w:sz w:val="32"/>
          <w:szCs w:val="32"/>
        </w:rPr>
      </w:pPr>
      <w:bookmarkStart w:id="0" w:name="_GoBack"/>
      <w:bookmarkEnd w:id="0"/>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00000000"/>
    <w:rsid w:val="0F67688C"/>
    <w:rsid w:val="16FF1740"/>
    <w:rsid w:val="192B4D45"/>
    <w:rsid w:val="1F6557A0"/>
    <w:rsid w:val="20471707"/>
    <w:rsid w:val="2D0061F3"/>
    <w:rsid w:val="3A307603"/>
    <w:rsid w:val="466B6FF6"/>
    <w:rsid w:val="46F532C4"/>
    <w:rsid w:val="63862636"/>
    <w:rsid w:val="67F74099"/>
    <w:rsid w:val="75463B3A"/>
    <w:rsid w:val="7859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10869</Words>
  <Characters>10951</Characters>
  <Lines>1</Lines>
  <Paragraphs>1</Paragraphs>
  <TotalTime>1</TotalTime>
  <ScaleCrop>false</ScaleCrop>
  <LinksUpToDate>false</LinksUpToDate>
  <CharactersWithSpaces>11032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Administrator</cp:lastModifiedBy>
  <dcterms:modified xsi:type="dcterms:W3CDTF">2023-07-07T10:04:22Z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FCB90A206304481A900C512F7457F920_13</vt:lpwstr>
  </property>
</Properties>
</file>