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default" w:ascii="Times New Roman" w:hAnsi="Times New Roman" w:eastAsia="黑体" w:cs="Times New Roman"/>
          <w:sz w:val="32"/>
          <w:szCs w:val="32"/>
          <w:lang w:val="en-US" w:eastAsia="zh-CN"/>
        </w:rPr>
      </w:pPr>
      <w:r>
        <w:rPr>
          <w:rFonts w:hint="default" w:ascii="方正小标宋_GBK" w:hAnsi="方正小标宋_GBK" w:eastAsia="方正小标宋_GBK" w:cs="方正小标宋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default" w:ascii="Times New Roman" w:hAnsi="Times New Roman" w:eastAsia="方正小标宋简体" w:cs="Times New Roman"/>
          <w:color w:val="auto"/>
          <w:spacing w:val="9"/>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298" w:afterLines="50" w:line="600" w:lineRule="exact"/>
        <w:ind w:right="0" w:rightChars="0"/>
        <w:jc w:val="center"/>
        <w:textAlignment w:val="auto"/>
        <w:outlineLvl w:val="9"/>
        <w:rPr>
          <w:rFonts w:hint="default" w:ascii="Times New Roman" w:hAnsi="Times New Roman" w:eastAsia="方正小标宋简体" w:cs="Times New Roman"/>
          <w:color w:val="auto"/>
          <w:spacing w:val="11"/>
          <w:w w:val="100"/>
          <w:kern w:val="2"/>
          <w:sz w:val="44"/>
          <w:szCs w:val="44"/>
          <w:lang w:val="en-US" w:eastAsia="zh-CN" w:bidi="ar-SA"/>
        </w:rPr>
      </w:pPr>
      <w:r>
        <w:rPr>
          <w:rFonts w:hint="default" w:ascii="Times New Roman" w:hAnsi="Times New Roman" w:eastAsia="方正小标宋简体" w:cs="Times New Roman"/>
          <w:color w:val="auto"/>
          <w:spacing w:val="11"/>
          <w:w w:val="100"/>
          <w:kern w:val="2"/>
          <w:sz w:val="44"/>
          <w:szCs w:val="44"/>
          <w:lang w:val="en-US" w:eastAsia="zh-CN" w:bidi="ar-SA"/>
        </w:rPr>
        <w:t>对标国家发展改革委</w:t>
      </w:r>
      <w:r>
        <w:rPr>
          <w:rFonts w:hint="default" w:ascii="Times New Roman" w:hAnsi="Times New Roman" w:eastAsia="方正小标宋简体" w:cs="Times New Roman"/>
          <w:color w:val="auto"/>
          <w:spacing w:val="11"/>
          <w:w w:val="100"/>
          <w:kern w:val="2"/>
          <w:sz w:val="44"/>
          <w:szCs w:val="44"/>
          <w:lang w:val="en" w:eastAsia="zh-CN" w:bidi="ar-SA"/>
        </w:rPr>
        <w:t>通报</w:t>
      </w:r>
      <w:r>
        <w:rPr>
          <w:rFonts w:hint="eastAsia" w:eastAsia="方正小标宋简体" w:cs="Times New Roman"/>
          <w:color w:val="auto"/>
          <w:spacing w:val="11"/>
          <w:w w:val="100"/>
          <w:kern w:val="2"/>
          <w:sz w:val="44"/>
          <w:szCs w:val="44"/>
          <w:lang w:val="en-US" w:eastAsia="zh-CN" w:bidi="ar-SA"/>
        </w:rPr>
        <w:t>的第五批</w:t>
      </w:r>
      <w:r>
        <w:rPr>
          <w:rFonts w:hint="default" w:ascii="Times New Roman" w:hAnsi="Times New Roman" w:eastAsia="方正小标宋简体" w:cs="Times New Roman"/>
          <w:color w:val="auto"/>
          <w:spacing w:val="11"/>
          <w:w w:val="100"/>
          <w:kern w:val="2"/>
          <w:sz w:val="44"/>
          <w:szCs w:val="44"/>
          <w:lang w:val="en-US" w:eastAsia="zh-CN" w:bidi="ar-SA"/>
        </w:rPr>
        <w:t>违背市场准入</w:t>
      </w:r>
      <w:r>
        <w:rPr>
          <w:rFonts w:hint="default" w:ascii="Times New Roman" w:hAnsi="Times New Roman" w:eastAsia="方正小标宋简体" w:cs="Times New Roman"/>
          <w:color w:val="auto"/>
          <w:spacing w:val="11"/>
          <w:w w:val="100"/>
          <w:kern w:val="2"/>
          <w:sz w:val="44"/>
          <w:szCs w:val="44"/>
          <w:lang w:val="en" w:eastAsia="zh-CN" w:bidi="ar-SA"/>
        </w:rPr>
        <w:t>负</w:t>
      </w:r>
      <w:r>
        <w:rPr>
          <w:rFonts w:hint="default" w:ascii="Times New Roman" w:hAnsi="Times New Roman" w:eastAsia="方正小标宋简体" w:cs="Times New Roman"/>
          <w:color w:val="auto"/>
          <w:spacing w:val="11"/>
          <w:w w:val="100"/>
          <w:kern w:val="2"/>
          <w:sz w:val="44"/>
          <w:szCs w:val="44"/>
          <w:lang w:val="en-US" w:eastAsia="zh-CN" w:bidi="ar-SA"/>
        </w:rPr>
        <w:t>面清单典型案例责任分工表</w:t>
      </w:r>
    </w:p>
    <w:tbl>
      <w:tblPr>
        <w:tblStyle w:val="4"/>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37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案例名称</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eastAsia" w:eastAsia="黑体" w:cs="Times New Roman"/>
                <w:sz w:val="24"/>
                <w:szCs w:val="24"/>
                <w:vertAlign w:val="baseline"/>
                <w:lang w:val="en-US" w:eastAsia="zh-CN"/>
              </w:rPr>
              <w:t>涉及</w:t>
            </w:r>
            <w:r>
              <w:rPr>
                <w:rFonts w:hint="default" w:ascii="Times New Roman" w:hAnsi="Times New Roman" w:eastAsia="黑体" w:cs="Times New Roman"/>
                <w:sz w:val="24"/>
                <w:szCs w:val="24"/>
                <w:vertAlign w:val="baseline"/>
                <w:lang w:val="en-US" w:eastAsia="zh-CN"/>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eastAsia" w:cs="Times New Roman"/>
                <w:sz w:val="24"/>
                <w:szCs w:val="24"/>
                <w:lang w:val="en-US" w:eastAsia="zh-CN"/>
              </w:rPr>
              <w:t>福建省宁德市福鼎市城市管理局通过招标违规设置共享电单车企业准入障碍</w:t>
            </w:r>
            <w:r>
              <w:rPr>
                <w:rFonts w:hint="default" w:ascii="Times New Roman" w:hAnsi="Times New Roman" w:cs="Times New Roman"/>
                <w:sz w:val="24"/>
                <w:szCs w:val="24"/>
                <w:lang w:val="en-US"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eastAsia" w:cs="Times New Roman"/>
                <w:sz w:val="24"/>
                <w:szCs w:val="24"/>
                <w:lang w:val="en-US" w:eastAsia="zh-CN"/>
              </w:rPr>
              <w:t>福建省南平市光泽县国资公司通过竞争性谈判违规设置共享电单车企业准入障碍</w:t>
            </w:r>
            <w:r>
              <w:rPr>
                <w:rFonts w:hint="default" w:ascii="Times New Roman" w:hAnsi="Times New Roman" w:cs="Times New Roman"/>
                <w:sz w:val="24"/>
                <w:szCs w:val="24"/>
                <w:lang w:val="en-US"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eastAsia" w:cs="Times New Roman"/>
                <w:sz w:val="24"/>
                <w:szCs w:val="24"/>
                <w:lang w:val="en-US" w:eastAsia="zh-CN"/>
              </w:rPr>
              <w:t>福建省宁德市霞浦县城市管理局通过招标违规设置共享单车企业准入障碍</w:t>
            </w:r>
            <w:r>
              <w:rPr>
                <w:rFonts w:hint="default" w:ascii="Times New Roman" w:hAnsi="Times New Roman" w:eastAsia="仿宋_GB2312" w:cs="Times New Roman"/>
                <w:sz w:val="24"/>
                <w:szCs w:val="24"/>
                <w:lang w:val="en-US"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福建省南平市延平区城市管理局通过共享电单车经营权拍卖违规设置共享电单车企业准入障碍</w:t>
            </w:r>
            <w:r>
              <w:rPr>
                <w:rFonts w:hint="default" w:ascii="Times New Roman" w:hAnsi="Times New Roman" w:eastAsia="仿宋_GB2312" w:cs="Times New Roman"/>
                <w:sz w:val="24"/>
                <w:szCs w:val="24"/>
                <w:lang w:val="en-US"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eastAsia" w:cs="Times New Roman"/>
                <w:sz w:val="24"/>
                <w:szCs w:val="24"/>
                <w:lang w:val="en-US" w:eastAsia="zh-CN"/>
              </w:rPr>
              <w:t>福建省龙岩市长汀县城市管理局通过招标违规设置共享电单车企业准入障碍并违规收费</w:t>
            </w:r>
            <w:r>
              <w:rPr>
                <w:rFonts w:hint="default" w:ascii="Times New Roman" w:hAnsi="Times New Roman" w:eastAsia="仿宋_GB2312" w:cs="Times New Roman"/>
                <w:sz w:val="24"/>
                <w:szCs w:val="24"/>
                <w:lang w:val="en-US"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福建省交通厅未按相关规定开展超限通行证审批，影响企业正常进入相关行业开展经营</w:t>
            </w:r>
            <w:r>
              <w:rPr>
                <w:rFonts w:hint="default" w:ascii="Times New Roman" w:hAnsi="Times New Roman" w:eastAsia="仿宋_GB2312" w:cs="Times New Roman"/>
                <w:sz w:val="24"/>
                <w:szCs w:val="24"/>
                <w:lang w:val="en-US"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福建省泉州市丰泽区市场监管局有关业务受理流程不规范导致准入障碍</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市场监管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福建省泉州市行政服务中心未及时为企业办理卫生许可证延续业务导致准入障碍</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行政审批和政务信息、卫生健康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福建省泉州市鲤城区住建局违规增设审批条件导致准入障碍</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福建省福州市福清市文旅局违规增设审批条件导致准入障碍</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文旅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福建省三明市将乐县交通局违规设置准入条件，限制外地企业进入当地市场经营</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福建省青少年篮球训练相关审批条件不明确导致准入障碍</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13</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湖南省怀化市某公司未经许可经营旅游业务</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文旅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贵州省遵义市正安县综合行政执法局违规设置市场准入条件，限制市场主体平等进入瓶装燃气经营市场</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 w:eastAsia="zh-CN"/>
              </w:rPr>
              <w:t>住建</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浙江省宁波市镇海区有关交通运输部门违规增设机动车维修企业准入备案条件</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16</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福建省漳州市漳浦县城市管理局通过招标违规设置共享单车企业准入障碍</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住建</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17</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广西壮族自治区柳州市快递协会违规收取三轮车验车费用，增加市场主体准入负担</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邮政管理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湖北省十堰市郧阳区自然资源和规划局违规设置采矿权相关市场准入条件，限制非国有企业及外地企业准入经营</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19</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中国播音主持网违规从事互联网新闻信息服务</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网信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湖北省襄阳市行政审批局以行政手段干预限制外地市场主体进入本地工程建设领域经营</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US" w:eastAsia="zh-CN"/>
              </w:rPr>
              <w:t>发改、住建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21</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福建省福州市晋安区城乡建设局设置小规模工程承发包领域准入条件，限制外地企业进入本地市场</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637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新疆维吾尔自治区吐鲁番市应急管理局设置第三方监控服务企业准入条件，限制外地市场主体进入本地市场</w:t>
            </w:r>
            <w:r>
              <w:rPr>
                <w:rFonts w:hint="default" w:ascii="Times New Roman" w:hAnsi="Times New Roman" w:cs="Times New Roman"/>
                <w:sz w:val="24"/>
                <w:szCs w:val="24"/>
                <w:lang w:val="en" w:eastAsia="zh-CN"/>
              </w:rPr>
              <w:t>。</w:t>
            </w:r>
          </w:p>
        </w:tc>
        <w:tc>
          <w:tcPr>
            <w:tcW w:w="20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应急管理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6AAA0661"/>
    <w:rsid w:val="6AAA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2023-07-07T09:18:00Z</dcterms:created>
  <dc:creator>Administrator</dc:creator>
  <cp:lastModifiedBy>Administrator</cp:lastModifiedBy>
  <dcterms:modified xsi:type="dcterms:W3CDTF">2023-07-07T09:18:33Z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B454A36A08C74A199ACE5F12FFAB6D94_11</vt:lpwstr>
  </property>
</Properties>
</file>