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rPr>
          <w:rFonts w:ascii="仿宋_GB2312" w:eastAsia="仿宋_GB2312"/>
          <w:kern w:val="0"/>
          <w:sz w:val="32"/>
          <w:szCs w:val="32"/>
        </w:rPr>
      </w:pPr>
      <w:r>
        <w:rPr>
          <w:rFonts w:hint="eastAsia" w:ascii="仿宋_GB2312" w:eastAsia="仿宋_GB2312"/>
          <w:kern w:val="0"/>
          <w:sz w:val="32"/>
          <w:szCs w:val="32"/>
        </w:rPr>
        <w:t>附件3</w:t>
      </w:r>
    </w:p>
    <w:p>
      <w:pPr>
        <w:keepNext w:val="0"/>
        <w:keepLines w:val="0"/>
        <w:pageBreakBefore w:val="0"/>
        <w:widowControl w:val="0"/>
        <w:kinsoku/>
        <w:wordWrap/>
        <w:overflowPunct/>
        <w:topLinePunct w:val="0"/>
        <w:autoSpaceDE/>
        <w:autoSpaceDN/>
        <w:bidi w:val="0"/>
        <w:adjustRightInd/>
        <w:snapToGrid w:val="0"/>
        <w:spacing w:line="240" w:lineRule="auto"/>
        <w:ind w:firstLine="862" w:firstLineChars="196"/>
        <w:jc w:val="center"/>
        <w:textAlignment w:val="auto"/>
        <w:outlineLvl w:val="0"/>
        <w:rPr>
          <w:rFonts w:hint="eastAsia" w:ascii="方正小标宋简体" w:hAnsi="黑体" w:eastAsia="方正小标宋简体"/>
          <w:kern w:val="0"/>
          <w:sz w:val="44"/>
          <w:szCs w:val="44"/>
        </w:rPr>
      </w:pPr>
      <w:r>
        <w:rPr>
          <w:rFonts w:hint="eastAsia" w:ascii="方正小标宋简体" w:hAnsi="黑体" w:eastAsia="方正小标宋简体"/>
          <w:kern w:val="0"/>
          <w:sz w:val="44"/>
          <w:szCs w:val="44"/>
        </w:rPr>
        <w:t>《牛至扦插育苗技术规程》南阳市</w:t>
      </w:r>
    </w:p>
    <w:p>
      <w:pPr>
        <w:keepNext w:val="0"/>
        <w:keepLines w:val="0"/>
        <w:pageBreakBefore w:val="0"/>
        <w:widowControl w:val="0"/>
        <w:kinsoku/>
        <w:wordWrap/>
        <w:overflowPunct/>
        <w:topLinePunct w:val="0"/>
        <w:autoSpaceDE/>
        <w:autoSpaceDN/>
        <w:bidi w:val="0"/>
        <w:adjustRightInd/>
        <w:snapToGrid w:val="0"/>
        <w:spacing w:line="240" w:lineRule="auto"/>
        <w:ind w:firstLine="862" w:firstLineChars="196"/>
        <w:jc w:val="center"/>
        <w:textAlignment w:val="auto"/>
        <w:outlineLvl w:val="0"/>
        <w:rPr>
          <w:rFonts w:hint="eastAsia" w:ascii="方正小标宋简体" w:hAnsi="黑体" w:eastAsia="方正小标宋简体"/>
          <w:kern w:val="0"/>
          <w:sz w:val="44"/>
          <w:szCs w:val="44"/>
        </w:rPr>
      </w:pPr>
      <w:r>
        <w:rPr>
          <w:rFonts w:hint="eastAsia" w:ascii="方正小标宋简体" w:hAnsi="黑体" w:eastAsia="方正小标宋简体"/>
          <w:kern w:val="0"/>
          <w:sz w:val="44"/>
          <w:szCs w:val="44"/>
        </w:rPr>
        <w:t>地方标准编制说明</w:t>
      </w:r>
    </w:p>
    <w:p>
      <w:pPr>
        <w:keepNext w:val="0"/>
        <w:keepLines w:val="0"/>
        <w:pageBreakBefore w:val="0"/>
        <w:widowControl w:val="0"/>
        <w:kinsoku/>
        <w:wordWrap/>
        <w:overflowPunct/>
        <w:topLinePunct w:val="0"/>
        <w:autoSpaceDE/>
        <w:autoSpaceDN/>
        <w:bidi w:val="0"/>
        <w:adjustRightInd/>
        <w:snapToGrid w:val="0"/>
        <w:spacing w:line="240" w:lineRule="auto"/>
        <w:ind w:firstLine="862" w:firstLineChars="196"/>
        <w:jc w:val="center"/>
        <w:textAlignment w:val="auto"/>
        <w:outlineLvl w:val="0"/>
        <w:rPr>
          <w:rFonts w:hint="eastAsia" w:ascii="方正小标宋简体" w:hAnsi="黑体" w:eastAsia="方正小标宋简体"/>
          <w:kern w:val="0"/>
          <w:sz w:val="44"/>
          <w:szCs w:val="44"/>
        </w:rPr>
      </w:pP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textAlignment w:val="auto"/>
        <w:outlineLvl w:val="0"/>
        <w:rPr>
          <w:rFonts w:hint="eastAsia" w:ascii="黑体" w:hAnsi="黑体" w:eastAsia="黑体"/>
          <w:kern w:val="0"/>
          <w:sz w:val="32"/>
          <w:szCs w:val="32"/>
        </w:rPr>
      </w:pPr>
      <w:r>
        <w:rPr>
          <w:rFonts w:hint="eastAsia" w:ascii="黑体" w:hAnsi="黑体" w:eastAsia="黑体"/>
          <w:kern w:val="0"/>
          <w:sz w:val="32"/>
          <w:szCs w:val="32"/>
        </w:rPr>
        <w:t>编制的目的和意义</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牛至</w:t>
      </w:r>
      <w:r>
        <w:rPr>
          <w:rFonts w:hint="eastAsia" w:ascii="仿宋_GB2312" w:eastAsia="仿宋_GB2312" w:cs="Times New Roman"/>
          <w:kern w:val="0"/>
          <w:sz w:val="32"/>
          <w:szCs w:val="32"/>
          <w:lang w:val="en-US" w:eastAsia="zh-CN"/>
        </w:rPr>
        <w:t>目前</w:t>
      </w:r>
      <w:r>
        <w:rPr>
          <w:rFonts w:hint="eastAsia" w:ascii="仿宋_GB2312" w:hAnsi="Times New Roman" w:eastAsia="仿宋_GB2312" w:cs="Times New Roman"/>
          <w:kern w:val="0"/>
          <w:sz w:val="32"/>
          <w:szCs w:val="32"/>
          <w:lang w:val="en-US" w:eastAsia="zh-CN"/>
        </w:rPr>
        <w:t>是</w:t>
      </w:r>
      <w:r>
        <w:rPr>
          <w:rFonts w:hint="eastAsia" w:ascii="仿宋_GB2312" w:eastAsia="仿宋_GB2312" w:cs="Times New Roman"/>
          <w:kern w:val="0"/>
          <w:sz w:val="32"/>
          <w:szCs w:val="32"/>
          <w:lang w:val="en-US" w:eastAsia="zh-CN"/>
        </w:rPr>
        <w:t>畜禽养殖中替代抗生素最好的一种中草药，是</w:t>
      </w:r>
      <w:r>
        <w:rPr>
          <w:rFonts w:hint="eastAsia" w:ascii="仿宋_GB2312" w:hAnsi="Times New Roman" w:eastAsia="仿宋_GB2312" w:cs="Times New Roman"/>
          <w:kern w:val="0"/>
          <w:sz w:val="32"/>
          <w:szCs w:val="32"/>
          <w:lang w:val="en-US" w:eastAsia="zh-CN"/>
        </w:rPr>
        <w:t>南阳</w:t>
      </w:r>
      <w:r>
        <w:rPr>
          <w:rFonts w:hint="eastAsia" w:ascii="仿宋_GB2312" w:eastAsia="仿宋_GB2312" w:cs="Times New Roman"/>
          <w:kern w:val="0"/>
          <w:sz w:val="32"/>
          <w:szCs w:val="32"/>
          <w:lang w:val="en-US" w:eastAsia="zh-CN"/>
        </w:rPr>
        <w:t>伏牛山区</w:t>
      </w:r>
      <w:r>
        <w:rPr>
          <w:rFonts w:hint="eastAsia" w:ascii="仿宋_GB2312" w:hAnsi="Times New Roman" w:eastAsia="仿宋_GB2312" w:cs="Times New Roman"/>
          <w:kern w:val="0"/>
          <w:sz w:val="32"/>
          <w:szCs w:val="32"/>
          <w:lang w:val="en-US" w:eastAsia="zh-CN"/>
        </w:rPr>
        <w:t>道地中药材之一。</w:t>
      </w:r>
      <w:r>
        <w:rPr>
          <w:rFonts w:hint="eastAsia" w:ascii="仿宋_GB2312" w:eastAsia="仿宋_GB2312" w:cs="Times New Roman"/>
          <w:kern w:val="0"/>
          <w:sz w:val="32"/>
          <w:szCs w:val="32"/>
          <w:lang w:val="en-US" w:eastAsia="zh-CN"/>
        </w:rPr>
        <w:t>牛至中提取的挥发性精油即</w:t>
      </w:r>
      <w:r>
        <w:rPr>
          <w:rFonts w:hint="eastAsia" w:ascii="仿宋_GB2312" w:hAnsi="Times New Roman" w:eastAsia="仿宋_GB2312" w:cs="Times New Roman"/>
          <w:kern w:val="0"/>
          <w:sz w:val="32"/>
          <w:szCs w:val="32"/>
          <w:lang w:val="en-US" w:eastAsia="zh-CN"/>
        </w:rPr>
        <w:t>牛至油（</w:t>
      </w:r>
      <w:r>
        <w:rPr>
          <w:rFonts w:hint="default" w:ascii="仿宋_GB2312" w:hAnsi="Times New Roman" w:eastAsia="仿宋_GB2312" w:cs="Times New Roman"/>
          <w:kern w:val="0"/>
          <w:sz w:val="32"/>
          <w:szCs w:val="32"/>
          <w:lang w:val="en-US" w:eastAsia="zh-CN"/>
        </w:rPr>
        <w:t>Oregano Oil</w:t>
      </w:r>
      <w:r>
        <w:rPr>
          <w:rFonts w:hint="eastAsia" w:ascii="仿宋_GB2312" w:hAnsi="Times New Roman" w:eastAsia="仿宋_GB2312" w:cs="Times New Roman"/>
          <w:kern w:val="0"/>
          <w:sz w:val="32"/>
          <w:szCs w:val="32"/>
          <w:lang w:val="en-US" w:eastAsia="zh-CN"/>
        </w:rPr>
        <w:t>）</w:t>
      </w:r>
      <w:r>
        <w:rPr>
          <w:rFonts w:hint="eastAsia" w:ascii="仿宋_GB2312" w:eastAsia="仿宋_GB2312" w:cs="Times New Roman"/>
          <w:kern w:val="0"/>
          <w:sz w:val="32"/>
          <w:szCs w:val="32"/>
          <w:lang w:val="en-US" w:eastAsia="zh-CN"/>
        </w:rPr>
        <w:t>，</w:t>
      </w:r>
      <w:r>
        <w:rPr>
          <w:rFonts w:hint="eastAsia" w:ascii="仿宋_GB2312" w:hAnsi="Times New Roman" w:eastAsia="仿宋_GB2312" w:cs="Times New Roman"/>
          <w:kern w:val="0"/>
          <w:sz w:val="32"/>
          <w:szCs w:val="32"/>
          <w:lang w:val="en-US" w:eastAsia="zh-CN"/>
        </w:rPr>
        <w:t>具有极强的杀菌、抑菌作用，是人类目前发现的，抗菌与抗病毒能力最强效的天然消炎抗菌剂；能强效杀死大多数致病菌，用于防治动物消化道细菌性疾病大肠杆菌、沙门氏菌和金黄色葡萄球菌等，也可以用来预防球虫病。</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牛至油是我国农业部批准使用的饲料药物添加剂之一，具有安全、高效、绿色、无配伍禁忌的优点；在动物食品生产中绿色、环保、抗菌、促生长、无残留、零停药期、无耐药性及不易产生抗药性，是一种新型、绿色饲料添加剂；可以生产绿色动物源性食品；抗生素作为饲料添加剂的使用受到越来越多的限制，“饲料禁抗”“无抗养殖”逐渐成为行业新趋势。而随着“无抗”养殖和地方特色土猪生态养殖的兴起，无公害、无残留的绿色饲料添加剂业必将大有可为。</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2019年7月9日中华人民共和国农业农村部公告第194号规定：一、自2020年1月1日起，退出除中药外的所有促生长类药物饲料添加剂品种，兽药生产企业停止生产、进口兽药代理商停止进口相应兽药产品，同时注销相应的兽药产品批准文号和进口兽药注册证书。二、自2020年7月1日起，饲料生产企业停止生产含有促生长类药物饲料添加剂（中药类除外）的商品饲料。国家一系列政策的出台，将促进中药替抗产业的快速发展</w:t>
      </w:r>
      <w:r>
        <w:rPr>
          <w:rFonts w:hint="eastAsia" w:ascii="仿宋_GB2312"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人工种植牛至，大力发展牛至产业，不仅符合产业政策，</w:t>
      </w:r>
      <w:r>
        <w:rPr>
          <w:rFonts w:hint="eastAsia" w:ascii="仿宋_GB2312" w:eastAsia="仿宋_GB2312" w:cs="Times New Roman"/>
          <w:kern w:val="0"/>
          <w:sz w:val="32"/>
          <w:szCs w:val="32"/>
          <w:lang w:val="en-US" w:eastAsia="zh-CN"/>
        </w:rPr>
        <w:t>而</w:t>
      </w:r>
      <w:r>
        <w:rPr>
          <w:rFonts w:hint="eastAsia" w:ascii="仿宋_GB2312" w:hAnsi="Times New Roman" w:eastAsia="仿宋_GB2312" w:cs="Times New Roman"/>
          <w:kern w:val="0"/>
          <w:sz w:val="32"/>
          <w:szCs w:val="32"/>
          <w:lang w:val="en-US" w:eastAsia="zh-CN"/>
        </w:rPr>
        <w:t>且对社会、生态、经济都能起到良好的</w:t>
      </w:r>
      <w:r>
        <w:rPr>
          <w:rFonts w:hint="eastAsia" w:ascii="仿宋_GB2312" w:eastAsia="仿宋_GB2312" w:cs="Times New Roman"/>
          <w:kern w:val="0"/>
          <w:sz w:val="32"/>
          <w:szCs w:val="32"/>
          <w:lang w:val="en-US" w:eastAsia="zh-CN"/>
        </w:rPr>
        <w:t>促进</w:t>
      </w:r>
      <w:r>
        <w:rPr>
          <w:rFonts w:hint="eastAsia" w:ascii="仿宋_GB2312" w:hAnsi="Times New Roman" w:eastAsia="仿宋_GB2312" w:cs="Times New Roman"/>
          <w:kern w:val="0"/>
          <w:sz w:val="32"/>
          <w:szCs w:val="32"/>
          <w:lang w:val="en-US" w:eastAsia="zh-CN"/>
        </w:rPr>
        <w:t>作用。大力发展牛至产业，种苗供应成为牛至快速推广的瓶颈问题；本项目采用新技术、新方法进行试验，研究制定牛至种苗快速繁育的技术标准，解决限制牛至大规模发展的种苗生产供应问题。本标准严格遵照GB/T 1.1—2009的有关规定起草。</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textAlignment w:val="auto"/>
        <w:outlineLvl w:val="0"/>
        <w:rPr>
          <w:rFonts w:hint="eastAsia" w:ascii="黑体" w:hAnsi="黑体" w:eastAsia="黑体" w:cs="Times New Roman"/>
          <w:kern w:val="0"/>
          <w:sz w:val="32"/>
          <w:szCs w:val="32"/>
        </w:rPr>
      </w:pPr>
      <w:r>
        <w:rPr>
          <w:rFonts w:hint="eastAsia" w:ascii="黑体" w:hAnsi="黑体" w:eastAsia="黑体" w:cs="Times New Roman"/>
          <w:kern w:val="0"/>
          <w:sz w:val="32"/>
          <w:szCs w:val="32"/>
        </w:rPr>
        <w:t>任务来源及编制原则和依据</w:t>
      </w:r>
    </w:p>
    <w:p>
      <w:pPr>
        <w:keepNext w:val="0"/>
        <w:keepLines w:val="0"/>
        <w:pageBreakBefore w:val="0"/>
        <w:widowControl w:val="0"/>
        <w:numPr>
          <w:ilvl w:val="0"/>
          <w:numId w:val="3"/>
        </w:numPr>
        <w:kinsoku/>
        <w:wordWrap/>
        <w:overflowPunct/>
        <w:topLinePunct w:val="0"/>
        <w:autoSpaceDE/>
        <w:autoSpaceDN/>
        <w:bidi w:val="0"/>
        <w:adjustRightInd/>
        <w:snapToGrid w:val="0"/>
        <w:spacing w:line="240" w:lineRule="auto"/>
        <w:ind w:firstLine="640" w:firstLineChars="200"/>
        <w:textAlignment w:val="auto"/>
        <w:outlineLvl w:val="1"/>
        <w:rPr>
          <w:rFonts w:hint="eastAsia" w:ascii="楷体" w:hAnsi="楷体" w:eastAsia="楷体" w:cs="楷体"/>
          <w:kern w:val="0"/>
          <w:sz w:val="32"/>
          <w:szCs w:val="32"/>
          <w:lang w:val="en-US" w:eastAsia="zh-CN"/>
        </w:rPr>
      </w:pPr>
      <w:r>
        <w:rPr>
          <w:rFonts w:hint="eastAsia" w:ascii="楷体" w:hAnsi="楷体" w:eastAsia="楷体" w:cs="楷体"/>
          <w:kern w:val="0"/>
          <w:sz w:val="32"/>
          <w:szCs w:val="32"/>
          <w:lang w:val="en-US" w:eastAsia="zh-CN"/>
        </w:rPr>
        <w:t>任务来源</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牛至扦插育苗技术规程》由河南华牧生物科技科技有限公司和南阳市科学院中药材研究所提出，南阳市市场监督管理局批准立项，立项通知见《河南省市场监督管理局关于下达2023年南阳市地方标准制，修订计划的通知》（宛市监函</w:t>
      </w:r>
      <w:r>
        <w:rPr>
          <w:rFonts w:hint="eastAsia" w:ascii="宋体" w:hAnsi="宋体" w:eastAsia="宋体" w:cs="宋体"/>
          <w:kern w:val="0"/>
          <w:sz w:val="32"/>
          <w:szCs w:val="32"/>
          <w:lang w:val="en-US" w:eastAsia="zh-CN"/>
        </w:rPr>
        <w:t>〔</w:t>
      </w:r>
      <w:r>
        <w:rPr>
          <w:rFonts w:hint="eastAsia" w:ascii="宋体" w:hAnsi="宋体" w:cs="宋体"/>
          <w:kern w:val="0"/>
          <w:sz w:val="32"/>
          <w:szCs w:val="32"/>
          <w:lang w:val="en-US" w:eastAsia="zh-CN"/>
        </w:rPr>
        <w:t>2023</w:t>
      </w:r>
      <w:r>
        <w:rPr>
          <w:rFonts w:hint="eastAsia" w:ascii="宋体" w:hAnsi="宋体" w:eastAsia="宋体" w:cs="宋体"/>
          <w:kern w:val="0"/>
          <w:sz w:val="32"/>
          <w:szCs w:val="32"/>
          <w:lang w:val="en-US" w:eastAsia="zh-CN"/>
        </w:rPr>
        <w:t>〕</w:t>
      </w:r>
      <w:r>
        <w:rPr>
          <w:rFonts w:hint="eastAsia" w:ascii="宋体" w:hAnsi="宋体" w:cs="宋体"/>
          <w:kern w:val="0"/>
          <w:sz w:val="32"/>
          <w:szCs w:val="32"/>
          <w:lang w:val="en-US" w:eastAsia="zh-CN"/>
        </w:rPr>
        <w:t>21号</w:t>
      </w:r>
      <w:r>
        <w:rPr>
          <w:rFonts w:hint="eastAsia" w:ascii="仿宋_GB2312" w:hAnsi="Times New Roman" w:eastAsia="仿宋_GB2312" w:cs="Times New Roman"/>
          <w:kern w:val="0"/>
          <w:sz w:val="32"/>
          <w:szCs w:val="32"/>
          <w:lang w:val="en-US" w:eastAsia="zh-CN"/>
        </w:rPr>
        <w:t>），立项编号：2023009，由河南华牧生物科技科技有限公司和南阳市科学院中药材研究所负责起草。</w:t>
      </w:r>
    </w:p>
    <w:p>
      <w:pPr>
        <w:keepNext w:val="0"/>
        <w:keepLines w:val="0"/>
        <w:pageBreakBefore w:val="0"/>
        <w:widowControl w:val="0"/>
        <w:numPr>
          <w:ilvl w:val="0"/>
          <w:numId w:val="3"/>
        </w:numPr>
        <w:kinsoku/>
        <w:wordWrap/>
        <w:overflowPunct/>
        <w:topLinePunct w:val="0"/>
        <w:autoSpaceDE/>
        <w:autoSpaceDN/>
        <w:bidi w:val="0"/>
        <w:adjustRightInd/>
        <w:snapToGrid w:val="0"/>
        <w:spacing w:line="240" w:lineRule="auto"/>
        <w:ind w:firstLine="640" w:firstLineChars="200"/>
        <w:textAlignment w:val="auto"/>
        <w:outlineLvl w:val="1"/>
        <w:rPr>
          <w:rFonts w:hint="eastAsia" w:ascii="楷体" w:hAnsi="楷体" w:eastAsia="楷体" w:cs="楷体"/>
          <w:kern w:val="0"/>
          <w:sz w:val="32"/>
          <w:szCs w:val="32"/>
          <w:lang w:val="en-US" w:eastAsia="zh-CN"/>
        </w:rPr>
      </w:pPr>
      <w:r>
        <w:rPr>
          <w:rFonts w:hint="eastAsia" w:ascii="楷体" w:hAnsi="楷体" w:eastAsia="楷体" w:cs="楷体"/>
          <w:kern w:val="0"/>
          <w:sz w:val="32"/>
          <w:szCs w:val="32"/>
          <w:lang w:val="en-US" w:eastAsia="zh-CN"/>
        </w:rPr>
        <w:t>编制原则和依据</w:t>
      </w:r>
    </w:p>
    <w:p>
      <w:pPr>
        <w:keepNext w:val="0"/>
        <w:keepLines w:val="0"/>
        <w:pageBreakBefore w:val="0"/>
        <w:widowControl w:val="0"/>
        <w:numPr>
          <w:ilvl w:val="0"/>
          <w:numId w:val="4"/>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规范性原则：本标准编制遵循国家现行的农业植保相关法律法规和政策要求，按照GB/T1.1-2020《标准化工作导则第分:标准化文件的结构和编写》及《河南省地方标准管理办法》的要求进行编写。</w:t>
      </w:r>
    </w:p>
    <w:p>
      <w:pPr>
        <w:keepNext w:val="0"/>
        <w:keepLines w:val="0"/>
        <w:pageBreakBefore w:val="0"/>
        <w:widowControl w:val="0"/>
        <w:numPr>
          <w:ilvl w:val="0"/>
          <w:numId w:val="4"/>
        </w:numPr>
        <w:kinsoku/>
        <w:wordWrap/>
        <w:overflowPunct/>
        <w:topLinePunct w:val="0"/>
        <w:autoSpaceDE/>
        <w:autoSpaceDN/>
        <w:bidi w:val="0"/>
        <w:adjustRightInd/>
        <w:snapToGrid w:val="0"/>
        <w:spacing w:line="240" w:lineRule="auto"/>
        <w:ind w:firstLine="640" w:firstLineChars="200"/>
        <w:textAlignment w:val="auto"/>
        <w:rPr>
          <w:rFonts w:hint="default"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科学性原则：本标准制订得到了河南省现代农业产业技术体系专项资金（HARS-22-11-Z2）的经费资助，核心技术均用于田间生产实际，并在南阳市牛至扦插育苗实践中得到验证。</w:t>
      </w:r>
    </w:p>
    <w:p>
      <w:pPr>
        <w:keepNext w:val="0"/>
        <w:keepLines w:val="0"/>
        <w:pageBreakBefore w:val="0"/>
        <w:widowControl w:val="0"/>
        <w:numPr>
          <w:ilvl w:val="0"/>
          <w:numId w:val="4"/>
        </w:numPr>
        <w:kinsoku/>
        <w:wordWrap/>
        <w:overflowPunct/>
        <w:topLinePunct w:val="0"/>
        <w:autoSpaceDE/>
        <w:autoSpaceDN/>
        <w:bidi w:val="0"/>
        <w:adjustRightInd/>
        <w:snapToGrid w:val="0"/>
        <w:spacing w:line="240" w:lineRule="auto"/>
        <w:ind w:firstLine="640" w:firstLineChars="200"/>
        <w:textAlignment w:val="auto"/>
        <w:rPr>
          <w:rFonts w:hint="default"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实用性原则：本标准编制以牛至扦插育苗成苗为目标，以一线技术人员田间试验研究结果为依据，结合生产中实际经验，确保本标准在生产实践中的可行性和实用性。</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textAlignment w:val="auto"/>
        <w:outlineLvl w:val="0"/>
        <w:rPr>
          <w:rFonts w:hint="eastAsia" w:ascii="黑体" w:hAnsi="黑体" w:eastAsia="黑体" w:cs="Times New Roman"/>
          <w:kern w:val="0"/>
          <w:sz w:val="32"/>
          <w:szCs w:val="32"/>
        </w:rPr>
      </w:pPr>
      <w:r>
        <w:rPr>
          <w:rFonts w:hint="eastAsia" w:ascii="黑体" w:hAnsi="黑体" w:eastAsia="黑体" w:cs="Times New Roman"/>
          <w:kern w:val="0"/>
          <w:sz w:val="32"/>
          <w:szCs w:val="32"/>
        </w:rPr>
        <w:t>编制过程</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outlineLvl w:val="1"/>
        <w:rPr>
          <w:rFonts w:hint="eastAsia" w:ascii="楷体" w:hAnsi="楷体" w:eastAsia="楷体" w:cs="楷体"/>
          <w:kern w:val="0"/>
          <w:sz w:val="32"/>
          <w:szCs w:val="32"/>
          <w:lang w:val="en-US" w:eastAsia="zh-CN"/>
        </w:rPr>
      </w:pPr>
      <w:r>
        <w:rPr>
          <w:rFonts w:hint="eastAsia" w:ascii="楷体" w:hAnsi="楷体" w:eastAsia="楷体" w:cs="楷体"/>
          <w:kern w:val="0"/>
          <w:sz w:val="32"/>
          <w:szCs w:val="32"/>
          <w:lang w:val="en-US" w:eastAsia="zh-CN"/>
        </w:rPr>
        <w:t>（一）标准起草阶段</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2023年4月本标准经南阳市市场监督管理局立项通过后，成立了《牛至扦插育苗技术规程》起草项目组。项目组由南阳市科学院（单位）范长有同志负责，范长有、王新炎、刘瑞、曹双等为成员。在前期研究基础上，收集、研究相关国家、行业标准，查阅相关文献资料，经过多次讨论、反复修改，于2023年5月编制出征求意见稿。</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textAlignment w:val="auto"/>
        <w:outlineLvl w:val="0"/>
        <w:rPr>
          <w:rFonts w:hint="eastAsia" w:ascii="黑体" w:hAnsi="黑体" w:eastAsia="黑体" w:cs="Times New Roman"/>
          <w:kern w:val="0"/>
          <w:sz w:val="32"/>
          <w:szCs w:val="32"/>
        </w:rPr>
      </w:pPr>
      <w:r>
        <w:rPr>
          <w:rFonts w:hint="eastAsia" w:ascii="黑体" w:hAnsi="黑体" w:eastAsia="黑体" w:cs="Times New Roman"/>
          <w:kern w:val="0"/>
          <w:sz w:val="32"/>
          <w:szCs w:val="32"/>
        </w:rPr>
        <w:t>主要内容的确定</w:t>
      </w:r>
    </w:p>
    <w:p>
      <w:pPr>
        <w:keepNext w:val="0"/>
        <w:keepLines w:val="0"/>
        <w:pageBreakBefore w:val="0"/>
        <w:widowControl w:val="0"/>
        <w:kinsoku/>
        <w:wordWrap/>
        <w:overflowPunct/>
        <w:topLinePunct w:val="0"/>
        <w:autoSpaceDE/>
        <w:autoSpaceDN/>
        <w:bidi w:val="0"/>
        <w:adjustRightInd/>
        <w:snapToGrid w:val="0"/>
        <w:spacing w:line="240" w:lineRule="auto"/>
        <w:ind w:firstLine="627" w:firstLineChars="196"/>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本标准的内容包括范围、规范性引用文件、术语和定义、产地环境、扦插方法、扦插技术共计六章，其中扦插技术是本规范的主体部分。针对具体内容的确定说明如下：</w:t>
      </w:r>
    </w:p>
    <w:p>
      <w:pPr>
        <w:keepNext w:val="0"/>
        <w:keepLines w:val="0"/>
        <w:pageBreakBefore w:val="0"/>
        <w:widowControl w:val="0"/>
        <w:numPr>
          <w:ilvl w:val="0"/>
          <w:numId w:val="5"/>
        </w:numPr>
        <w:kinsoku/>
        <w:wordWrap/>
        <w:overflowPunct/>
        <w:topLinePunct w:val="0"/>
        <w:autoSpaceDE/>
        <w:autoSpaceDN/>
        <w:bidi w:val="0"/>
        <w:adjustRightInd/>
        <w:snapToGrid w:val="0"/>
        <w:spacing w:line="240" w:lineRule="auto"/>
        <w:ind w:firstLine="627" w:firstLineChars="196"/>
        <w:textAlignment w:val="auto"/>
        <w:outlineLvl w:val="1"/>
        <w:rPr>
          <w:rFonts w:hint="eastAsia" w:ascii="楷体" w:hAnsi="楷体" w:eastAsia="楷体" w:cs="楷体"/>
          <w:kern w:val="0"/>
          <w:sz w:val="32"/>
          <w:szCs w:val="32"/>
          <w:lang w:val="en-US" w:eastAsia="zh-CN"/>
        </w:rPr>
      </w:pPr>
      <w:r>
        <w:rPr>
          <w:rFonts w:hint="eastAsia" w:ascii="楷体" w:hAnsi="楷体" w:eastAsia="楷体" w:cs="楷体"/>
          <w:kern w:val="0"/>
          <w:sz w:val="32"/>
          <w:szCs w:val="32"/>
          <w:lang w:val="en-US" w:eastAsia="zh-CN"/>
        </w:rPr>
        <w:t>规范性引用文件</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本标准引用GB/T 8321（所有部分） 农药合理使用准则、GB 3095  环境空气质量标准、GB 5084 农田灌溉水质标准、GB 15618  土壤环境质量标准、NY/T 496 肥料合理使用准则 通则、NY/T 5010 无公害农产品 种植业产地环境条件、NY/T 1276  农药安全使用规范总则、《中华人民共和国药典（2015）》等八个规范性应用文件，均为现行标准。</w:t>
      </w:r>
    </w:p>
    <w:p>
      <w:pPr>
        <w:keepNext w:val="0"/>
        <w:keepLines w:val="0"/>
        <w:pageBreakBefore w:val="0"/>
        <w:widowControl w:val="0"/>
        <w:numPr>
          <w:ilvl w:val="0"/>
          <w:numId w:val="5"/>
        </w:numPr>
        <w:kinsoku/>
        <w:wordWrap/>
        <w:overflowPunct/>
        <w:topLinePunct w:val="0"/>
        <w:autoSpaceDE/>
        <w:autoSpaceDN/>
        <w:bidi w:val="0"/>
        <w:adjustRightInd/>
        <w:snapToGrid w:val="0"/>
        <w:spacing w:line="240" w:lineRule="auto"/>
        <w:ind w:firstLine="627" w:firstLineChars="196"/>
        <w:textAlignment w:val="auto"/>
        <w:outlineLvl w:val="1"/>
        <w:rPr>
          <w:rFonts w:hint="eastAsia" w:ascii="楷体" w:hAnsi="楷体" w:eastAsia="楷体" w:cs="楷体"/>
          <w:kern w:val="0"/>
          <w:sz w:val="32"/>
          <w:szCs w:val="32"/>
          <w:lang w:val="en-US" w:eastAsia="zh-CN"/>
        </w:rPr>
      </w:pPr>
      <w:r>
        <w:rPr>
          <w:rFonts w:hint="eastAsia" w:ascii="楷体" w:hAnsi="楷体" w:eastAsia="楷体" w:cs="楷体"/>
          <w:kern w:val="0"/>
          <w:sz w:val="32"/>
          <w:szCs w:val="32"/>
          <w:lang w:val="en-US" w:eastAsia="zh-CN"/>
        </w:rPr>
        <w:t>术语与定义</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本规程对牛至、扦插育苗、嫩枝扦插、全日照间歇喷雾育苗法、插穗进行了定义。</w:t>
      </w:r>
    </w:p>
    <w:p>
      <w:pPr>
        <w:keepNext w:val="0"/>
        <w:keepLines w:val="0"/>
        <w:pageBreakBefore w:val="0"/>
        <w:widowControl w:val="0"/>
        <w:numPr>
          <w:ilvl w:val="0"/>
          <w:numId w:val="5"/>
        </w:numPr>
        <w:kinsoku/>
        <w:wordWrap/>
        <w:overflowPunct/>
        <w:topLinePunct w:val="0"/>
        <w:autoSpaceDE/>
        <w:autoSpaceDN/>
        <w:bidi w:val="0"/>
        <w:adjustRightInd/>
        <w:snapToGrid w:val="0"/>
        <w:spacing w:line="240" w:lineRule="auto"/>
        <w:ind w:left="0" w:leftChars="0" w:firstLine="627" w:firstLineChars="196"/>
        <w:textAlignment w:val="auto"/>
        <w:outlineLvl w:val="1"/>
        <w:rPr>
          <w:rFonts w:hint="eastAsia" w:ascii="楷体" w:hAnsi="楷体" w:eastAsia="楷体" w:cs="楷体"/>
          <w:kern w:val="0"/>
          <w:sz w:val="32"/>
          <w:szCs w:val="32"/>
          <w:lang w:val="en-US" w:eastAsia="zh-CN"/>
        </w:rPr>
      </w:pPr>
      <w:r>
        <w:rPr>
          <w:rFonts w:hint="eastAsia" w:ascii="楷体" w:hAnsi="楷体" w:eastAsia="楷体" w:cs="楷体"/>
          <w:kern w:val="0"/>
          <w:sz w:val="32"/>
          <w:szCs w:val="32"/>
          <w:lang w:val="en-US" w:eastAsia="zh-CN"/>
        </w:rPr>
        <w:t>产地环境</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本规程对扦插育苗的环境进行了要求。</w:t>
      </w:r>
    </w:p>
    <w:p>
      <w:pPr>
        <w:keepNext w:val="0"/>
        <w:keepLines w:val="0"/>
        <w:pageBreakBefore w:val="0"/>
        <w:widowControl w:val="0"/>
        <w:numPr>
          <w:ilvl w:val="0"/>
          <w:numId w:val="5"/>
        </w:numPr>
        <w:kinsoku/>
        <w:wordWrap/>
        <w:overflowPunct/>
        <w:topLinePunct w:val="0"/>
        <w:autoSpaceDE/>
        <w:autoSpaceDN/>
        <w:bidi w:val="0"/>
        <w:adjustRightInd/>
        <w:snapToGrid w:val="0"/>
        <w:spacing w:line="240" w:lineRule="auto"/>
        <w:ind w:left="0" w:leftChars="0" w:firstLine="627" w:firstLineChars="196"/>
        <w:textAlignment w:val="auto"/>
        <w:outlineLvl w:val="1"/>
        <w:rPr>
          <w:rFonts w:hint="eastAsia" w:ascii="楷体" w:hAnsi="楷体" w:eastAsia="楷体" w:cs="楷体"/>
          <w:kern w:val="0"/>
          <w:sz w:val="32"/>
          <w:szCs w:val="32"/>
          <w:lang w:val="en-US" w:eastAsia="zh-CN"/>
        </w:rPr>
      </w:pPr>
      <w:r>
        <w:rPr>
          <w:rFonts w:hint="eastAsia" w:ascii="楷体" w:hAnsi="楷体" w:eastAsia="楷体" w:cs="楷体"/>
          <w:kern w:val="0"/>
          <w:sz w:val="32"/>
          <w:szCs w:val="32"/>
          <w:lang w:val="en-US" w:eastAsia="zh-CN"/>
        </w:rPr>
        <w:t>扦插技术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扦插技术是本标准的关键内容，牛至的扦插育苗采用全日照间歇喷雾嫩枝扦插育苗。</w:t>
      </w:r>
      <w:bookmarkStart w:id="0" w:name="_Toc6833"/>
      <w:bookmarkStart w:id="1" w:name="_Toc31868"/>
      <w:r>
        <w:rPr>
          <w:rFonts w:hint="eastAsia" w:ascii="仿宋_GB2312" w:hAnsi="Times New Roman" w:eastAsia="仿宋_GB2312" w:cs="Times New Roman"/>
          <w:kern w:val="0"/>
          <w:sz w:val="32"/>
          <w:szCs w:val="32"/>
          <w:lang w:val="en-US" w:eastAsia="zh-CN"/>
        </w:rPr>
        <w:t>育苗时可以选用沙盘或穴盘进行育苗，沙盘育苗</w:t>
      </w:r>
      <w:bookmarkEnd w:id="0"/>
      <w:bookmarkEnd w:id="1"/>
      <w:r>
        <w:rPr>
          <w:rFonts w:hint="eastAsia" w:ascii="仿宋_GB2312" w:hAnsi="Times New Roman" w:eastAsia="仿宋_GB2312" w:cs="Times New Roman"/>
          <w:kern w:val="0"/>
          <w:sz w:val="32"/>
          <w:szCs w:val="32"/>
          <w:lang w:val="en-US" w:eastAsia="zh-CN"/>
        </w:rPr>
        <w:t>基质选用优质过筛河沙铺20cm厚，</w:t>
      </w:r>
      <w:bookmarkStart w:id="2" w:name="_Toc24455"/>
      <w:bookmarkStart w:id="3" w:name="_Toc29763"/>
      <w:r>
        <w:rPr>
          <w:rFonts w:hint="eastAsia" w:ascii="仿宋_GB2312" w:hAnsi="Times New Roman" w:eastAsia="仿宋_GB2312" w:cs="Times New Roman"/>
          <w:kern w:val="0"/>
          <w:sz w:val="32"/>
          <w:szCs w:val="32"/>
          <w:lang w:val="en-US" w:eastAsia="zh-CN"/>
        </w:rPr>
        <w:t>穴盘育苗</w:t>
      </w:r>
      <w:bookmarkEnd w:id="2"/>
      <w:bookmarkEnd w:id="3"/>
      <w:r>
        <w:rPr>
          <w:rFonts w:hint="eastAsia" w:ascii="仿宋_GB2312" w:hAnsi="Times New Roman" w:eastAsia="仿宋_GB2312" w:cs="Times New Roman"/>
          <w:kern w:val="0"/>
          <w:sz w:val="32"/>
          <w:szCs w:val="32"/>
          <w:lang w:val="en-US" w:eastAsia="zh-CN"/>
        </w:rPr>
        <w:t>基质选用营养土﹕河沙﹕蛭石=1:1:1。</w:t>
      </w:r>
      <w:bookmarkStart w:id="4" w:name="_Toc14859"/>
      <w:r>
        <w:rPr>
          <w:rFonts w:hint="eastAsia" w:ascii="仿宋_GB2312" w:hAnsi="Times New Roman" w:eastAsia="仿宋_GB2312" w:cs="Times New Roman"/>
          <w:kern w:val="0"/>
          <w:sz w:val="32"/>
          <w:szCs w:val="32"/>
          <w:lang w:val="en-US" w:eastAsia="zh-CN"/>
        </w:rPr>
        <w:t>在健壮、无病虫当年生未花芽分化的半木质化牛至枝条上选取插穗</w:t>
      </w:r>
      <w:bookmarkEnd w:id="4"/>
      <w:r>
        <w:rPr>
          <w:rFonts w:hint="eastAsia" w:ascii="仿宋_GB2312" w:hAnsi="Times New Roman" w:eastAsia="仿宋_GB2312" w:cs="Times New Roman"/>
          <w:kern w:val="0"/>
          <w:sz w:val="32"/>
          <w:szCs w:val="32"/>
          <w:lang w:val="en-US" w:eastAsia="zh-CN"/>
        </w:rPr>
        <w:t>；扦插可采用顶芽插和叶芽插两种方法：顶芽插：在选好的插条顶稍上截取2-3cm未木质化或半木质化带1-2对展开叶及心叶的牛至嫩茎；叶芽插：选好的已经截掉顶芽的枝条，从带有腋芽的叶柄基部，截取半木质化1对叶及叶下部带1—2cm茎秆的牛至枝条。扦插时期</w:t>
      </w:r>
      <w:bookmarkStart w:id="5" w:name="_Toc30645"/>
      <w:bookmarkStart w:id="6" w:name="_Toc31334"/>
      <w:r>
        <w:rPr>
          <w:rFonts w:hint="eastAsia" w:ascii="仿宋_GB2312" w:hAnsi="Times New Roman" w:eastAsia="仿宋_GB2312" w:cs="Times New Roman"/>
          <w:kern w:val="0"/>
          <w:sz w:val="32"/>
          <w:szCs w:val="32"/>
          <w:lang w:val="en-US" w:eastAsia="zh-CN"/>
        </w:rPr>
        <w:t>4月中旬—10月上旬均可进行扦插育苗，其中最适宜时期5月和9</w:t>
      </w:r>
      <w:bookmarkEnd w:id="5"/>
      <w:bookmarkEnd w:id="6"/>
      <w:r>
        <w:rPr>
          <w:rFonts w:hint="eastAsia" w:ascii="仿宋_GB2312" w:hAnsi="Times New Roman" w:eastAsia="仿宋_GB2312" w:cs="Times New Roman"/>
          <w:kern w:val="0"/>
          <w:sz w:val="32"/>
          <w:szCs w:val="32"/>
          <w:lang w:val="en-US" w:eastAsia="zh-CN"/>
        </w:rPr>
        <w:t>。插穗截好后用500—600倍50%多菌灵+75mg/kg萘乙酸溶液浸泡5-10秒，然后把经过处理的插穗按株距2-3cm，行距4-5cm左右的密度，插深1-2cm插于沙床，或者将配制好的穴盘育苗基质装入穴深5cm左右的105穴或128穴穴盘，压实并浇透水，每穴插入一个经过处理的插穗。</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全日照间歇喷雾扦插育苗，采用自动间歇喷雾控制系统控制喷雾，要根据天气情况调整喷雾时长及喷雾间歇时长，使牛至叶片保持干湿交替，既要防止失水萎蔫又要防止水分长期过量而造成牛至插穗腐烂。扦插后</w:t>
      </w:r>
      <w:r>
        <w:rPr>
          <w:rFonts w:hint="default" w:ascii="仿宋_GB2312" w:hAnsi="Times New Roman" w:eastAsia="仿宋_GB2312" w:cs="Times New Roman"/>
          <w:kern w:val="0"/>
          <w:sz w:val="32"/>
          <w:szCs w:val="32"/>
          <w:lang w:val="en-US" w:eastAsia="zh-CN"/>
        </w:rPr>
        <w:t>水分管理</w:t>
      </w:r>
      <w:r>
        <w:rPr>
          <w:rFonts w:hint="eastAsia" w:ascii="仿宋_GB2312" w:hAnsi="Times New Roman" w:eastAsia="仿宋_GB2312" w:cs="Times New Roman"/>
          <w:kern w:val="0"/>
          <w:sz w:val="32"/>
          <w:szCs w:val="32"/>
          <w:lang w:val="en-US" w:eastAsia="zh-CN"/>
        </w:rPr>
        <w:t>每天8:30-18:00间歇</w:t>
      </w:r>
      <w:r>
        <w:rPr>
          <w:rFonts w:hint="default" w:ascii="仿宋_GB2312" w:hAnsi="Times New Roman" w:eastAsia="仿宋_GB2312" w:cs="Times New Roman"/>
          <w:kern w:val="0"/>
          <w:sz w:val="32"/>
          <w:szCs w:val="32"/>
          <w:lang w:val="en-US" w:eastAsia="zh-CN"/>
        </w:rPr>
        <w:t>喷雾，晴天时</w:t>
      </w:r>
      <w:r>
        <w:rPr>
          <w:rFonts w:hint="eastAsia" w:ascii="仿宋_GB2312" w:hAnsi="Times New Roman" w:eastAsia="仿宋_GB2312" w:cs="Times New Roman"/>
          <w:kern w:val="0"/>
          <w:sz w:val="32"/>
          <w:szCs w:val="32"/>
          <w:lang w:val="en-US" w:eastAsia="zh-CN"/>
        </w:rPr>
        <w:t>每间隔20-30秒喷雾5-10秒</w:t>
      </w:r>
      <w:r>
        <w:rPr>
          <w:rFonts w:hint="default" w:ascii="仿宋_GB2312" w:hAnsi="Times New Roman" w:eastAsia="仿宋_GB2312" w:cs="Times New Roman"/>
          <w:kern w:val="0"/>
          <w:sz w:val="32"/>
          <w:szCs w:val="32"/>
          <w:lang w:val="en-US" w:eastAsia="zh-CN"/>
        </w:rPr>
        <w:t>，阴天每</w:t>
      </w:r>
      <w:r>
        <w:rPr>
          <w:rFonts w:hint="eastAsia" w:ascii="仿宋_GB2312" w:hAnsi="Times New Roman" w:eastAsia="仿宋_GB2312" w:cs="Times New Roman"/>
          <w:kern w:val="0"/>
          <w:sz w:val="32"/>
          <w:szCs w:val="32"/>
          <w:lang w:val="en-US" w:eastAsia="zh-CN"/>
        </w:rPr>
        <w:t>间隔40-50秒喷雾5-10秒，雨天不喷雾</w:t>
      </w:r>
      <w:r>
        <w:rPr>
          <w:rFonts w:hint="default" w:ascii="仿宋_GB2312" w:hAnsi="Times New Roman" w:eastAsia="仿宋_GB2312" w:cs="Times New Roman"/>
          <w:kern w:val="0"/>
          <w:sz w:val="32"/>
          <w:szCs w:val="32"/>
          <w:lang w:val="en-US" w:eastAsia="zh-CN"/>
        </w:rPr>
        <w:t>。</w:t>
      </w:r>
      <w:r>
        <w:rPr>
          <w:rFonts w:hint="eastAsia" w:ascii="仿宋_GB2312" w:hAnsi="Times New Roman" w:eastAsia="仿宋_GB2312" w:cs="Times New Roman"/>
          <w:kern w:val="0"/>
          <w:sz w:val="32"/>
          <w:szCs w:val="32"/>
          <w:lang w:val="en-US" w:eastAsia="zh-CN"/>
        </w:rPr>
        <w:t>待生根后逐渐增加喷雾间隔时间</w:t>
      </w:r>
      <w:r>
        <w:rPr>
          <w:rFonts w:hint="default" w:ascii="仿宋_GB2312" w:hAnsi="Times New Roman" w:eastAsia="仿宋_GB2312" w:cs="Times New Roman"/>
          <w:kern w:val="0"/>
          <w:sz w:val="32"/>
          <w:szCs w:val="32"/>
          <w:lang w:val="en-US" w:eastAsia="zh-CN"/>
        </w:rPr>
        <w:t>。</w:t>
      </w:r>
      <w:r>
        <w:rPr>
          <w:rFonts w:hint="eastAsia" w:ascii="仿宋_GB2312" w:hAnsi="Times New Roman" w:eastAsia="仿宋_GB2312" w:cs="Times New Roman"/>
          <w:kern w:val="0"/>
          <w:sz w:val="32"/>
          <w:szCs w:val="32"/>
          <w:lang w:val="en-US" w:eastAsia="zh-CN"/>
        </w:rPr>
        <w:t>注意防治病虫害、清除杂草，约15天左右，根长4-6cm时，每平方米追施N:P2O5:K2O=15:15:15三元素复合肥15-20g。</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default"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壮苗标准：苗龄20-25天，牛至苗健壮，叶色深绿，根多而白，无病虫害，4-6对展开叶片，苗高6-10cm。</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textAlignment w:val="auto"/>
        <w:outlineLvl w:val="0"/>
        <w:rPr>
          <w:rFonts w:hint="eastAsia" w:ascii="黑体" w:hAnsi="黑体" w:eastAsia="黑体" w:cs="Times New Roman"/>
          <w:kern w:val="0"/>
          <w:sz w:val="32"/>
          <w:szCs w:val="32"/>
        </w:rPr>
      </w:pPr>
      <w:r>
        <w:rPr>
          <w:rFonts w:hint="eastAsia" w:ascii="黑体" w:hAnsi="黑体" w:eastAsia="黑体" w:cs="Times New Roman"/>
          <w:kern w:val="0"/>
          <w:sz w:val="32"/>
          <w:szCs w:val="32"/>
        </w:rPr>
        <w:t>采标情况</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无</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textAlignment w:val="auto"/>
        <w:outlineLvl w:val="0"/>
        <w:rPr>
          <w:rFonts w:hint="eastAsia" w:ascii="黑体" w:hAnsi="黑体" w:eastAsia="黑体" w:cs="Times New Roman"/>
          <w:kern w:val="0"/>
          <w:sz w:val="32"/>
          <w:szCs w:val="32"/>
        </w:rPr>
      </w:pPr>
      <w:r>
        <w:rPr>
          <w:rFonts w:hint="eastAsia" w:ascii="黑体" w:hAnsi="黑体" w:eastAsia="黑体" w:cs="Times New Roman"/>
          <w:kern w:val="0"/>
          <w:sz w:val="32"/>
          <w:szCs w:val="32"/>
        </w:rPr>
        <w:t>重大意见分歧的处理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default"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标准制订过程中，无重大意见分歧。</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textAlignment w:val="auto"/>
        <w:outlineLvl w:val="0"/>
        <w:rPr>
          <w:rFonts w:hint="eastAsia" w:ascii="黑体" w:hAnsi="黑体" w:eastAsia="黑体" w:cs="Times New Roman"/>
          <w:kern w:val="0"/>
          <w:sz w:val="32"/>
          <w:szCs w:val="32"/>
        </w:rPr>
      </w:pPr>
      <w:r>
        <w:rPr>
          <w:rFonts w:hint="eastAsia" w:ascii="黑体" w:hAnsi="黑体" w:eastAsia="黑体" w:cs="Times New Roman"/>
          <w:kern w:val="0"/>
          <w:sz w:val="32"/>
          <w:szCs w:val="32"/>
        </w:rPr>
        <w:t>国家法律法规和强制性标准的关系</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本标准符合《中华人民共和国标准化法》、《中华人民共和国标准化法实施条例》、《河南省地方标准管理方法》等国家有关法律法规的规定。现行不存在相似国家标准或行业标准，与国家法律法规系推荐性关系。</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textAlignment w:val="auto"/>
        <w:outlineLvl w:val="0"/>
        <w:rPr>
          <w:rFonts w:hint="eastAsia" w:ascii="黑体" w:hAnsi="黑体" w:eastAsia="黑体" w:cs="Times New Roman"/>
          <w:kern w:val="0"/>
          <w:sz w:val="32"/>
          <w:szCs w:val="32"/>
        </w:rPr>
      </w:pPr>
      <w:r>
        <w:rPr>
          <w:rFonts w:hint="eastAsia" w:ascii="黑体" w:hAnsi="黑体" w:eastAsia="黑体" w:cs="Times New Roman"/>
          <w:kern w:val="0"/>
          <w:sz w:val="32"/>
          <w:szCs w:val="32"/>
        </w:rPr>
        <w:t>标准实施的建议：</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eastAsia"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本标准适用于伏牛山地区及生态相近区域，鉴于本标准实施效益的延后性，需加强宣传贯彻力度，鼓励社会监督执行。标准颁布后，要及时转发至各级农业推广部门和科技户、新型农业经营主体，做好标准的宣传工作，使种植户了解标准，自觉地执行标准。</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textAlignment w:val="auto"/>
        <w:outlineLvl w:val="0"/>
        <w:rPr>
          <w:rFonts w:hint="eastAsia" w:ascii="黑体" w:hAnsi="黑体" w:eastAsia="黑体" w:cs="Times New Roman"/>
          <w:kern w:val="0"/>
          <w:sz w:val="32"/>
          <w:szCs w:val="32"/>
        </w:rPr>
      </w:pPr>
      <w:r>
        <w:rPr>
          <w:rFonts w:hint="eastAsia" w:ascii="黑体" w:hAnsi="黑体" w:eastAsia="黑体" w:cs="Times New Roman"/>
          <w:kern w:val="0"/>
          <w:sz w:val="32"/>
          <w:szCs w:val="32"/>
        </w:rPr>
        <w:t>其他应予说明的事项。</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rPr>
          <w:rFonts w:hint="default"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仿宋_GB2312" w:hAnsi="Times New Roman" w:eastAsia="仿宋_GB2312" w:cs="Times New Roman"/>
          <w:kern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800" w:firstLineChars="1500"/>
        <w:textAlignment w:val="auto"/>
        <w:rPr>
          <w:rFonts w:hint="eastAsia" w:ascii="仿宋_GB2312" w:hAnsi="Times New Roman" w:eastAsia="仿宋_GB2312" w:cs="Times New Roman"/>
          <w:kern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560" w:firstLineChars="800"/>
        <w:textAlignment w:val="auto"/>
        <w:rPr>
          <w:rFonts w:hint="default" w:ascii="仿宋_GB2312" w:hAnsi="Times New Roman" w:eastAsia="仿宋_GB2312" w:cs="Times New Roman"/>
          <w:kern w:val="0"/>
          <w:sz w:val="32"/>
          <w:szCs w:val="32"/>
          <w:highlight w:val="yellow"/>
          <w:lang w:val="en-US" w:eastAsia="zh-CN"/>
        </w:rPr>
      </w:pPr>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2000000000000000000"/>
    <w:charset w:val="86"/>
    <w:family w:val="script"/>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F48619"/>
    <w:multiLevelType w:val="singleLevel"/>
    <w:tmpl w:val="96F48619"/>
    <w:lvl w:ilvl="0" w:tentative="0">
      <w:start w:val="1"/>
      <w:numFmt w:val="decimal"/>
      <w:lvlText w:val="%1."/>
      <w:lvlJc w:val="left"/>
      <w:pPr>
        <w:tabs>
          <w:tab w:val="left" w:pos="312"/>
        </w:tabs>
      </w:pPr>
    </w:lvl>
  </w:abstractNum>
  <w:abstractNum w:abstractNumId="1">
    <w:nsid w:val="BEEA4D15"/>
    <w:multiLevelType w:val="singleLevel"/>
    <w:tmpl w:val="BEEA4D15"/>
    <w:lvl w:ilvl="0" w:tentative="0">
      <w:start w:val="1"/>
      <w:numFmt w:val="chineseCounting"/>
      <w:suff w:val="nothing"/>
      <w:lvlText w:val="%1、"/>
      <w:lvlJc w:val="left"/>
      <w:rPr>
        <w:rFonts w:hint="eastAsia"/>
      </w:rPr>
    </w:lvl>
  </w:abstractNum>
  <w:abstractNum w:abstractNumId="2">
    <w:nsid w:val="1CF3562A"/>
    <w:multiLevelType w:val="multilevel"/>
    <w:tmpl w:val="1CF3562A"/>
    <w:lvl w:ilvl="0" w:tentative="0">
      <w:start w:val="1"/>
      <w:numFmt w:val="decimal"/>
      <w:pStyle w:val="2"/>
      <w:lvlText w:val="%1"/>
      <w:lvlJc w:val="left"/>
      <w:pPr>
        <w:ind w:left="0" w:firstLine="0"/>
      </w:pPr>
      <w:rPr>
        <w:rFonts w:hint="eastAsia"/>
      </w:rPr>
    </w:lvl>
    <w:lvl w:ilvl="1" w:tentative="0">
      <w:start w:val="1"/>
      <w:numFmt w:val="decimal"/>
      <w:pStyle w:val="3"/>
      <w:lvlText w:val="%1.%2"/>
      <w:lvlJc w:val="left"/>
      <w:pPr>
        <w:ind w:left="0" w:firstLine="0"/>
      </w:pPr>
      <w:rPr>
        <w:rFonts w:hint="eastAsia"/>
      </w:rPr>
    </w:lvl>
    <w:lvl w:ilvl="2" w:tentative="0">
      <w:start w:val="1"/>
      <w:numFmt w:val="decimal"/>
      <w:pStyle w:val="4"/>
      <w:lvlText w:val="%1.%2.%3"/>
      <w:lvlJc w:val="left"/>
      <w:pPr>
        <w:ind w:left="0" w:firstLine="0"/>
      </w:pPr>
      <w:rPr>
        <w:rFonts w:hint="eastAsia"/>
      </w:rPr>
    </w:lvl>
    <w:lvl w:ilvl="3" w:tentative="0">
      <w:start w:val="1"/>
      <w:numFmt w:val="decimal"/>
      <w:lvlText w:val="%1.%2.%3.%4"/>
      <w:lvlJc w:val="left"/>
      <w:pPr>
        <w:ind w:left="1418" w:firstLine="0"/>
      </w:pPr>
      <w:rPr>
        <w:rFonts w:hint="eastAsia"/>
      </w:rPr>
    </w:lvl>
    <w:lvl w:ilvl="4" w:tentative="0">
      <w:start w:val="1"/>
      <w:numFmt w:val="decimal"/>
      <w:lvlText w:val="%1.%2.%3.%4.%5."/>
      <w:lvlJc w:val="left"/>
      <w:pPr>
        <w:ind w:left="340" w:hanging="340"/>
      </w:pPr>
      <w:rPr>
        <w:rFonts w:hint="eastAsia"/>
      </w:rPr>
    </w:lvl>
    <w:lvl w:ilvl="5" w:tentative="0">
      <w:start w:val="1"/>
      <w:numFmt w:val="decimal"/>
      <w:lvlText w:val="%1.%2.%3.%4.%5.%6."/>
      <w:lvlJc w:val="left"/>
      <w:pPr>
        <w:ind w:left="340" w:hanging="340"/>
      </w:pPr>
      <w:rPr>
        <w:rFonts w:hint="eastAsia"/>
      </w:rPr>
    </w:lvl>
    <w:lvl w:ilvl="6" w:tentative="0">
      <w:start w:val="1"/>
      <w:numFmt w:val="decimal"/>
      <w:lvlText w:val="%1.%2.%3.%4.%5.%6.%7."/>
      <w:lvlJc w:val="left"/>
      <w:pPr>
        <w:ind w:left="340" w:hanging="340"/>
      </w:pPr>
      <w:rPr>
        <w:rFonts w:hint="eastAsia"/>
      </w:rPr>
    </w:lvl>
    <w:lvl w:ilvl="7" w:tentative="0">
      <w:start w:val="1"/>
      <w:numFmt w:val="decimal"/>
      <w:lvlText w:val="%1.%2.%3.%4.%5.%6.%7.%8."/>
      <w:lvlJc w:val="left"/>
      <w:pPr>
        <w:ind w:left="340" w:hanging="340"/>
      </w:pPr>
      <w:rPr>
        <w:rFonts w:hint="eastAsia"/>
      </w:rPr>
    </w:lvl>
    <w:lvl w:ilvl="8" w:tentative="0">
      <w:start w:val="1"/>
      <w:numFmt w:val="decimal"/>
      <w:lvlText w:val="%1.%2.%3.%4.%5.%6.%7.%8.%9."/>
      <w:lvlJc w:val="left"/>
      <w:pPr>
        <w:ind w:left="340" w:hanging="340"/>
      </w:pPr>
      <w:rPr>
        <w:rFonts w:hint="eastAsia"/>
      </w:rPr>
    </w:lvl>
  </w:abstractNum>
  <w:abstractNum w:abstractNumId="3">
    <w:nsid w:val="4C0FD8CD"/>
    <w:multiLevelType w:val="singleLevel"/>
    <w:tmpl w:val="4C0FD8CD"/>
    <w:lvl w:ilvl="0" w:tentative="0">
      <w:start w:val="1"/>
      <w:numFmt w:val="chineseCounting"/>
      <w:suff w:val="nothing"/>
      <w:lvlText w:val="（%1）"/>
      <w:lvlJc w:val="left"/>
      <w:rPr>
        <w:rFonts w:hint="eastAsia"/>
      </w:rPr>
    </w:lvl>
  </w:abstractNum>
  <w:abstractNum w:abstractNumId="4">
    <w:nsid w:val="7B68AF7C"/>
    <w:multiLevelType w:val="singleLevel"/>
    <w:tmpl w:val="7B68AF7C"/>
    <w:lvl w:ilvl="0" w:tentative="0">
      <w:start w:val="1"/>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1YTg0ZTcwOGI4YTU4ZTFhOGY4OWI5MjE0ZDhhZWIifQ=="/>
  </w:docVars>
  <w:rsids>
    <w:rsidRoot w:val="00B3745C"/>
    <w:rsid w:val="002A1731"/>
    <w:rsid w:val="003703BB"/>
    <w:rsid w:val="00432E55"/>
    <w:rsid w:val="00576017"/>
    <w:rsid w:val="006359D4"/>
    <w:rsid w:val="00656395"/>
    <w:rsid w:val="00695EFE"/>
    <w:rsid w:val="00804817"/>
    <w:rsid w:val="00854C16"/>
    <w:rsid w:val="008830F3"/>
    <w:rsid w:val="008F0D6B"/>
    <w:rsid w:val="00963245"/>
    <w:rsid w:val="00A047EE"/>
    <w:rsid w:val="00A4406C"/>
    <w:rsid w:val="00B3745C"/>
    <w:rsid w:val="00B80116"/>
    <w:rsid w:val="00C34B48"/>
    <w:rsid w:val="00D66022"/>
    <w:rsid w:val="00E0608B"/>
    <w:rsid w:val="00E75B11"/>
    <w:rsid w:val="00EF5A2F"/>
    <w:rsid w:val="29857FDE"/>
    <w:rsid w:val="2D7828F8"/>
    <w:rsid w:val="2EDFA425"/>
    <w:rsid w:val="30FF6E8C"/>
    <w:rsid w:val="3AFB1C7F"/>
    <w:rsid w:val="3FE7027C"/>
    <w:rsid w:val="3FFC24D3"/>
    <w:rsid w:val="3FFFDD8D"/>
    <w:rsid w:val="57D9E204"/>
    <w:rsid w:val="5ABE2605"/>
    <w:rsid w:val="5F9F847C"/>
    <w:rsid w:val="5FF5BBD7"/>
    <w:rsid w:val="6EBDBF85"/>
    <w:rsid w:val="70FFE918"/>
    <w:rsid w:val="74A04797"/>
    <w:rsid w:val="756B2FA5"/>
    <w:rsid w:val="77FF969E"/>
    <w:rsid w:val="7EAD1913"/>
    <w:rsid w:val="A97E06F6"/>
    <w:rsid w:val="CFF180E9"/>
    <w:rsid w:val="E3FBA485"/>
    <w:rsid w:val="EFBBD28C"/>
    <w:rsid w:val="F56F4B0E"/>
    <w:rsid w:val="F57F9BB5"/>
    <w:rsid w:val="FAF6A9A4"/>
    <w:rsid w:val="FFB79F4D"/>
    <w:rsid w:val="FFFD0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numPr>
        <w:ilvl w:val="0"/>
        <w:numId w:val="1"/>
      </w:numPr>
      <w:spacing w:before="340" w:after="330"/>
      <w:ind w:firstLineChars="0"/>
      <w:outlineLvl w:val="0"/>
    </w:pPr>
    <w:rPr>
      <w:b/>
      <w:bCs/>
      <w:kern w:val="44"/>
      <w:sz w:val="24"/>
      <w:szCs w:val="44"/>
    </w:rPr>
  </w:style>
  <w:style w:type="paragraph" w:styleId="3">
    <w:name w:val="heading 2"/>
    <w:basedOn w:val="1"/>
    <w:next w:val="1"/>
    <w:qFormat/>
    <w:uiPriority w:val="9"/>
    <w:pPr>
      <w:keepNext/>
      <w:keepLines/>
      <w:numPr>
        <w:ilvl w:val="1"/>
        <w:numId w:val="1"/>
      </w:numPr>
      <w:spacing w:before="140" w:after="140"/>
      <w:ind w:firstLineChars="0"/>
      <w:outlineLvl w:val="1"/>
    </w:pPr>
    <w:rPr>
      <w:rFonts w:ascii="Cambria" w:hAnsi="Cambria" w:eastAsia="宋体" w:cs="Times New Roman"/>
      <w:b/>
      <w:bCs/>
      <w:sz w:val="24"/>
      <w:szCs w:val="32"/>
    </w:rPr>
  </w:style>
  <w:style w:type="paragraph" w:styleId="4">
    <w:name w:val="heading 3"/>
    <w:basedOn w:val="1"/>
    <w:next w:val="1"/>
    <w:qFormat/>
    <w:uiPriority w:val="9"/>
    <w:pPr>
      <w:keepNext/>
      <w:keepLines/>
      <w:numPr>
        <w:ilvl w:val="2"/>
        <w:numId w:val="1"/>
      </w:numPr>
      <w:spacing w:before="140" w:after="140"/>
      <w:ind w:firstLineChars="0"/>
      <w:outlineLvl w:val="2"/>
    </w:pPr>
    <w:rPr>
      <w:rFonts w:ascii="Times New Roman" w:hAnsi="Times New Roman" w:eastAsia="宋体"/>
      <w:bCs/>
      <w:sz w:val="24"/>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0"/>
    <w:semiHidden/>
    <w:unhideWhenUsed/>
    <w:qFormat/>
    <w:uiPriority w:val="99"/>
    <w:pPr>
      <w:tabs>
        <w:tab w:val="center" w:pos="4153"/>
        <w:tab w:val="right" w:pos="8306"/>
      </w:tabs>
      <w:snapToGrid w:val="0"/>
      <w:jc w:val="left"/>
    </w:pPr>
    <w:rPr>
      <w:sz w:val="18"/>
      <w:szCs w:val="18"/>
    </w:rPr>
  </w:style>
  <w:style w:type="paragraph" w:styleId="6">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semiHidden/>
    <w:qFormat/>
    <w:uiPriority w:val="99"/>
    <w:rPr>
      <w:sz w:val="18"/>
      <w:szCs w:val="18"/>
    </w:rPr>
  </w:style>
  <w:style w:type="character" w:customStyle="1" w:styleId="10">
    <w:name w:val="页脚 Char"/>
    <w:basedOn w:val="8"/>
    <w:link w:val="5"/>
    <w:semiHidden/>
    <w:qFormat/>
    <w:uiPriority w:val="99"/>
    <w:rPr>
      <w:sz w:val="18"/>
      <w:szCs w:val="18"/>
    </w:rPr>
  </w:style>
  <w:style w:type="paragraph" w:customStyle="1" w:styleId="1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3634</Words>
  <Characters>3910</Characters>
  <Lines>12</Lines>
  <Paragraphs>3</Paragraphs>
  <TotalTime>4</TotalTime>
  <ScaleCrop>false</ScaleCrop>
  <LinksUpToDate>false</LinksUpToDate>
  <CharactersWithSpaces>3962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2022-05-24T23:47:00Z</dcterms:created>
  <dc:creator>lenovo</dc:creator>
  <cp:lastModifiedBy>稀饭</cp:lastModifiedBy>
  <dcterms:modified xsi:type="dcterms:W3CDTF">2023-06-30T09:47:37Z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CB282919E87844EEA57420221822F647_13</vt:lpwstr>
  </property>
</Properties>
</file>