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47" w:tblpY="1449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三十三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第三十三条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违反本条例第九条第二款规定的，责令停止违法行为，没收违法使用的零部件，处三万元以上三十万元以下罚款；有违法所得的，没收违法所得。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ascii="Calibri" w:hAnsi="宋体" w:eastAsia="宋体" w:cs="宋体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责令停止违法行为，没收违法使用的零部件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处3万元以上11.1万元以下的罚款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责令停止违法行为，没收违法使用的零部件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处11.1万元以上21.9万元以下的罚款。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责令停止违法行为，没收违法使用的零部件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处21.9万元以上30万元以下的罚款。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tbl>
      <w:tblPr>
        <w:tblpPr w:leftFromText="180" w:rightFromText="180" w:vertAnchor="page" w:horzAnchor="page" w:tblpX="1919" w:tblpY="10685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三十四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第三十四条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违反本条例第十条第四项规定的，责令限期改正；逾期未改正的，处一万元以上十万元以下罚款。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eastAsia" w:ascii="Calibri" w:hAnsi="宋体" w:eastAsia="宋体" w:cs="宋体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处1万元以上3.7万元以下的罚款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en-US"/>
              </w:rPr>
              <w:t>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处3.7万元以上7.3万元以下的罚款。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处7.3万元以上10万元以下的罚款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>
      <w:bookmarkStart w:id="0" w:name="_GoBack"/>
      <w:bookmarkEnd w:id="0"/>
    </w:p>
    <w:p>
      <w:pPr>
        <w:pStyle w:val="2"/>
      </w:pPr>
    </w:p>
    <w:p>
      <w:pPr>
        <w:pStyle w:val="2"/>
      </w:pPr>
    </w:p>
    <w:p/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pPr w:leftFromText="180" w:rightFromText="180" w:vertAnchor="page" w:horzAnchor="page" w:tblpX="1947" w:tblpY="1449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三十五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第三十五条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违反本条例第十二条第一款规定，受委托单位转委托或者变相转委托电梯安装、改造、修理业务的，责令停止违法行为，处一万元以上十万元以下罚款；有违法所得的，没收违法所得。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ascii="Calibri" w:hAnsi="宋体" w:eastAsia="宋体" w:cs="宋体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万元以下罚款；有违法所得的，没收违法所得。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万元以下罚款；有违法所得的，没收违法所得。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责令停止违法行为，处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万元以下罚款；有违法所得的，没收违法所得。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tbl>
      <w:tblPr>
        <w:tblpPr w:leftFromText="180" w:rightFromText="180" w:vertAnchor="page" w:horzAnchor="page" w:tblpX="1933" w:tblpY="10815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三十六第一款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第三十六条第一款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违反本条例第十七条第二项规定的，责令限期改正；逾期未改正的，责令停止使用电梯，处一万元以上十万元以下罚款。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ascii="Calibri" w:hAnsi="宋体" w:eastAsia="宋体" w:cs="宋体"/>
                <w:szCs w:val="24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责令限期改正；逾期未改正的，责令停止使用电梯，处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责令限期改正；逾期未改正的，责令停止使用电梯，处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责令限期改正；逾期未改正的，责令停止使用电梯，处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pPr w:leftFromText="180" w:rightFromText="180" w:vertAnchor="page" w:horzAnchor="page" w:tblpX="1974" w:tblpY="1569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三十六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第二款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第三十六条第二款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违反本条例第十七条第四项规定的，责令限期改正；逾期未改正的，处一千元以上五千元以下罚款。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eastAsia" w:ascii="Calibri" w:hAnsi="宋体" w:eastAsia="宋体" w:cs="宋体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处0.1万元以上0.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en-US"/>
              </w:rPr>
              <w:t>23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万元以下罚款。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处0.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en-US"/>
              </w:rPr>
              <w:t>23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万元以上0.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en-US"/>
              </w:rPr>
              <w:t>36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万元以下罚款。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en-US"/>
              </w:rPr>
              <w:t>0.36万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元以上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en-US"/>
              </w:rPr>
              <w:t>0.5万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bidi="en-US"/>
              </w:rPr>
              <w:t>元以下罚款。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>
      <w:pPr>
        <w:pStyle w:val="2"/>
        <w:ind w:left="0" w:leftChars="0" w:firstLine="0" w:firstLineChars="0"/>
      </w:pPr>
    </w:p>
    <w:tbl>
      <w:tblPr>
        <w:tblpPr w:leftFromText="180" w:rightFromText="180" w:vertAnchor="page" w:horzAnchor="page" w:tblpX="1919" w:tblpY="10685"/>
        <w:tblOverlap w:val="never"/>
        <w:tblW w:w="13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628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第一款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30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第三十七条第一款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违反本条例第二十二条规定的，按照下列规定予以处罚：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违反第一项规定的，责令限期改正，处五千元以上二万元以下罚款；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62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62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eastAsia" w:ascii="Calibri" w:hAnsi="宋体" w:eastAsia="宋体" w:cs="宋体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责令限期改正；逾期未改正的，处以5000元以上9500元以下的罚款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en-US"/>
              </w:rPr>
              <w:t>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责令限期改正；逾期未改正的，处以9500元以上1.55万元以下的罚款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628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责令限期改正；逾期未改正的，处以1.55万元以上2万元以下的罚款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306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pPr w:leftFromText="180" w:rightFromText="180" w:vertAnchor="page" w:horzAnchor="page" w:tblpX="1892" w:tblpY="1642"/>
        <w:tblOverlap w:val="never"/>
        <w:tblW w:w="13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532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第三款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第三十七条第三款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违反本条例第二十二条规定的，按照下列规定予以处罚：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违反第五项、第六项规定的，处二千元以上二万元以下罚款；有违法所得的，没收违法所得；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53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eastAsia" w:ascii="Calibri" w:hAnsi="宋体" w:eastAsia="宋体" w:cs="宋体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处以2000元以上7400元以下的罚款。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处以7400元以上1.46万元以下的罚款。</w:t>
            </w:r>
          </w:p>
        </w:tc>
        <w:tc>
          <w:tcPr>
            <w:tcW w:w="3532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处以1.46万元以上2万元以下的罚款。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10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tbl>
      <w:tblPr>
        <w:tblpPr w:leftFromText="180" w:rightFromText="180" w:vertAnchor="page" w:horzAnchor="page" w:tblpX="1851" w:tblpY="10696"/>
        <w:tblOverlap w:val="never"/>
        <w:tblW w:w="13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601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三十七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第四款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27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第三十七条第四款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违反本条例第二十二条规定的，按照下列规定予以处罚：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违反第七项规定的，责令限期改正；逾期未改正的，处一万元以上三万元以下罚款。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6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60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both"/>
              <w:rPr>
                <w:rFonts w:hint="eastAsia" w:ascii="Calibri" w:hAnsi="宋体" w:eastAsia="宋体" w:cs="宋体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责令限期改正；逾期未改正的，处1万元以上1</w:t>
            </w:r>
            <w:r>
              <w:rPr>
                <w:rFonts w:ascii="宋体" w:hAnsi="宋体" w:eastAsia="宋体" w:cs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万元以下罚款。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责令限期改正；逾期未改正的，处1</w:t>
            </w:r>
            <w:r>
              <w:rPr>
                <w:rFonts w:ascii="宋体" w:hAnsi="宋体" w:eastAsia="宋体" w:cs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万元以上2.4万元以下罚款。</w:t>
            </w:r>
          </w:p>
        </w:tc>
        <w:tc>
          <w:tcPr>
            <w:tcW w:w="3601" w:type="dxa"/>
            <w:vAlign w:val="center"/>
          </w:tcPr>
          <w:p>
            <w:pPr>
              <w:spacing w:after="0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责令限期改正；逾期未改正的，处2.4万元以上3万元以下罚款。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279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/>
    <w:p/>
    <w:p/>
    <w:p/>
    <w:p/>
    <w:tbl>
      <w:tblPr>
        <w:tblpPr w:leftFromText="180" w:rightFromText="180" w:vertAnchor="page" w:horzAnchor="page" w:tblpX="1974" w:tblpY="1576"/>
        <w:tblOverlap w:val="never"/>
        <w:tblW w:w="13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84"/>
        <w:gridCol w:w="3839"/>
        <w:gridCol w:w="3839"/>
        <w:gridCol w:w="3628"/>
      </w:tblGrid>
      <w:tr>
        <w:trPr>
          <w:cantSplit/>
          <w:trHeight w:val="56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en-US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2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afterLines="50" w:line="60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依据《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南阳市电梯安全管理条例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》第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三十八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条实施的行政处罚</w:t>
            </w:r>
          </w:p>
        </w:tc>
      </w:tr>
      <w:tr>
        <w:trPr>
          <w:cantSplit/>
          <w:trHeight w:val="1661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处罚依据</w:t>
            </w:r>
          </w:p>
        </w:tc>
        <w:tc>
          <w:tcPr>
            <w:tcW w:w="1130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600" w:lineRule="exact"/>
              <w:ind w:firstLine="420" w:firstLineChars="200"/>
              <w:textAlignment w:val="auto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第三十八条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违反本条例第二十五条规定，未按照规定时限到达现场实施救援的，处一万元以上十万元以下罚款。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裁量等级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从轻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一般</w:t>
            </w:r>
          </w:p>
        </w:tc>
        <w:tc>
          <w:tcPr>
            <w:tcW w:w="362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从重</w:t>
            </w:r>
          </w:p>
        </w:tc>
      </w:tr>
      <w:tr>
        <w:trPr>
          <w:cantSplit/>
          <w:trHeight w:val="90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 w:bidi="en-US"/>
              </w:rPr>
              <w:t>违法情形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具有《通则》规定的从轻处罚情形。</w:t>
            </w:r>
          </w:p>
        </w:tc>
        <w:tc>
          <w:tcPr>
            <w:tcW w:w="38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不具有从轻、从重处罚情形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  <w:tc>
          <w:tcPr>
            <w:tcW w:w="362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en-US"/>
              </w:rPr>
              <w:t>具有《通则》规定的从重处罚情形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。</w:t>
            </w:r>
          </w:p>
        </w:tc>
      </w:tr>
      <w:tr>
        <w:trPr>
          <w:cantSplit/>
          <w:trHeight w:val="3085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en-US" w:bidi="en-US"/>
              </w:rPr>
              <w:t>裁量基准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eastAsia" w:ascii="Calibri" w:hAnsi="宋体" w:eastAsia="宋体" w:cs="宋体"/>
                <w:szCs w:val="24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处1万元以上3.7万元以下的罚款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 w:bidi="en-US"/>
              </w:rPr>
              <w:t>。</w:t>
            </w:r>
          </w:p>
        </w:tc>
        <w:tc>
          <w:tcPr>
            <w:tcW w:w="3839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处3.7万元以上7.3万元以下的罚款。</w:t>
            </w:r>
          </w:p>
        </w:tc>
        <w:tc>
          <w:tcPr>
            <w:tcW w:w="3628" w:type="dxa"/>
            <w:vAlign w:val="center"/>
          </w:tcPr>
          <w:p>
            <w:pPr>
              <w:spacing w:after="0"/>
              <w:jc w:val="center"/>
              <w:rPr>
                <w:rFonts w:hint="default" w:ascii="Calibri" w:hAnsi="宋体" w:eastAsia="宋体" w:cs="宋体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处7.3万元以上10万元以下的罚款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1177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bidi="en-US"/>
              </w:rPr>
            </w:pP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en-US"/>
              </w:rPr>
              <w:t>备注</w:t>
            </w:r>
          </w:p>
        </w:tc>
        <w:tc>
          <w:tcPr>
            <w:tcW w:w="11306" w:type="dxa"/>
            <w:gridSpan w:val="3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1"/>
                <w:szCs w:val="21"/>
                <w:lang w:bidi="en-US"/>
              </w:rPr>
            </w:pPr>
          </w:p>
        </w:tc>
      </w:tr>
    </w:tbl>
    <w:p/>
    <w:p>
      <w:pPr>
        <w:jc w:val="left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注：通则指河南省市场监督管理行政处罚裁量权适用通则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w w:val="88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2397</Words>
  <Characters>2494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2023-07-17T03:16:00Z</dcterms:created>
  <dc:creator>WPS_1511160839</dc:creator>
  <cp:lastModifiedBy>Administrator</cp:lastModifiedBy>
  <dcterms:modified xsi:type="dcterms:W3CDTF">2023-07-18T00:32:10Z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694B0213FA084A3DA6D28F487641B6B3_11</vt:lpwstr>
  </property>
</Properties>
</file>