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4113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南阳市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4113/T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rPr>
          <w:rFonts w:hint="default" w:eastAsia="黑体"/>
          <w:lang w:val="en-US" w:eastAsia="zh-CN"/>
        </w:rPr>
      </w:pPr>
      <w:r>
        <w:rPr>
          <w:rFonts w:hint="eastAsia"/>
          <w:lang w:val="en-US" w:eastAsia="zh-CN"/>
        </w:rPr>
        <w:t>南阳市重大活动气象服务规范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fldChar w:fldCharType="separate"/>
      </w:r>
      <w:r>
        <w:rPr>
          <w:rFonts w:hint="eastAsia" w:hAnsi="黑体"/>
          <w:w w:val="100"/>
          <w:sz w:val="28"/>
        </w:rPr>
        <w:t>南阳市市场监督管理局</w:t>
      </w:r>
      <w:r>
        <w:rPr>
          <w:rFonts w:hAnsi="黑体"/>
          <w:w w:val="100"/>
          <w:sz w:val="28"/>
        </w:rPr>
        <w:fldChar w:fldCharType="end"/>
      </w:r>
      <w:bookmarkEnd w:id="15"/>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pPr>
      <w:bookmarkStart w:id="16"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本文件由××××提出。</w:t>
      </w:r>
    </w:p>
    <w:p>
      <w:pPr>
        <w:pStyle w:val="56"/>
        <w:ind w:firstLine="420"/>
        <w:rPr>
          <w:rFonts w:hint="eastAsia"/>
        </w:rPr>
      </w:pPr>
      <w:r>
        <w:rPr>
          <w:rFonts w:hint="eastAsia"/>
        </w:rPr>
        <w:t>本文件由××××归口。</w:t>
      </w:r>
    </w:p>
    <w:p>
      <w:pPr>
        <w:pStyle w:val="56"/>
        <w:ind w:firstLine="420"/>
        <w:rPr>
          <w:rFonts w:hint="default" w:eastAsia="宋体"/>
          <w:lang w:val="en-US" w:eastAsia="zh-CN"/>
        </w:rPr>
      </w:pPr>
      <w:r>
        <w:rPr>
          <w:rFonts w:hint="eastAsia"/>
        </w:rPr>
        <w:t>本文件起草单位：</w:t>
      </w:r>
      <w:r>
        <w:rPr>
          <w:rFonts w:hint="eastAsia"/>
          <w:lang w:val="en-US" w:eastAsia="zh-CN"/>
        </w:rPr>
        <w:t>南阳市气象局</w:t>
      </w:r>
    </w:p>
    <w:p>
      <w:pPr>
        <w:pStyle w:val="56"/>
        <w:ind w:firstLine="420"/>
        <w:rPr>
          <w:rFonts w:hint="eastAsia" w:eastAsia="宋体"/>
          <w:lang w:val="en-US" w:eastAsia="zh-CN"/>
        </w:rPr>
      </w:pPr>
      <w:r>
        <w:rPr>
          <w:rFonts w:hint="eastAsia"/>
        </w:rPr>
        <w:t>本文件主要起草人：</w:t>
      </w:r>
      <w:r>
        <w:rPr>
          <w:rFonts w:hint="eastAsia"/>
          <w:lang w:val="en-US" w:eastAsia="zh-CN"/>
        </w:rPr>
        <w:t>周鑫</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16"/>
    <w:p>
      <w:pPr>
        <w:spacing w:line="20" w:lineRule="exact"/>
        <w:jc w:val="center"/>
        <w:rPr>
          <w:rFonts w:ascii="黑体" w:hAnsi="黑体" w:eastAsia="黑体"/>
          <w:sz w:val="32"/>
          <w:szCs w:val="32"/>
        </w:rPr>
      </w:pPr>
      <w:bookmarkStart w:id="17" w:name="BookMark4"/>
    </w:p>
    <w:p>
      <w:pPr>
        <w:spacing w:line="20" w:lineRule="exact"/>
        <w:jc w:val="center"/>
        <w:rPr>
          <w:rFonts w:ascii="黑体" w:hAnsi="黑体" w:eastAsia="黑体"/>
          <w:sz w:val="32"/>
          <w:szCs w:val="32"/>
        </w:rPr>
      </w:pPr>
    </w:p>
    <w:sdt>
      <w:sdtPr>
        <w:tag w:val="NEW_STAND_NAME"/>
        <w:id w:val="595910757"/>
        <w:lock w:val="sdtLocked"/>
        <w:placeholder>
          <w:docPart w:val="48207E99AF564D79AD432858DCE58CFE"/>
        </w:placeholder>
      </w:sdtPr>
      <w:sdtContent>
        <w:p>
          <w:pPr>
            <w:pStyle w:val="177"/>
            <w:spacing w:before="312" w:beforeLines="100" w:after="686" w:afterLines="220"/>
          </w:pPr>
          <w:bookmarkStart w:id="18" w:name="NEW_STAND_NAME"/>
          <w:r>
            <w:rPr>
              <w:rFonts w:hint="eastAsia"/>
              <w:lang w:val="en-US" w:eastAsia="zh-CN"/>
            </w:rPr>
            <w:t>南阳市重大活动气象服务规范</w:t>
          </w:r>
        </w:p>
      </w:sdtContent>
    </w:sdt>
    <w:bookmarkEnd w:id="18"/>
    <w:p>
      <w:pPr>
        <w:pStyle w:val="104"/>
        <w:spacing w:before="312" w:after="312"/>
      </w:pPr>
      <w:bookmarkStart w:id="19" w:name="_Toc17233333"/>
      <w:bookmarkStart w:id="20" w:name="_Toc24884211"/>
      <w:bookmarkStart w:id="21" w:name="_Toc97191423"/>
      <w:bookmarkStart w:id="22" w:name="_Toc17233325"/>
      <w:bookmarkStart w:id="23" w:name="_Toc26718930"/>
      <w:bookmarkStart w:id="24" w:name="_Toc26986530"/>
      <w:bookmarkStart w:id="25" w:name="_Toc24884218"/>
      <w:bookmarkStart w:id="26" w:name="_Toc26648465"/>
      <w:bookmarkStart w:id="27" w:name="_Toc26986771"/>
      <w:r>
        <w:rPr>
          <w:rFonts w:hint="eastAsia"/>
        </w:rPr>
        <w:t>范围</w:t>
      </w:r>
      <w:bookmarkEnd w:id="19"/>
      <w:bookmarkEnd w:id="20"/>
      <w:bookmarkEnd w:id="21"/>
      <w:bookmarkEnd w:id="22"/>
      <w:bookmarkEnd w:id="23"/>
      <w:bookmarkEnd w:id="24"/>
      <w:bookmarkEnd w:id="25"/>
      <w:bookmarkEnd w:id="26"/>
      <w:bookmarkEnd w:id="27"/>
    </w:p>
    <w:p>
      <w:pPr>
        <w:pStyle w:val="56"/>
        <w:ind w:firstLine="420"/>
        <w:rPr/>
      </w:pPr>
      <w:bookmarkStart w:id="28" w:name="_Toc6891"/>
      <w:bookmarkStart w:id="29" w:name="_Toc12733"/>
      <w:bookmarkStart w:id="30" w:name="_Toc41465532"/>
      <w:bookmarkStart w:id="31" w:name="_Toc24884212"/>
      <w:bookmarkStart w:id="32" w:name="_Toc24884219"/>
      <w:bookmarkStart w:id="33" w:name="_Toc17233326"/>
      <w:bookmarkStart w:id="34" w:name="_Toc17233334"/>
      <w:bookmarkStart w:id="35" w:name="_Toc26648466"/>
      <w:r>
        <w:t>本</w:t>
      </w:r>
      <w:r>
        <w:rPr>
          <w:rFonts w:hint="eastAsia"/>
        </w:rPr>
        <w:t>文件</w:t>
      </w:r>
      <w:r>
        <w:t>规定了</w:t>
      </w:r>
      <w:r>
        <w:rPr>
          <w:rFonts w:hint="eastAsia"/>
        </w:rPr>
        <w:t>重大</w:t>
      </w:r>
      <w:r>
        <w:t>活动</w:t>
      </w:r>
      <w:r>
        <w:rPr>
          <w:rFonts w:hint="eastAsia"/>
        </w:rPr>
        <w:t>气象服务的相关术语和定义、组织机构、前期筹备阶段、运行保障流程、评价总结等阶段工作内容及具体流程</w:t>
      </w:r>
      <w:r>
        <w:t>。</w:t>
      </w:r>
      <w:bookmarkEnd w:id="28"/>
      <w:bookmarkEnd w:id="29"/>
      <w:bookmarkEnd w:id="30"/>
    </w:p>
    <w:p>
      <w:pPr>
        <w:pStyle w:val="56"/>
        <w:ind w:firstLine="420"/>
        <w:rPr/>
      </w:pPr>
      <w:r>
        <w:rPr>
          <w:rFonts w:hint="eastAsia"/>
        </w:rPr>
        <w:t>本文件</w:t>
      </w:r>
      <w:r>
        <w:t>适用于</w:t>
      </w:r>
      <w:r>
        <w:rPr>
          <w:rFonts w:hint="eastAsia"/>
        </w:rPr>
        <w:t>南阳市行政区域内重大活动气象保障工作的组织实施。</w:t>
      </w:r>
    </w:p>
    <w:p>
      <w:pPr>
        <w:pStyle w:val="56"/>
        <w:ind w:firstLine="420"/>
      </w:pPr>
    </w:p>
    <w:p>
      <w:pPr>
        <w:pStyle w:val="104"/>
        <w:spacing w:before="312" w:after="312"/>
      </w:pPr>
      <w:bookmarkStart w:id="36" w:name="_Toc26986531"/>
      <w:bookmarkStart w:id="37" w:name="_Toc97191424"/>
      <w:bookmarkStart w:id="38" w:name="_Toc26718931"/>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8D02658FCB1244B591B5A83527E30F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27961—2011《气象服务分类术语》</w:t>
      </w:r>
    </w:p>
    <w:p>
      <w:pPr>
        <w:pStyle w:val="56"/>
        <w:ind w:firstLine="420"/>
      </w:pPr>
      <w:r>
        <w:rPr>
          <w:rFonts w:hint="eastAsia"/>
        </w:rPr>
        <w:t>QX/T 274—2015《大型活动气象服务指南 工作流程》</w:t>
      </w:r>
    </w:p>
    <w:p>
      <w:pPr>
        <w:pStyle w:val="56"/>
        <w:ind w:firstLine="420"/>
      </w:pPr>
      <w:r>
        <w:rPr>
          <w:rFonts w:hint="eastAsia"/>
        </w:rPr>
        <w:t>QX/T 439—2015《大型活动气象服务指南 气象灾害风险承受与控制能力评估》</w:t>
      </w:r>
    </w:p>
    <w:p>
      <w:pPr>
        <w:pStyle w:val="56"/>
        <w:ind w:firstLine="420"/>
      </w:pPr>
      <w:r>
        <w:rPr>
          <w:rFonts w:hint="eastAsia"/>
        </w:rPr>
        <w:t>DB45/ T2153-2020《大型活动气象服务规范》</w:t>
      </w:r>
    </w:p>
    <w:p>
      <w:pPr>
        <w:pStyle w:val="56"/>
        <w:ind w:firstLine="420"/>
      </w:pPr>
    </w:p>
    <w:p>
      <w:pPr>
        <w:pStyle w:val="104"/>
        <w:spacing w:before="312" w:after="312"/>
      </w:pPr>
      <w:bookmarkStart w:id="40" w:name="_Toc97191425"/>
      <w:r>
        <w:rPr>
          <w:rFonts w:hint="eastAsia"/>
          <w:szCs w:val="21"/>
        </w:rPr>
        <w:t>术语和定义</w:t>
      </w:r>
      <w:bookmarkEnd w:id="40"/>
    </w:p>
    <w:sdt>
      <w:sdtPr>
        <w:id w:val="-1909835108"/>
        <w:placeholder>
          <w:docPart w:val="6E8A5678FB2D44C884636A50CF2780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1" w:name="_Toc26986532"/>
          <w:bookmarkEnd w:id="41"/>
          <w:r>
            <w:rPr>
              <w:rFonts w:ascii="宋体" w:hAnsi="Times New Roman" w:eastAsia="宋体" w:cs="Times New Roman"/>
              <w:sz w:val="21"/>
              <w:lang w:val="en-US" w:eastAsia="zh-CN" w:bidi="ar-SA"/>
            </w:rPr>
            <w:t>下列术语和定义适用于本文件。</w:t>
          </w:r>
        </w:p>
      </w:sdtContent>
    </w:sdt>
    <w:p>
      <w:pPr>
        <w:pStyle w:val="56"/>
        <w:ind w:firstLine="420"/>
      </w:pPr>
    </w:p>
    <w:p>
      <w:pPr>
        <w:pStyle w:val="230"/>
      </w:pPr>
      <w:r>
        <w:rPr>
          <w:rFonts w:hint="eastAsia"/>
        </w:rPr>
        <w:t>下列术语和定义适用于本文件。</w:t>
      </w:r>
    </w:p>
    <w:p>
      <w:pPr>
        <w:pStyle w:val="231"/>
        <w:bidi w:val="0"/>
        <w:ind w:left="0" w:leftChars="0" w:firstLine="0" w:firstLineChars="0"/>
      </w:pPr>
      <w:bookmarkStart w:id="42" w:name="_Toc120149465"/>
      <w:r>
        <w:rPr>
          <w:rFonts w:hint="eastAsia"/>
        </w:rPr>
        <w:t>重大活动</w:t>
      </w:r>
      <w:bookmarkEnd w:id="42"/>
    </w:p>
    <w:p>
      <w:pPr>
        <w:pStyle w:val="56"/>
        <w:ind w:firstLine="420"/>
      </w:pPr>
      <w:r>
        <w:rPr>
          <w:rFonts w:hint="eastAsia"/>
        </w:rPr>
        <w:t>各级人民政府举办或承办的具有一定社会影响的政治、经济、体育、文化等活动，具有牵涉范围广、人员密集度高、周期长等特点。</w:t>
      </w:r>
    </w:p>
    <w:p>
      <w:pPr>
        <w:pStyle w:val="231"/>
        <w:bidi w:val="0"/>
        <w:ind w:left="0" w:leftChars="0" w:firstLine="0" w:firstLineChars="0"/>
      </w:pPr>
      <w:bookmarkStart w:id="43" w:name="_Toc120149466"/>
      <w:r>
        <w:rPr>
          <w:rFonts w:hint="eastAsia"/>
        </w:rPr>
        <w:t>伴随式气象预报预警服务</w:t>
      </w:r>
      <w:bookmarkEnd w:id="43"/>
    </w:p>
    <w:p>
      <w:pPr>
        <w:pStyle w:val="56"/>
        <w:ind w:firstLine="420"/>
      </w:pPr>
      <w:r>
        <w:rPr>
          <w:rFonts w:hint="eastAsia"/>
        </w:rPr>
        <w:t>全流程跟踪用户需求，滚动提供无缝隙气象预报、预警和实况服务。</w:t>
      </w:r>
    </w:p>
    <w:p>
      <w:pPr>
        <w:pStyle w:val="231"/>
        <w:bidi w:val="0"/>
        <w:ind w:left="0" w:leftChars="0" w:firstLine="0" w:firstLineChars="0"/>
        <w:rPr>
          <w:rFonts w:hint="eastAsia"/>
        </w:rPr>
      </w:pPr>
      <w:bookmarkStart w:id="44" w:name="_Toc120149467"/>
      <w:r>
        <w:rPr>
          <w:rFonts w:hint="eastAsia"/>
        </w:rPr>
        <w:t>短时天气预报</w:t>
      </w:r>
      <w:bookmarkEnd w:id="44"/>
      <w:r>
        <w:rPr>
          <w:rFonts w:hint="eastAsia"/>
        </w:rPr>
        <w:t xml:space="preserve"> </w:t>
      </w:r>
    </w:p>
    <w:p>
      <w:pPr>
        <w:pStyle w:val="230"/>
      </w:pPr>
      <w:r>
        <w:rPr>
          <w:rFonts w:hint="eastAsia"/>
        </w:rPr>
        <w:t>某一区</w:t>
      </w:r>
      <w:r>
        <w:rPr>
          <w:rFonts w:hint="eastAsia"/>
          <w:szCs w:val="22"/>
        </w:rPr>
        <w:t>域未来12h内天气变化的预先估</w:t>
      </w:r>
      <w:r>
        <w:rPr>
          <w:rFonts w:hint="eastAsia"/>
        </w:rPr>
        <w:t>计和预告。</w:t>
      </w:r>
    </w:p>
    <w:p>
      <w:pPr>
        <w:pStyle w:val="231"/>
        <w:bidi w:val="0"/>
        <w:ind w:left="0" w:leftChars="0" w:firstLine="0" w:firstLineChars="0"/>
        <w:rPr>
          <w:rFonts w:hint="eastAsia"/>
        </w:rPr>
      </w:pPr>
      <w:bookmarkStart w:id="45" w:name="_Toc120149468"/>
      <w:bookmarkStart w:id="46" w:name="_Toc29795"/>
      <w:bookmarkStart w:id="47" w:name="_Toc14067"/>
      <w:bookmarkStart w:id="48" w:name="_Toc39753450"/>
      <w:bookmarkStart w:id="49" w:name="_Toc41465542"/>
      <w:r>
        <w:rPr>
          <w:rFonts w:hint="eastAsia"/>
        </w:rPr>
        <w:t>短期天气预报</w:t>
      </w:r>
      <w:bookmarkEnd w:id="45"/>
      <w:bookmarkEnd w:id="46"/>
      <w:bookmarkEnd w:id="47"/>
      <w:bookmarkEnd w:id="48"/>
      <w:bookmarkEnd w:id="49"/>
    </w:p>
    <w:p>
      <w:pPr>
        <w:pStyle w:val="230"/>
        <w:rPr>
          <w:rFonts w:hint="eastAsia"/>
        </w:rPr>
      </w:pPr>
      <w:r>
        <w:rPr>
          <w:rFonts w:hint="eastAsia"/>
        </w:rPr>
        <w:t>某一区域或地</w:t>
      </w:r>
      <w:r>
        <w:rPr>
          <w:rFonts w:hint="eastAsia"/>
          <w:szCs w:val="22"/>
        </w:rPr>
        <w:t>点未来72h内天气变化的预先估计</w:t>
      </w:r>
      <w:r>
        <w:rPr>
          <w:rFonts w:hint="eastAsia"/>
        </w:rPr>
        <w:t>和预告。</w:t>
      </w:r>
    </w:p>
    <w:p>
      <w:pPr>
        <w:pStyle w:val="230"/>
        <w:ind w:firstLine="360"/>
        <w:rPr>
          <w:rFonts w:hint="eastAsia" w:hAnsi="宋体" w:cs="宋体"/>
          <w:sz w:val="18"/>
          <w:szCs w:val="18"/>
        </w:rPr>
      </w:pPr>
      <w:r>
        <w:rPr>
          <w:rFonts w:hint="eastAsia" w:hAnsi="宋体" w:cs="宋体"/>
          <w:sz w:val="18"/>
          <w:szCs w:val="18"/>
        </w:rPr>
        <w:t>[GB/T 21984—2017，定义2.1]</w:t>
      </w:r>
    </w:p>
    <w:p>
      <w:pPr>
        <w:pStyle w:val="231"/>
        <w:bidi w:val="0"/>
        <w:ind w:left="0" w:leftChars="0" w:firstLine="0" w:firstLineChars="0"/>
        <w:rPr>
          <w:rFonts w:hint="eastAsia"/>
        </w:rPr>
      </w:pPr>
      <w:bookmarkStart w:id="50" w:name="_Toc120149469"/>
      <w:r>
        <w:rPr>
          <w:rFonts w:hint="eastAsia"/>
        </w:rPr>
        <w:t>中期天气预报</w:t>
      </w:r>
      <w:bookmarkEnd w:id="50"/>
    </w:p>
    <w:p>
      <w:pPr>
        <w:pStyle w:val="230"/>
        <w:rPr>
          <w:rFonts w:hint="eastAsia"/>
        </w:rPr>
      </w:pPr>
      <w:r>
        <w:rPr>
          <w:rFonts w:hint="eastAsia"/>
        </w:rPr>
        <w:t>某一区域未来</w:t>
      </w:r>
      <w:r>
        <w:rPr>
          <w:rFonts w:hint="eastAsia"/>
          <w:szCs w:val="22"/>
        </w:rPr>
        <w:t>72h以上，240h内天气变化的预先估计和</w:t>
      </w:r>
      <w:r>
        <w:rPr>
          <w:rFonts w:hint="eastAsia"/>
        </w:rPr>
        <w:t>预告。</w:t>
      </w:r>
    </w:p>
    <w:p>
      <w:pPr>
        <w:pStyle w:val="230"/>
        <w:ind w:firstLine="360"/>
        <w:rPr>
          <w:rFonts w:hint="eastAsia" w:hAnsi="宋体" w:cs="宋体"/>
          <w:sz w:val="18"/>
          <w:szCs w:val="18"/>
        </w:rPr>
      </w:pPr>
      <w:r>
        <w:rPr>
          <w:rFonts w:hint="eastAsia" w:hAnsi="宋体" w:cs="宋体"/>
          <w:sz w:val="18"/>
          <w:szCs w:val="18"/>
        </w:rPr>
        <w:t>[GB/T 27956-2011，定义3.1]</w:t>
      </w:r>
    </w:p>
    <w:p>
      <w:pPr>
        <w:pStyle w:val="231"/>
        <w:bidi w:val="0"/>
        <w:ind w:left="0" w:leftChars="0" w:firstLine="0" w:firstLineChars="0"/>
        <w:rPr>
          <w:rFonts w:hint="eastAsia"/>
        </w:rPr>
      </w:pPr>
      <w:bookmarkStart w:id="51" w:name="_Toc120149470"/>
      <w:r>
        <w:rPr>
          <w:rFonts w:hint="eastAsia"/>
        </w:rPr>
        <w:t>关键时间节点</w:t>
      </w:r>
      <w:bookmarkEnd w:id="51"/>
    </w:p>
    <w:p>
      <w:pPr>
        <w:pStyle w:val="230"/>
        <w:rPr>
          <w:rFonts w:hint="eastAsia"/>
        </w:rPr>
      </w:pPr>
      <w:r>
        <w:rPr>
          <w:rFonts w:hint="eastAsia"/>
        </w:rPr>
        <w:t>重大活动开（闭）幕式或整个活动流程中重要活动举办的时间节点。</w:t>
      </w:r>
    </w:p>
    <w:p>
      <w:pPr>
        <w:pStyle w:val="232"/>
        <w:bidi w:val="0"/>
        <w:ind w:left="0" w:leftChars="0" w:firstLine="0" w:firstLineChars="0"/>
        <w:rPr>
          <w:rFonts w:hint="eastAsia"/>
        </w:rPr>
      </w:pPr>
      <w:bookmarkStart w:id="52" w:name="_Toc120149471"/>
      <w:r>
        <w:rPr>
          <w:rFonts w:hint="eastAsia"/>
        </w:rPr>
        <w:t>组织机构</w:t>
      </w:r>
      <w:bookmarkEnd w:id="52"/>
    </w:p>
    <w:p>
      <w:pPr>
        <w:pStyle w:val="231"/>
        <w:bidi w:val="0"/>
        <w:ind w:left="0" w:leftChars="0" w:firstLine="0" w:firstLineChars="0"/>
      </w:pPr>
      <w:bookmarkStart w:id="53" w:name="_Toc120149472"/>
      <w:r>
        <w:rPr>
          <w:rFonts w:hint="eastAsia"/>
        </w:rPr>
        <w:t>管理机构</w:t>
      </w:r>
      <w:bookmarkEnd w:id="53"/>
    </w:p>
    <w:p>
      <w:pPr>
        <w:pStyle w:val="230"/>
        <w:rPr>
          <w:rFonts w:hint="eastAsia"/>
          <w:szCs w:val="22"/>
        </w:rPr>
      </w:pPr>
      <w:r>
        <w:rPr>
          <w:rFonts w:hint="eastAsia"/>
        </w:rPr>
        <w:t>接到重大活动气象保障任务后，应建立气象保障临时性管理机构，负责整个气象服务的决策指挥、运行管理、技术保障、后勤服务等工作，建立与活动主办方的沟通协调机制和方式。</w:t>
      </w:r>
    </w:p>
    <w:p>
      <w:pPr>
        <w:pStyle w:val="231"/>
        <w:bidi w:val="0"/>
        <w:ind w:left="0" w:leftChars="0" w:firstLine="0" w:firstLineChars="0"/>
      </w:pPr>
      <w:bookmarkStart w:id="54" w:name="_Toc120149473"/>
      <w:r>
        <w:rPr>
          <w:rFonts w:hint="eastAsia"/>
        </w:rPr>
        <w:t>服务团队</w:t>
      </w:r>
      <w:bookmarkEnd w:id="54"/>
    </w:p>
    <w:p>
      <w:pPr>
        <w:pStyle w:val="230"/>
        <w:rPr>
          <w:rFonts w:hint="eastAsia"/>
          <w:szCs w:val="22"/>
        </w:rPr>
      </w:pPr>
      <w:r>
        <w:rPr>
          <w:rFonts w:hint="eastAsia"/>
        </w:rPr>
        <w:t>建立由观测、预报预警、人影作业、后勤保障、新闻宣传等部门业务骨干组成的专业服务团队。负责承担重大活动气象服务监测、预报预警服务、人工影响天气、新闻宣传等具体任务，并参与各种气象服务方案和应急预案的编制。必要时可向上级气象部门申请人员支持，</w:t>
      </w:r>
      <w:r>
        <w:t>落实工作任务和岗位职责</w:t>
      </w:r>
      <w:r>
        <w:rPr>
          <w:rFonts w:hint="eastAsia"/>
        </w:rPr>
        <w:t>，可提前开</w:t>
      </w:r>
      <w:r>
        <w:t>展专项培训</w:t>
      </w:r>
      <w:r>
        <w:rPr>
          <w:rFonts w:hint="eastAsia"/>
        </w:rPr>
        <w:t>。</w:t>
      </w:r>
    </w:p>
    <w:p>
      <w:pPr>
        <w:pStyle w:val="232"/>
        <w:bidi w:val="0"/>
        <w:ind w:left="0" w:leftChars="0" w:firstLine="0" w:firstLineChars="0"/>
        <w:rPr>
          <w:rFonts w:hint="eastAsia"/>
        </w:rPr>
      </w:pPr>
      <w:bookmarkStart w:id="55" w:name="_Toc120149474"/>
      <w:r>
        <w:rPr>
          <w:rFonts w:hint="eastAsia"/>
        </w:rPr>
        <w:t>前期筹备阶段</w:t>
      </w:r>
      <w:bookmarkEnd w:id="55"/>
    </w:p>
    <w:p>
      <w:pPr>
        <w:pStyle w:val="231"/>
        <w:bidi w:val="0"/>
        <w:ind w:left="0" w:leftChars="0" w:firstLine="0" w:firstLineChars="0"/>
      </w:pPr>
      <w:bookmarkStart w:id="56" w:name="_Toc120149475"/>
      <w:r>
        <w:t>需求</w:t>
      </w:r>
      <w:r>
        <w:rPr>
          <w:rFonts w:hint="eastAsia"/>
        </w:rPr>
        <w:t>调查</w:t>
      </w:r>
      <w:bookmarkEnd w:id="56"/>
    </w:p>
    <w:p>
      <w:pPr>
        <w:pStyle w:val="230"/>
        <w:rPr>
          <w:rFonts w:hint="eastAsia"/>
          <w:szCs w:val="22"/>
        </w:rPr>
      </w:pPr>
      <w:r>
        <w:rPr>
          <w:rFonts w:hint="eastAsia"/>
          <w:szCs w:val="22"/>
        </w:rPr>
        <w:t>通过会议讨论、实地考察、电话咨询、网络调查、大数据分析、文献查阅、相似活动调研等形式了解重大活动概况，包括规模和内容、举办地点、交通路线、关键时间节点、活动项目特征、对气象要素的敏感性、个性化需求等方面，确定气象服务的流程、侧重点和方式。可向其他开展过类似保障活动的气象部门了解气象服务组织管理经验、观测网布局、系统平台建设、预报服务经验、人工消减雨技术等。</w:t>
      </w:r>
    </w:p>
    <w:p>
      <w:pPr>
        <w:pStyle w:val="231"/>
        <w:bidi w:val="0"/>
        <w:ind w:left="0" w:leftChars="0" w:firstLine="0" w:firstLineChars="0"/>
      </w:pPr>
      <w:bookmarkStart w:id="57" w:name="_Toc4990"/>
      <w:bookmarkStart w:id="58" w:name="_Toc120149476"/>
      <w:bookmarkStart w:id="59" w:name="_Toc9660"/>
      <w:bookmarkStart w:id="60" w:name="_Toc18786"/>
      <w:r>
        <w:rPr>
          <w:rFonts w:hint="eastAsia"/>
        </w:rPr>
        <w:t>气候背景及气象灾害风险分析</w:t>
      </w:r>
      <w:bookmarkEnd w:id="57"/>
      <w:bookmarkEnd w:id="58"/>
      <w:bookmarkEnd w:id="59"/>
      <w:bookmarkEnd w:id="60"/>
    </w:p>
    <w:p>
      <w:pPr>
        <w:pStyle w:val="230"/>
        <w:rPr>
          <w:rFonts w:hint="eastAsia"/>
          <w:szCs w:val="22"/>
        </w:rPr>
      </w:pPr>
      <w:bookmarkStart w:id="61" w:name="_Toc10446725"/>
      <w:bookmarkStart w:id="62" w:name="_Toc12962151"/>
      <w:bookmarkStart w:id="63" w:name="_Toc12008704"/>
      <w:bookmarkStart w:id="64" w:name="_Toc10448475"/>
      <w:bookmarkStart w:id="65" w:name="_Toc10449012"/>
      <w:r>
        <w:rPr>
          <w:rFonts w:hint="eastAsia"/>
          <w:szCs w:val="22"/>
        </w:rPr>
        <w:t>根据需求调查，分析活动举办地及周边相关区域在活动开展期间或关键时间节点的气象要素常年同期（1991-2020年）特征，历史极端天气气候事件，分析对活动可能产生的影响，形成气象条件分析报告，内容包括气温、降水、日照、湿度、风、能见度等与活动密切相关的气象要素的特征</w:t>
      </w:r>
      <w:bookmarkEnd w:id="61"/>
      <w:bookmarkEnd w:id="62"/>
      <w:bookmarkEnd w:id="63"/>
      <w:bookmarkEnd w:id="64"/>
      <w:bookmarkEnd w:id="65"/>
      <w:r>
        <w:rPr>
          <w:rFonts w:hint="eastAsia"/>
          <w:szCs w:val="22"/>
        </w:rPr>
        <w:t>。</w:t>
      </w:r>
    </w:p>
    <w:p>
      <w:pPr>
        <w:pStyle w:val="231"/>
        <w:bidi w:val="0"/>
        <w:ind w:left="0" w:leftChars="0" w:firstLine="0" w:firstLineChars="0"/>
      </w:pPr>
      <w:bookmarkStart w:id="66" w:name="_Toc120149477"/>
      <w:bookmarkStart w:id="67" w:name="_Toc15594"/>
      <w:bookmarkStart w:id="68" w:name="_Toc14807"/>
      <w:r>
        <w:rPr>
          <w:rFonts w:hint="eastAsia"/>
        </w:rPr>
        <w:t>气象灾害风险评估</w:t>
      </w:r>
      <w:bookmarkEnd w:id="66"/>
      <w:bookmarkEnd w:id="67"/>
      <w:bookmarkEnd w:id="68"/>
    </w:p>
    <w:p>
      <w:pPr>
        <w:pStyle w:val="230"/>
        <w:rPr>
          <w:rFonts w:hint="eastAsia"/>
          <w:szCs w:val="22"/>
        </w:rPr>
      </w:pPr>
      <w:r>
        <w:rPr>
          <w:rFonts w:hint="eastAsia"/>
          <w:szCs w:val="22"/>
        </w:rPr>
        <w:t>对于气象灾害敏感度较高的活动，在上述分析的基础上，开展气象灾害风险承受与控制能力评估，重点分析已识别的气象灾害风险源、其时空分布特征及强度、出现的可能性、影响等，形成气象灾害风险评估报告，提出风险控制措施和防范工作建议等，重点关注近10年该区域的气候变化特征。</w:t>
      </w:r>
    </w:p>
    <w:p>
      <w:pPr>
        <w:pStyle w:val="231"/>
        <w:bidi w:val="0"/>
        <w:ind w:left="0" w:leftChars="0" w:firstLine="0" w:firstLineChars="0"/>
      </w:pPr>
      <w:bookmarkStart w:id="69" w:name="_Toc120149478"/>
      <w:r>
        <w:rPr>
          <w:rFonts w:hint="eastAsia"/>
        </w:rPr>
        <w:t>气象保障服务方案编制</w:t>
      </w:r>
      <w:bookmarkEnd w:id="69"/>
    </w:p>
    <w:p>
      <w:pPr>
        <w:pStyle w:val="230"/>
        <w:rPr>
          <w:rFonts w:hint="eastAsia"/>
          <w:szCs w:val="22"/>
        </w:rPr>
      </w:pPr>
      <w:r>
        <w:rPr>
          <w:rFonts w:hint="eastAsia"/>
          <w:szCs w:val="22"/>
        </w:rPr>
        <w:t>根据活动主办方的需求和日程安排，结合气候背景分析报告与气象灾害风险评估报告，制定气象保障服务方案，报备活动主办方，内容包括服务目标、组织机构及职责、服务内容、服务方式及保障措施等。在筹备及测试演练（运行）过程中可修订完善该方案并及时向会务组报告。</w:t>
      </w:r>
    </w:p>
    <w:p>
      <w:pPr>
        <w:pStyle w:val="230"/>
        <w:rPr>
          <w:rFonts w:hint="eastAsia"/>
          <w:szCs w:val="22"/>
        </w:rPr>
      </w:pPr>
      <w:r>
        <w:rPr>
          <w:rFonts w:hint="eastAsia"/>
          <w:szCs w:val="22"/>
        </w:rPr>
        <w:t>根据环境保护、安全保卫、应急处置等特殊需求，制定人工影响天气作业、空气质量改善气象服务等专项方案。</w:t>
      </w:r>
      <w:r>
        <w:rPr>
          <w:szCs w:val="22"/>
        </w:rPr>
        <w:t>专项方案是对保障服务方案的补充和细化。</w:t>
      </w:r>
    </w:p>
    <w:p>
      <w:pPr>
        <w:pStyle w:val="231"/>
        <w:bidi w:val="0"/>
        <w:ind w:left="0" w:leftChars="0" w:firstLine="0" w:firstLineChars="0"/>
      </w:pPr>
      <w:bookmarkStart w:id="70" w:name="_Toc120149479"/>
      <w:r>
        <w:rPr>
          <w:rFonts w:hint="eastAsia"/>
        </w:rPr>
        <w:t>科技攻关与业务能力建设</w:t>
      </w:r>
      <w:bookmarkEnd w:id="70"/>
    </w:p>
    <w:p>
      <w:pPr>
        <w:pStyle w:val="230"/>
        <w:rPr>
          <w:rFonts w:hint="eastAsia"/>
          <w:szCs w:val="22"/>
        </w:rPr>
      </w:pPr>
      <w:r>
        <w:rPr>
          <w:rFonts w:hint="eastAsia"/>
          <w:szCs w:val="22"/>
        </w:rPr>
        <w:t>针对重大活动气象服务需求，分析实际业务能力与服务需求之间的差距，凝练关键科学技术问题和难题，组织科技攻关，增设气象监测设施，优化升级网络设备，开发业务系统，提升气象监测、预报、预警、服务能力。</w:t>
      </w:r>
    </w:p>
    <w:p>
      <w:pPr>
        <w:pStyle w:val="231"/>
        <w:bidi w:val="0"/>
        <w:ind w:left="0" w:leftChars="0" w:firstLine="0" w:firstLineChars="0"/>
      </w:pPr>
      <w:bookmarkStart w:id="71" w:name="_Toc29229"/>
      <w:bookmarkStart w:id="72" w:name="_Toc120149480"/>
      <w:bookmarkStart w:id="73" w:name="_Toc2346"/>
      <w:bookmarkStart w:id="74" w:name="_Toc32240"/>
      <w:r>
        <w:rPr>
          <w:rFonts w:hint="eastAsia"/>
        </w:rPr>
        <w:t>测试演练</w:t>
      </w:r>
      <w:bookmarkEnd w:id="71"/>
      <w:bookmarkEnd w:id="72"/>
      <w:bookmarkEnd w:id="73"/>
      <w:bookmarkEnd w:id="74"/>
    </w:p>
    <w:p>
      <w:pPr>
        <w:pStyle w:val="230"/>
        <w:rPr>
          <w:rFonts w:hint="eastAsia"/>
          <w:szCs w:val="22"/>
        </w:rPr>
      </w:pPr>
      <w:r>
        <w:rPr>
          <w:rFonts w:hint="eastAsia"/>
          <w:szCs w:val="22"/>
        </w:rPr>
        <w:t>结合重大活动演练、彩排开展多种形式的测试演练。演练内容主要包括内部工作流程、对外服务接口和应急保障措施等。主要</w:t>
      </w:r>
      <w:r>
        <w:rPr>
          <w:szCs w:val="22"/>
        </w:rPr>
        <w:t>对系统建设、人员能力等进行检验，重点针对突发高影响天气的现场保障、设备或网络故障的处理应对、业务系统的安全稳定运行、</w:t>
      </w:r>
      <w:r>
        <w:rPr>
          <w:rFonts w:hint="eastAsia"/>
          <w:szCs w:val="22"/>
        </w:rPr>
        <w:t>人影装备检测和安全检查等。根据测试演练情况对服务方案进行调整完善。</w:t>
      </w:r>
    </w:p>
    <w:p>
      <w:pPr>
        <w:pStyle w:val="232"/>
        <w:bidi w:val="0"/>
        <w:ind w:left="0" w:leftChars="0" w:firstLine="0" w:firstLineChars="0"/>
      </w:pPr>
      <w:bookmarkStart w:id="75" w:name="_Toc120149481"/>
      <w:r>
        <w:rPr>
          <w:rFonts w:hint="eastAsia"/>
        </w:rPr>
        <w:t>运行保障阶段</w:t>
      </w:r>
      <w:bookmarkEnd w:id="75"/>
    </w:p>
    <w:p>
      <w:pPr>
        <w:pStyle w:val="231"/>
        <w:bidi w:val="0"/>
        <w:ind w:left="0" w:leftChars="0" w:firstLine="0" w:firstLineChars="0"/>
      </w:pPr>
      <w:bookmarkStart w:id="76" w:name="_Toc120149482"/>
      <w:bookmarkStart w:id="77" w:name="_Toc25900"/>
      <w:r>
        <w:rPr>
          <w:rFonts w:hint="eastAsia"/>
        </w:rPr>
        <w:t>加密气象观测</w:t>
      </w:r>
      <w:bookmarkEnd w:id="76"/>
      <w:bookmarkEnd w:id="77"/>
    </w:p>
    <w:p>
      <w:pPr>
        <w:pStyle w:val="230"/>
        <w:rPr>
          <w:rFonts w:hint="eastAsia"/>
          <w:szCs w:val="22"/>
        </w:rPr>
      </w:pPr>
      <w:r>
        <w:rPr>
          <w:rFonts w:hint="eastAsia"/>
          <w:szCs w:val="22"/>
        </w:rPr>
        <w:t>根据气象保障服务方案，适时增加气象观测的内容和频次。气象观测的内容包括天气雷达、探空雷达、地面自动站、移动观测设备、风云卫星产品等。</w:t>
      </w:r>
    </w:p>
    <w:p>
      <w:pPr>
        <w:pStyle w:val="231"/>
        <w:bidi w:val="0"/>
        <w:ind w:left="0" w:leftChars="0" w:firstLine="0" w:firstLineChars="0"/>
      </w:pPr>
      <w:bookmarkStart w:id="78" w:name="_Toc120149483"/>
      <w:bookmarkStart w:id="79" w:name="_Toc10427"/>
      <w:r>
        <w:rPr>
          <w:rFonts w:hint="eastAsia"/>
        </w:rPr>
        <w:t>加强</w:t>
      </w:r>
      <w:r>
        <w:t>天气会商</w:t>
      </w:r>
      <w:bookmarkEnd w:id="78"/>
      <w:bookmarkEnd w:id="79"/>
    </w:p>
    <w:p>
      <w:pPr>
        <w:pStyle w:val="230"/>
        <w:rPr>
          <w:rFonts w:hint="eastAsia"/>
          <w:szCs w:val="22"/>
        </w:rPr>
      </w:pPr>
      <w:r>
        <w:rPr>
          <w:rFonts w:hint="eastAsia"/>
          <w:szCs w:val="22"/>
        </w:rPr>
        <w:t>在常规天气会商中增加重大活动服务内容，并根据需要适时组织与上级或周边地区气象台站开展专项天气会商。会商内容包括气候预测、延伸期、中期、短期、短时临近等，</w:t>
      </w:r>
      <w:r>
        <w:rPr>
          <w:szCs w:val="22"/>
        </w:rPr>
        <w:t>重点关注活动关键时间节点及活动期间高影响天气过程的开始和结束时间、强度、影响范围、可能影响等。</w:t>
      </w:r>
    </w:p>
    <w:p>
      <w:pPr>
        <w:pStyle w:val="231"/>
        <w:bidi w:val="0"/>
        <w:ind w:left="0" w:leftChars="0" w:firstLine="0" w:firstLineChars="0"/>
        <w:rPr>
          <w:rFonts w:hint="eastAsia"/>
        </w:rPr>
      </w:pPr>
      <w:bookmarkStart w:id="80" w:name="_Toc120149484"/>
      <w:r>
        <w:rPr>
          <w:rFonts w:hint="eastAsia"/>
        </w:rPr>
        <w:t>制作重大活动精细化专题服务材料</w:t>
      </w:r>
      <w:bookmarkEnd w:id="80"/>
    </w:p>
    <w:p>
      <w:pPr>
        <w:pStyle w:val="230"/>
        <w:rPr>
          <w:rFonts w:hint="eastAsia"/>
          <w:szCs w:val="22"/>
        </w:rPr>
      </w:pPr>
      <w:r>
        <w:rPr>
          <w:rFonts w:hint="eastAsia"/>
        </w:rPr>
        <w:t>在日常预报预警业务的基础上，精细化开展活动举办地的短期、短时、临近天气预报，以及环境气象预报和高影响天气预报预警，根据需求可提供伴随式气象预报预警服务。精细化专题服务材料预报</w:t>
      </w:r>
      <w:r>
        <w:rPr>
          <w:rFonts w:hint="eastAsia"/>
          <w:szCs w:val="22"/>
        </w:rPr>
        <w:t>内容及标准参考表1,高影响天气气象风险等级划分标准及建议参考表2。</w:t>
      </w:r>
    </w:p>
    <w:p>
      <w:pPr>
        <w:pStyle w:val="230"/>
        <w:rPr>
          <w:rFonts w:hint="eastAsia"/>
          <w:szCs w:val="22"/>
        </w:rPr>
      </w:pPr>
    </w:p>
    <w:p>
      <w:pPr>
        <w:pStyle w:val="230"/>
        <w:jc w:val="center"/>
        <w:rPr>
          <w:rFonts w:hint="eastAsia" w:ascii="黑体" w:hAnsi="黑体" w:eastAsia="黑体"/>
          <w:szCs w:val="22"/>
        </w:rPr>
      </w:pPr>
      <w:r>
        <w:rPr>
          <w:rFonts w:hint="eastAsia" w:ascii="黑体" w:hAnsi="黑体" w:eastAsia="黑体"/>
          <w:szCs w:val="22"/>
        </w:rPr>
        <w:t>表1  气象服务信息参考内容</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黑体" w:hAnsi="宋体" w:eastAsia="黑体"/>
                <w:bCs/>
                <w:color w:val="000000"/>
                <w:sz w:val="22"/>
                <w:szCs w:val="28"/>
              </w:rPr>
            </w:pPr>
            <w:r>
              <w:rPr>
                <w:rFonts w:hint="eastAsia" w:ascii="黑体" w:hAnsi="宋体" w:eastAsia="黑体"/>
                <w:bCs/>
                <w:color w:val="000000"/>
                <w:sz w:val="22"/>
                <w:szCs w:val="28"/>
              </w:rPr>
              <w:t>种  类</w:t>
            </w:r>
          </w:p>
        </w:tc>
        <w:tc>
          <w:tcPr>
            <w:tcW w:w="6996" w:type="dxa"/>
            <w:noWrap w:val="0"/>
            <w:vAlign w:val="top"/>
          </w:tcPr>
          <w:p>
            <w:pPr>
              <w:spacing w:line="400" w:lineRule="exact"/>
              <w:jc w:val="center"/>
              <w:rPr>
                <w:rFonts w:hint="eastAsia" w:ascii="黑体" w:hAnsi="宋体" w:eastAsia="黑体"/>
                <w:bCs/>
                <w:color w:val="000000"/>
                <w:sz w:val="22"/>
                <w:szCs w:val="28"/>
              </w:rPr>
            </w:pPr>
            <w:r>
              <w:rPr>
                <w:rFonts w:hint="eastAsia" w:ascii="黑体" w:hAnsi="宋体" w:eastAsia="黑体"/>
                <w:bCs/>
                <w:color w:val="000000"/>
                <w:sz w:val="22"/>
                <w:szCs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宋体" w:hAnsi="宋体"/>
                <w:bCs/>
                <w:color w:val="000000"/>
                <w:szCs w:val="21"/>
              </w:rPr>
            </w:pPr>
            <w:r>
              <w:rPr>
                <w:rFonts w:hint="eastAsia" w:ascii="宋体" w:hAnsi="宋体"/>
                <w:bCs/>
                <w:color w:val="000000"/>
                <w:szCs w:val="21"/>
              </w:rPr>
              <w:t>天气综述</w:t>
            </w:r>
          </w:p>
        </w:tc>
        <w:tc>
          <w:tcPr>
            <w:tcW w:w="6996" w:type="dxa"/>
            <w:noWrap w:val="0"/>
            <w:vAlign w:val="top"/>
          </w:tcPr>
          <w:p>
            <w:pPr>
              <w:spacing w:line="400" w:lineRule="exact"/>
              <w:rPr>
                <w:rFonts w:hint="eastAsia" w:ascii="宋体" w:hAnsi="宋体"/>
                <w:bCs/>
                <w:color w:val="000000"/>
                <w:szCs w:val="21"/>
              </w:rPr>
            </w:pPr>
            <w:r>
              <w:rPr>
                <w:rFonts w:hint="eastAsia" w:ascii="宋体" w:hAnsi="宋体"/>
                <w:bCs/>
                <w:color w:val="000000"/>
                <w:szCs w:val="21"/>
              </w:rPr>
              <w:t>天气趋势分析，随着预报时效临近，分析天气过程主要影响时段、范围和强度，预估高影响天气及次生灾害可能对活动的影响。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宋体" w:hAnsi="宋体"/>
                <w:bCs/>
                <w:color w:val="000000"/>
                <w:szCs w:val="21"/>
              </w:rPr>
            </w:pPr>
            <w:r>
              <w:rPr>
                <w:rFonts w:hint="eastAsia" w:ascii="宋体" w:hAnsi="宋体"/>
                <w:bCs/>
                <w:color w:val="000000"/>
                <w:szCs w:val="21"/>
              </w:rPr>
              <w:t>精细化</w:t>
            </w:r>
          </w:p>
          <w:p>
            <w:pPr>
              <w:spacing w:line="400" w:lineRule="exact"/>
              <w:jc w:val="center"/>
              <w:rPr>
                <w:rFonts w:hint="eastAsia" w:ascii="宋体" w:hAnsi="宋体"/>
                <w:bCs/>
                <w:color w:val="000000"/>
                <w:szCs w:val="21"/>
              </w:rPr>
            </w:pPr>
            <w:r>
              <w:rPr>
                <w:rFonts w:hint="eastAsia" w:ascii="宋体" w:hAnsi="宋体"/>
                <w:bCs/>
                <w:color w:val="000000"/>
                <w:szCs w:val="21"/>
              </w:rPr>
              <w:t>要素预报</w:t>
            </w:r>
          </w:p>
        </w:tc>
        <w:tc>
          <w:tcPr>
            <w:tcW w:w="6996" w:type="dxa"/>
            <w:noWrap w:val="0"/>
            <w:vAlign w:val="top"/>
          </w:tcPr>
          <w:p>
            <w:pPr>
              <w:spacing w:line="400" w:lineRule="exact"/>
              <w:rPr>
                <w:rFonts w:hint="eastAsia" w:ascii="宋体" w:hAnsi="宋体"/>
                <w:bCs/>
                <w:color w:val="000000"/>
                <w:szCs w:val="21"/>
              </w:rPr>
            </w:pPr>
            <w:r>
              <w:rPr>
                <w:rFonts w:hint="eastAsia" w:ascii="宋体" w:hAnsi="宋体"/>
                <w:bCs/>
                <w:color w:val="000000"/>
                <w:szCs w:val="21"/>
              </w:rPr>
              <w:t>根据服务需求，提供活动举办地点的精细化要素预报，时间分辨率：未来1</w:t>
            </w:r>
            <w:r>
              <w:rPr>
                <w:rFonts w:ascii="宋体" w:hAnsi="宋体"/>
                <w:bCs/>
                <w:color w:val="000000"/>
                <w:szCs w:val="21"/>
              </w:rPr>
              <w:t>0</w:t>
            </w:r>
            <w:r>
              <w:rPr>
                <w:rFonts w:hint="eastAsia" w:ascii="宋体" w:hAnsi="宋体"/>
                <w:bCs/>
                <w:color w:val="000000"/>
                <w:szCs w:val="21"/>
              </w:rPr>
              <w:t>天逐2</w:t>
            </w:r>
            <w:r>
              <w:rPr>
                <w:rFonts w:ascii="宋体" w:hAnsi="宋体"/>
                <w:bCs/>
                <w:color w:val="000000"/>
                <w:szCs w:val="21"/>
              </w:rPr>
              <w:t>4</w:t>
            </w:r>
            <w:r>
              <w:rPr>
                <w:rFonts w:hint="eastAsia" w:ascii="宋体" w:hAnsi="宋体"/>
                <w:bCs/>
                <w:color w:val="000000"/>
                <w:szCs w:val="21"/>
              </w:rPr>
              <w:t>小时、未来7天逐1</w:t>
            </w:r>
            <w:r>
              <w:rPr>
                <w:rFonts w:ascii="宋体" w:hAnsi="宋体"/>
                <w:bCs/>
                <w:color w:val="000000"/>
                <w:szCs w:val="21"/>
              </w:rPr>
              <w:t>2</w:t>
            </w:r>
            <w:r>
              <w:rPr>
                <w:rFonts w:hint="eastAsia" w:ascii="宋体" w:hAnsi="宋体"/>
                <w:bCs/>
                <w:color w:val="000000"/>
                <w:szCs w:val="21"/>
              </w:rPr>
              <w:t>小时、未来3天逐6小时、未来2</w:t>
            </w:r>
            <w:r>
              <w:rPr>
                <w:rFonts w:ascii="宋体" w:hAnsi="宋体"/>
                <w:bCs/>
                <w:color w:val="000000"/>
                <w:szCs w:val="21"/>
              </w:rPr>
              <w:t>4</w:t>
            </w:r>
            <w:r>
              <w:rPr>
                <w:rFonts w:hint="eastAsia" w:ascii="宋体" w:hAnsi="宋体"/>
                <w:bCs/>
                <w:color w:val="000000"/>
                <w:szCs w:val="21"/>
              </w:rPr>
              <w:t>小时逐3小时、未来1</w:t>
            </w:r>
            <w:r>
              <w:rPr>
                <w:rFonts w:ascii="宋体" w:hAnsi="宋体"/>
                <w:bCs/>
                <w:color w:val="000000"/>
                <w:szCs w:val="21"/>
              </w:rPr>
              <w:t>2</w:t>
            </w:r>
            <w:r>
              <w:rPr>
                <w:rFonts w:hint="eastAsia" w:ascii="宋体" w:hAnsi="宋体"/>
                <w:bCs/>
                <w:color w:val="000000"/>
                <w:szCs w:val="21"/>
              </w:rPr>
              <w:t>小时内逐小时。常规要素包括：天气现象、最高气温、最低气温，风向风速，可选要素包括：能见度、相对湿度、总云量等。表现形式为表格、图片及文字描述。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宋体" w:hAnsi="宋体"/>
                <w:bCs/>
                <w:color w:val="000000"/>
                <w:szCs w:val="21"/>
              </w:rPr>
            </w:pPr>
            <w:r>
              <w:rPr>
                <w:rFonts w:hint="eastAsia" w:ascii="宋体" w:hAnsi="宋体"/>
                <w:bCs/>
                <w:color w:val="000000"/>
                <w:szCs w:val="21"/>
              </w:rPr>
              <w:t>天气实况</w:t>
            </w:r>
          </w:p>
        </w:tc>
        <w:tc>
          <w:tcPr>
            <w:tcW w:w="6996" w:type="dxa"/>
            <w:noWrap w:val="0"/>
            <w:vAlign w:val="top"/>
          </w:tcPr>
          <w:p>
            <w:pPr>
              <w:spacing w:line="400" w:lineRule="exact"/>
              <w:rPr>
                <w:rFonts w:hint="eastAsia" w:ascii="宋体" w:hAnsi="宋体"/>
                <w:bCs/>
                <w:color w:val="000000"/>
                <w:szCs w:val="21"/>
              </w:rPr>
            </w:pPr>
            <w:r>
              <w:rPr>
                <w:rFonts w:hint="eastAsia" w:ascii="宋体" w:hAnsi="宋体"/>
                <w:bCs/>
                <w:color w:val="000000"/>
                <w:szCs w:val="21"/>
              </w:rPr>
              <w:t>重大活动节点的温度、相对湿度、风向、风速、气压、降水量等。</w:t>
            </w:r>
          </w:p>
          <w:p>
            <w:pPr>
              <w:spacing w:line="400" w:lineRule="exact"/>
              <w:rPr>
                <w:rFonts w:hint="eastAsia" w:ascii="宋体" w:hAnsi="宋体"/>
                <w:bCs/>
                <w:color w:val="000000"/>
                <w:szCs w:val="21"/>
              </w:rPr>
            </w:pPr>
            <w:r>
              <w:rPr>
                <w:rFonts w:hint="eastAsia" w:ascii="宋体" w:hAnsi="宋体"/>
                <w:bCs/>
                <w:color w:val="000000"/>
                <w:szCs w:val="21"/>
              </w:rPr>
              <w:t>必要时增加云量、能见度等。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宋体" w:hAnsi="宋体"/>
                <w:bCs/>
                <w:color w:val="000000"/>
                <w:szCs w:val="21"/>
              </w:rPr>
            </w:pPr>
            <w:r>
              <w:rPr>
                <w:rFonts w:hint="eastAsia" w:ascii="宋体" w:hAnsi="宋体"/>
                <w:bCs/>
                <w:color w:val="000000"/>
                <w:szCs w:val="21"/>
              </w:rPr>
              <w:t>提示信息</w:t>
            </w:r>
          </w:p>
        </w:tc>
        <w:tc>
          <w:tcPr>
            <w:tcW w:w="6996" w:type="dxa"/>
            <w:noWrap w:val="0"/>
            <w:vAlign w:val="top"/>
          </w:tcPr>
          <w:p>
            <w:pPr>
              <w:spacing w:line="400" w:lineRule="exact"/>
              <w:rPr>
                <w:rFonts w:hint="eastAsia" w:ascii="宋体" w:hAnsi="宋体"/>
                <w:bCs/>
                <w:color w:val="000000"/>
                <w:szCs w:val="21"/>
              </w:rPr>
            </w:pPr>
            <w:r>
              <w:rPr>
                <w:rFonts w:hint="eastAsia" w:ascii="宋体" w:hAnsi="宋体"/>
                <w:bCs/>
                <w:color w:val="000000"/>
                <w:szCs w:val="21"/>
              </w:rPr>
              <w:t>根据需求提供穿衣指数、紫外线强度、体感温度、舒适度、空气质量气象条件等级及其他高影响天气预报。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top"/>
          </w:tcPr>
          <w:p>
            <w:pPr>
              <w:spacing w:line="400" w:lineRule="exact"/>
              <w:jc w:val="center"/>
              <w:rPr>
                <w:rFonts w:hint="eastAsia" w:ascii="宋体" w:hAnsi="宋体"/>
                <w:bCs/>
                <w:color w:val="000000"/>
                <w:szCs w:val="21"/>
              </w:rPr>
            </w:pPr>
            <w:r>
              <w:rPr>
                <w:rFonts w:hint="eastAsia" w:ascii="宋体" w:hAnsi="宋体"/>
                <w:bCs/>
                <w:color w:val="000000"/>
                <w:szCs w:val="21"/>
              </w:rPr>
              <w:t>服务提示</w:t>
            </w:r>
          </w:p>
        </w:tc>
        <w:tc>
          <w:tcPr>
            <w:tcW w:w="6996" w:type="dxa"/>
            <w:noWrap w:val="0"/>
            <w:vAlign w:val="top"/>
          </w:tcPr>
          <w:p>
            <w:pPr>
              <w:spacing w:line="400" w:lineRule="exact"/>
              <w:rPr>
                <w:rFonts w:hint="eastAsia" w:ascii="宋体" w:hAnsi="宋体"/>
                <w:bCs/>
                <w:color w:val="000000"/>
                <w:szCs w:val="21"/>
              </w:rPr>
            </w:pPr>
            <w:r>
              <w:rPr>
                <w:rFonts w:hint="eastAsia" w:ascii="宋体" w:hAnsi="宋体"/>
                <w:bCs/>
                <w:color w:val="000000"/>
                <w:szCs w:val="21"/>
              </w:rPr>
              <w:t>针对天气和活动特点建议服务对象采取的应对措施</w:t>
            </w:r>
          </w:p>
        </w:tc>
      </w:tr>
    </w:tbl>
    <w:p>
      <w:pPr>
        <w:pStyle w:val="230"/>
        <w:ind w:firstLine="0" w:firstLineChars="0"/>
        <w:rPr>
          <w:rFonts w:hint="eastAsia"/>
        </w:rPr>
      </w:pPr>
    </w:p>
    <w:p>
      <w:pPr>
        <w:pStyle w:val="230"/>
        <w:jc w:val="center"/>
        <w:rPr>
          <w:rFonts w:hint="eastAsia" w:ascii="黑体" w:hAnsi="黑体" w:eastAsia="黑体"/>
          <w:szCs w:val="22"/>
        </w:rPr>
      </w:pPr>
      <w:r>
        <w:rPr>
          <w:rFonts w:hint="eastAsia" w:ascii="黑体" w:hAnsi="黑体" w:eastAsia="黑体"/>
          <w:szCs w:val="22"/>
        </w:rPr>
        <w:t>表2  高影响天气气象风险等级划分标准</w:t>
      </w:r>
    </w:p>
    <w:tbl>
      <w:tblPr>
        <w:tblStyle w:val="26"/>
        <w:tblW w:w="85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79"/>
        <w:gridCol w:w="6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noWrap w:val="0"/>
            <w:vAlign w:val="top"/>
          </w:tcPr>
          <w:p>
            <w:pPr>
              <w:spacing w:line="400" w:lineRule="exact"/>
              <w:jc w:val="center"/>
              <w:rPr>
                <w:rFonts w:hint="eastAsia" w:ascii="黑体" w:hAnsi="宋体" w:eastAsia="黑体"/>
                <w:bCs/>
                <w:color w:val="000000"/>
                <w:sz w:val="22"/>
                <w:szCs w:val="28"/>
              </w:rPr>
            </w:pPr>
            <w:r>
              <w:rPr>
                <w:rFonts w:hint="eastAsia" w:ascii="黑体" w:hAnsi="宋体" w:eastAsia="黑体"/>
                <w:bCs/>
                <w:color w:val="000000"/>
                <w:sz w:val="22"/>
                <w:szCs w:val="28"/>
              </w:rPr>
              <w:t>风险等级</w:t>
            </w:r>
          </w:p>
        </w:tc>
        <w:tc>
          <w:tcPr>
            <w:tcW w:w="6180" w:type="dxa"/>
            <w:noWrap w:val="0"/>
            <w:vAlign w:val="top"/>
          </w:tcPr>
          <w:p>
            <w:pPr>
              <w:spacing w:line="400" w:lineRule="exact"/>
              <w:jc w:val="center"/>
              <w:rPr>
                <w:rFonts w:hint="eastAsia" w:ascii="黑体" w:hAnsi="宋体" w:eastAsia="黑体"/>
                <w:bCs/>
                <w:color w:val="000000"/>
                <w:sz w:val="22"/>
                <w:szCs w:val="28"/>
              </w:rPr>
            </w:pPr>
            <w:r>
              <w:rPr>
                <w:rFonts w:hint="eastAsia" w:ascii="黑体" w:hAnsi="宋体" w:eastAsia="黑体"/>
                <w:bCs/>
                <w:color w:val="000000"/>
                <w:sz w:val="22"/>
                <w:szCs w:val="28"/>
              </w:rPr>
              <w:t>高影响天气对重大活动的影响程度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noWrap w:val="0"/>
            <w:vAlign w:val="center"/>
          </w:tcPr>
          <w:p>
            <w:pPr>
              <w:jc w:val="center"/>
              <w:rPr>
                <w:rFonts w:ascii="宋体" w:hAnsi="宋体"/>
                <w:color w:val="000000"/>
                <w:szCs w:val="21"/>
              </w:rPr>
            </w:pPr>
            <w:r>
              <w:rPr>
                <w:rFonts w:hint="eastAsia" w:ascii="宋体" w:hAnsi="宋体"/>
                <w:color w:val="000000"/>
                <w:szCs w:val="21"/>
              </w:rPr>
              <w:t>一般风险</w:t>
            </w:r>
          </w:p>
        </w:tc>
        <w:tc>
          <w:tcPr>
            <w:tcW w:w="6180" w:type="dxa"/>
            <w:noWrap w:val="0"/>
            <w:vAlign w:val="center"/>
          </w:tcPr>
          <w:p>
            <w:pPr>
              <w:rPr>
                <w:rFonts w:ascii="宋体" w:hAnsi="宋体"/>
                <w:color w:val="000000"/>
                <w:szCs w:val="21"/>
              </w:rPr>
            </w:pPr>
            <w:r>
              <w:rPr>
                <w:rFonts w:hint="eastAsia" w:ascii="宋体" w:hAnsi="宋体"/>
                <w:color w:val="000000"/>
                <w:szCs w:val="21"/>
              </w:rPr>
              <w:t>天气对重大活动的影响程度较轻，活动可以正常举行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noWrap w:val="0"/>
            <w:vAlign w:val="center"/>
          </w:tcPr>
          <w:p>
            <w:pPr>
              <w:jc w:val="center"/>
              <w:rPr>
                <w:rFonts w:ascii="宋体" w:hAnsi="宋体"/>
                <w:color w:val="000000"/>
                <w:szCs w:val="21"/>
              </w:rPr>
            </w:pPr>
            <w:r>
              <w:rPr>
                <w:rFonts w:hint="eastAsia" w:ascii="宋体" w:hAnsi="宋体"/>
                <w:color w:val="000000"/>
                <w:szCs w:val="21"/>
              </w:rPr>
              <w:t>较大风险</w:t>
            </w:r>
          </w:p>
        </w:tc>
        <w:tc>
          <w:tcPr>
            <w:tcW w:w="6180" w:type="dxa"/>
            <w:noWrap w:val="0"/>
            <w:vAlign w:val="center"/>
          </w:tcPr>
          <w:p>
            <w:pPr>
              <w:rPr>
                <w:rFonts w:ascii="宋体" w:hAnsi="宋体"/>
                <w:color w:val="000000"/>
                <w:szCs w:val="21"/>
              </w:rPr>
            </w:pPr>
            <w:r>
              <w:rPr>
                <w:rFonts w:hint="eastAsia" w:ascii="宋体" w:hAnsi="宋体"/>
                <w:color w:val="000000"/>
                <w:szCs w:val="21"/>
              </w:rPr>
              <w:t>天气对重大活动的影响程度较大，通过采取一定措施，如准备雨具、搭建防护设施、更换场地等，活动可正常举行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noWrap w:val="0"/>
            <w:vAlign w:val="center"/>
          </w:tcPr>
          <w:p>
            <w:pPr>
              <w:jc w:val="center"/>
              <w:rPr>
                <w:rFonts w:ascii="宋体" w:hAnsi="宋体"/>
                <w:color w:val="000000"/>
                <w:szCs w:val="21"/>
              </w:rPr>
            </w:pPr>
            <w:r>
              <w:rPr>
                <w:rFonts w:hint="eastAsia" w:ascii="宋体" w:hAnsi="宋体"/>
                <w:color w:val="000000"/>
                <w:szCs w:val="21"/>
              </w:rPr>
              <w:t>重大风险</w:t>
            </w:r>
          </w:p>
        </w:tc>
        <w:tc>
          <w:tcPr>
            <w:tcW w:w="6180" w:type="dxa"/>
            <w:noWrap w:val="0"/>
            <w:vAlign w:val="center"/>
          </w:tcPr>
          <w:p>
            <w:pPr>
              <w:rPr>
                <w:rFonts w:ascii="宋体" w:hAnsi="宋体"/>
                <w:color w:val="000000"/>
                <w:szCs w:val="21"/>
              </w:rPr>
            </w:pPr>
            <w:r>
              <w:rPr>
                <w:rFonts w:hint="eastAsia" w:ascii="宋体" w:hAnsi="宋体"/>
                <w:color w:val="000000"/>
                <w:szCs w:val="21"/>
              </w:rPr>
              <w:t>天气对重大活动的影响程度很大，通过采取相应措施，如变更活动时间（提前或推迟**时间）等，活动可正常举行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noWrap w:val="0"/>
            <w:vAlign w:val="center"/>
          </w:tcPr>
          <w:p>
            <w:pPr>
              <w:jc w:val="center"/>
              <w:rPr>
                <w:rFonts w:ascii="宋体" w:hAnsi="宋体"/>
                <w:color w:val="000000"/>
                <w:szCs w:val="21"/>
              </w:rPr>
            </w:pPr>
            <w:r>
              <w:rPr>
                <w:rFonts w:hint="eastAsia" w:ascii="宋体" w:hAnsi="宋体"/>
                <w:color w:val="000000"/>
                <w:szCs w:val="21"/>
              </w:rPr>
              <w:t>特别重大风险</w:t>
            </w:r>
          </w:p>
        </w:tc>
        <w:tc>
          <w:tcPr>
            <w:tcW w:w="6180" w:type="dxa"/>
            <w:noWrap w:val="0"/>
            <w:vAlign w:val="center"/>
          </w:tcPr>
          <w:p>
            <w:pPr>
              <w:rPr>
                <w:rFonts w:ascii="宋体" w:hAnsi="宋体"/>
                <w:color w:val="000000"/>
                <w:szCs w:val="21"/>
              </w:rPr>
            </w:pPr>
            <w:r>
              <w:rPr>
                <w:rFonts w:hint="eastAsia" w:ascii="宋体" w:hAnsi="宋体"/>
                <w:color w:val="000000"/>
                <w:szCs w:val="21"/>
              </w:rPr>
              <w:t>天气对重大活动的影响特别严重，导致活动无法正常举行</w:t>
            </w:r>
          </w:p>
        </w:tc>
      </w:tr>
    </w:tbl>
    <w:p>
      <w:pPr>
        <w:pStyle w:val="230"/>
        <w:ind w:firstLine="0" w:firstLineChars="0"/>
        <w:rPr>
          <w:rFonts w:hint="eastAsia"/>
        </w:rPr>
      </w:pPr>
    </w:p>
    <w:p>
      <w:pPr>
        <w:pStyle w:val="231"/>
        <w:bidi w:val="0"/>
        <w:ind w:left="0" w:leftChars="0" w:firstLine="0" w:firstLineChars="0"/>
        <w:rPr>
          <w:rFonts w:hint="eastAsia"/>
        </w:rPr>
      </w:pPr>
      <w:bookmarkStart w:id="81" w:name="_Toc120149485"/>
      <w:bookmarkStart w:id="82" w:name="_Toc26931"/>
      <w:bookmarkStart w:id="83" w:name="_Toc27285"/>
      <w:r>
        <w:t>现场气象服务</w:t>
      </w:r>
      <w:bookmarkEnd w:id="81"/>
      <w:bookmarkEnd w:id="82"/>
      <w:bookmarkEnd w:id="83"/>
    </w:p>
    <w:p>
      <w:pPr>
        <w:pStyle w:val="230"/>
      </w:pPr>
      <w:r>
        <w:rPr>
          <w:rFonts w:hint="eastAsia"/>
        </w:rPr>
        <w:t>在与天气要素密切相关的重要露天活动地开展现场气象服务。现场气象服务包括在活动现场开展气象监测，及时向重大活动现场组织者提供气象服务信息，研判天气可能造成的影响，获取新的气象服务需求等。现场气象服务应与气象服务后方保障团队保持畅通的联系，必要时应安装预报服务产品显示终端及视频会商系统等。</w:t>
      </w:r>
    </w:p>
    <w:p>
      <w:pPr>
        <w:pStyle w:val="231"/>
        <w:bidi w:val="0"/>
        <w:ind w:left="0" w:leftChars="0" w:firstLine="0" w:firstLineChars="0"/>
      </w:pPr>
      <w:bookmarkStart w:id="84" w:name="_Toc296275133"/>
      <w:bookmarkStart w:id="85" w:name="_Toc296273723"/>
      <w:bookmarkStart w:id="86" w:name="_Toc296426912"/>
      <w:bookmarkStart w:id="87" w:name="_Toc296427469"/>
      <w:bookmarkStart w:id="88" w:name="_Toc296428008"/>
      <w:bookmarkStart w:id="89" w:name="_Toc296427545"/>
      <w:bookmarkStart w:id="90" w:name="_Toc296430781"/>
      <w:bookmarkStart w:id="91" w:name="_Toc296161275"/>
      <w:bookmarkStart w:id="92" w:name="_Toc296277332"/>
      <w:bookmarkStart w:id="93" w:name="_Toc296175959"/>
      <w:bookmarkStart w:id="94" w:name="_Toc120149486"/>
      <w:r>
        <w:rPr>
          <w:rFonts w:hint="eastAsia"/>
        </w:rPr>
        <w:t>人工</w:t>
      </w:r>
      <w:bookmarkEnd w:id="84"/>
      <w:bookmarkEnd w:id="85"/>
      <w:bookmarkEnd w:id="86"/>
      <w:bookmarkEnd w:id="87"/>
      <w:bookmarkEnd w:id="88"/>
      <w:bookmarkEnd w:id="89"/>
      <w:bookmarkEnd w:id="90"/>
      <w:bookmarkEnd w:id="91"/>
      <w:bookmarkEnd w:id="92"/>
      <w:bookmarkEnd w:id="93"/>
      <w:r>
        <w:rPr>
          <w:rFonts w:hint="eastAsia"/>
        </w:rPr>
        <w:t>影响天气作业</w:t>
      </w:r>
      <w:bookmarkEnd w:id="94"/>
    </w:p>
    <w:p>
      <w:pPr>
        <w:ind w:firstLine="420" w:firstLineChars="200"/>
        <w:rPr>
          <w:rFonts w:hint="eastAsia"/>
        </w:rPr>
      </w:pPr>
      <w:r>
        <w:rPr>
          <w:rFonts w:hint="eastAsia"/>
        </w:rPr>
        <w:t>针对具有重大政治影响、且较适宜开展人工消减雨作业的关键时间段，根据需要开展人工消减雨作业。可邀请国家级人影专家联合会商制定消减雨计划，开展跨省区联合作业时，要邀请所涉及的省人影专家参加。在实施消减雨作业前，根据天气预报结论修订具体作业计划并报请人工消减雨作业决策指挥机构批准。</w:t>
      </w:r>
    </w:p>
    <w:p>
      <w:pPr>
        <w:pStyle w:val="231"/>
        <w:bidi w:val="0"/>
        <w:ind w:left="0" w:leftChars="0" w:firstLine="0" w:firstLineChars="0"/>
        <w:rPr>
          <w:rFonts w:hint="eastAsia"/>
        </w:rPr>
      </w:pPr>
      <w:bookmarkStart w:id="95" w:name="_Toc120149487"/>
      <w:r>
        <w:rPr>
          <w:rFonts w:hint="eastAsia"/>
        </w:rPr>
        <w:t>气象信息发布</w:t>
      </w:r>
      <w:bookmarkEnd w:id="95"/>
    </w:p>
    <w:p>
      <w:pPr>
        <w:pStyle w:val="230"/>
        <w:rPr>
          <w:rFonts w:hint="eastAsia"/>
        </w:rPr>
      </w:pPr>
      <w:r>
        <w:rPr>
          <w:rFonts w:hint="eastAsia"/>
        </w:rPr>
        <w:t>为重大活动组委会、执委会、运行指挥机构等提供气象服务信息，提供形式和发布频次按照服务对象的需求确定，以手机短信、微信、手机客户端、电子邮件、传真为主。针对现场调度决策人员，应重点加强手机短信、微信、手机客户端的服务。</w:t>
      </w:r>
    </w:p>
    <w:p>
      <w:pPr>
        <w:pStyle w:val="230"/>
        <w:rPr>
          <w:rFonts w:hint="eastAsia"/>
        </w:rPr>
      </w:pPr>
      <w:r>
        <w:rPr>
          <w:rFonts w:hint="eastAsia"/>
        </w:rPr>
        <w:t>为社会公众提供气象服务信息主要通过气象官方网站、微信、微博、热线电话、手机客户端，及其他社会媒体、网站等方式。必要时，在气象官方网站、微信公众号及电视天气节目增设服务专题（专栏）。针对涉外、涉及残疾人的重大活动要灵活开展气象服务。</w:t>
      </w:r>
    </w:p>
    <w:p>
      <w:pPr>
        <w:pStyle w:val="231"/>
        <w:bidi w:val="0"/>
        <w:ind w:left="0" w:leftChars="0" w:firstLine="0" w:firstLineChars="0"/>
      </w:pPr>
      <w:bookmarkStart w:id="96" w:name="_Toc1878"/>
      <w:bookmarkStart w:id="97" w:name="_Toc120149488"/>
      <w:bookmarkStart w:id="98" w:name="_Toc9022"/>
      <w:r>
        <w:rPr>
          <w:rFonts w:hint="eastAsia"/>
        </w:rPr>
        <w:t>公众气象服务</w:t>
      </w:r>
      <w:bookmarkEnd w:id="96"/>
      <w:bookmarkEnd w:id="97"/>
      <w:bookmarkEnd w:id="98"/>
    </w:p>
    <w:p>
      <w:pPr>
        <w:pStyle w:val="230"/>
      </w:pPr>
      <w:r>
        <w:rPr>
          <w:rFonts w:hint="eastAsia"/>
        </w:rPr>
        <w:t>充分利用报纸、广播、电视、网站、热线电话、电子显示屏以及手机、微博、微信等各种传播媒介，开展多渠道、多层次、多角度、广范围的气象服务宣传，全面展示气象服务能力和气象社会职能。重点宣传重大活动气象服务的新举措及特色，宣传气象现代化建设成就，宣传气象服务过程中涌现出的先进集体、先进个人事迹。积极开展重大活动高影响天气科普工作，及时回应媒体和公众关注的气象相关热点、敏感话题，普及气象应急防御知识，解读天气预报预警信息等。</w:t>
      </w:r>
    </w:p>
    <w:p>
      <w:pPr>
        <w:pStyle w:val="232"/>
        <w:bidi w:val="0"/>
        <w:ind w:left="0" w:leftChars="0" w:firstLine="0" w:firstLineChars="0"/>
      </w:pPr>
      <w:bookmarkStart w:id="99" w:name="_Toc120149489"/>
      <w:bookmarkStart w:id="100" w:name="_Toc19441"/>
      <w:r>
        <w:rPr>
          <w:rFonts w:hint="eastAsia"/>
        </w:rPr>
        <w:t>评价总结阶段</w:t>
      </w:r>
      <w:bookmarkEnd w:id="99"/>
    </w:p>
    <w:bookmarkEnd w:id="100"/>
    <w:p>
      <w:pPr>
        <w:pStyle w:val="231"/>
        <w:bidi w:val="0"/>
        <w:ind w:left="0" w:leftChars="0" w:firstLine="0" w:firstLineChars="0"/>
        <w:rPr>
          <w:rFonts w:hint="eastAsia"/>
        </w:rPr>
      </w:pPr>
      <w:bookmarkStart w:id="101" w:name="_Toc26437"/>
      <w:bookmarkStart w:id="102" w:name="_Toc12257"/>
      <w:bookmarkStart w:id="103" w:name="_Toc120149490"/>
      <w:bookmarkStart w:id="104" w:name="_Toc10378"/>
      <w:r>
        <w:rPr>
          <w:rFonts w:hint="eastAsia"/>
        </w:rPr>
        <w:t>效益评估</w:t>
      </w:r>
      <w:bookmarkEnd w:id="101"/>
      <w:bookmarkEnd w:id="102"/>
      <w:bookmarkEnd w:id="103"/>
      <w:bookmarkEnd w:id="104"/>
    </w:p>
    <w:p>
      <w:pPr>
        <w:rPr>
          <w:rFonts w:hint="eastAsia"/>
        </w:rPr>
      </w:pPr>
      <w:r>
        <w:rPr>
          <w:rFonts w:hint="eastAsia"/>
        </w:rPr>
        <w:t>一方面根据预报检验业务规范对气象预报服务产品进行预报质量检验评估。一方面从活动主办方、参与人员的角度评价气象服务的质量和服务效果等，主要包括对气象服务内容精细化水平、预报准确率、服务手段的便捷性、服务及时性等的评价。效益评估相关工作可在重大活动运行阶段同时进行，在重大活动结束后形成评估结论。</w:t>
      </w:r>
    </w:p>
    <w:p>
      <w:pPr>
        <w:pStyle w:val="231"/>
        <w:bidi w:val="0"/>
        <w:ind w:left="0" w:leftChars="0" w:firstLine="0" w:firstLineChars="0"/>
        <w:rPr>
          <w:rFonts w:hint="eastAsia"/>
        </w:rPr>
      </w:pPr>
      <w:bookmarkStart w:id="105" w:name="_Toc120149491"/>
      <w:r>
        <w:rPr>
          <w:rFonts w:hint="eastAsia"/>
        </w:rPr>
        <w:t>服务工作改进</w:t>
      </w:r>
      <w:bookmarkEnd w:id="105"/>
    </w:p>
    <w:p>
      <w:pPr>
        <w:ind w:firstLine="420" w:firstLineChars="200"/>
        <w:rPr>
          <w:rFonts w:hint="eastAsia"/>
        </w:rPr>
      </w:pPr>
      <w:bookmarkStart w:id="106" w:name="_Toc41465579"/>
      <w:r>
        <w:rPr>
          <w:rFonts w:hint="eastAsia"/>
        </w:rPr>
        <w:t>各工作组围绕工作职责进行工作小结，运行管理组负责汇总总结形成报告，内容包括：筹备、运行实施各阶段工作组织及实施情况、气象服务效益评估情况、取得的经验及存在问题，对后期保障服务的建议。</w:t>
      </w:r>
      <w:bookmarkEnd w:id="106"/>
      <w:r>
        <w:rPr>
          <w:rFonts w:hint="eastAsia"/>
        </w:rPr>
        <w:t>服务总结应在气象保障任务结束后一周内完成，并上报组织重大活动的政府机构及上级气象主管部门。</w:t>
      </w:r>
    </w:p>
    <w:p>
      <w:pPr>
        <w:pStyle w:val="231"/>
        <w:numPr>
          <w:ilvl w:val="1"/>
          <w:numId w:val="0"/>
        </w:numPr>
        <w:ind w:firstLine="420" w:firstLineChars="200"/>
        <w:jc w:val="center"/>
      </w:pPr>
      <w:bookmarkStart w:id="109" w:name="_GoBack"/>
      <w:bookmarkEnd w:id="109"/>
      <w:r>
        <w:rPr>
          <w:rFonts w:hint="eastAsia" w:ascii="宋体" w:eastAsia="宋体"/>
          <w:kern w:val="2"/>
          <w:szCs w:val="22"/>
        </w:rPr>
        <w:br w:type="page"/>
      </w:r>
      <w:bookmarkStart w:id="107" w:name="_Toc120149492"/>
      <w:r>
        <w:rPr>
          <w:rFonts w:hint="eastAsia" w:hAnsi="黑体" w:cs="黑体"/>
        </w:rPr>
        <w:t>参 考 文 献</w:t>
      </w:r>
      <w:bookmarkEnd w:id="107"/>
    </w:p>
    <w:p>
      <w:pPr>
        <w:pStyle w:val="230"/>
        <w:rPr>
          <w:rFonts w:hint="eastAsia" w:hAnsi="宋体" w:cs="宋体"/>
          <w:szCs w:val="21"/>
        </w:rPr>
      </w:pPr>
      <w:r>
        <w:rPr>
          <w:rFonts w:hint="eastAsia" w:hAnsi="宋体" w:cs="宋体"/>
          <w:szCs w:val="21"/>
        </w:rPr>
        <w:t>［1］中国气象局  重大活动气象保障服务组织实施工作指南</w:t>
      </w:r>
    </w:p>
    <w:p>
      <w:pPr>
        <w:pStyle w:val="230"/>
        <w:rPr>
          <w:rFonts w:hint="eastAsia" w:hAnsi="宋体" w:cs="宋体"/>
        </w:rPr>
      </w:pPr>
      <w:r>
        <w:rPr>
          <w:rFonts w:hint="eastAsia" w:hAnsi="宋体" w:cs="宋体"/>
        </w:rPr>
        <w:t>［2］北京奥运气象服务中心  北京2008年奥运会与残运会气象服务方案汇编</w:t>
      </w:r>
    </w:p>
    <w:p>
      <w:pPr>
        <w:pStyle w:val="230"/>
        <w:rPr>
          <w:rFonts w:hint="eastAsia" w:hAnsi="宋体" w:cs="宋体"/>
        </w:rPr>
      </w:pPr>
      <w:r>
        <w:rPr>
          <w:rFonts w:hint="eastAsia" w:hAnsi="宋体" w:cs="宋体"/>
        </w:rPr>
        <w:t>［3］GB/T 27961-2011  气象服务分类术语</w:t>
      </w:r>
    </w:p>
    <w:p>
      <w:pPr>
        <w:pStyle w:val="56"/>
        <w:ind w:firstLine="420"/>
      </w:pPr>
    </w:p>
    <w:p>
      <w:pPr>
        <w:pStyle w:val="56"/>
        <w:ind w:firstLine="420"/>
      </w:pPr>
    </w:p>
    <w:p>
      <w:pPr>
        <w:pStyle w:val="56"/>
        <w:ind w:firstLine="420"/>
      </w:pPr>
    </w:p>
    <w:bookmarkEnd w:id="17"/>
    <w:p>
      <w:pPr>
        <w:pStyle w:val="56"/>
        <w:ind w:firstLine="0" w:firstLineChars="0"/>
        <w:jc w:val="center"/>
      </w:pPr>
      <w:bookmarkStart w:id="108" w:name="BookMark8"/>
      <w:r>
        <w:drawing>
          <wp:inline distT="0" distB="0" distL="0" distR="0">
            <wp:extent cx="1485900" cy="317500"/>
            <wp:effectExtent l="0" t="0" r="0" b="6350"/>
            <wp:docPr id="177634201" name="图片 1"/>
            <wp:cNvGraphicFramePr/>
            <a:graphic xmlns:a="http://schemas.openxmlformats.org/drawingml/2006/main">
              <a:graphicData uri="http://schemas.openxmlformats.org/drawingml/2006/picture">
                <pic:pic xmlns:pic="http://schemas.openxmlformats.org/drawingml/2006/picture">
                  <pic:nvPicPr>
                    <pic:cNvPr id="17763420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4113/T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4113/T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AFF89"/>
    <w:multiLevelType w:val="multilevel"/>
    <w:tmpl w:val="A34AFF89"/>
    <w:lvl w:ilvl="0" w:tentative="0">
      <w:start w:val="3"/>
      <w:numFmt w:val="decimal"/>
      <w:pStyle w:val="232"/>
      <w:suff w:val="nothing"/>
      <w:lvlText w:val="%1　"/>
      <w:lvlJc w:val="left"/>
      <w:pPr>
        <w:ind w:left="0" w:firstLine="0"/>
      </w:pPr>
      <w:rPr>
        <w:rFonts w:hint="default" w:ascii="黑体" w:hAnsi="黑体" w:eastAsia="黑体" w:cs="黑体"/>
        <w:b w:val="0"/>
        <w:i w:val="0"/>
        <w:sz w:val="21"/>
        <w:szCs w:val="21"/>
      </w:rPr>
    </w:lvl>
    <w:lvl w:ilvl="1" w:tentative="0">
      <w:start w:val="1"/>
      <w:numFmt w:val="decimal"/>
      <w:pStyle w:val="231"/>
      <w:suff w:val="nothing"/>
      <w:lvlText w:val="%1.%2　"/>
      <w:lvlJc w:val="left"/>
      <w:pPr>
        <w:tabs>
          <w:tab w:val="left" w:pos="0"/>
        </w:tabs>
        <w:ind w:left="0" w:firstLine="0"/>
      </w:pPr>
      <w:rPr>
        <w:rFonts w:hint="default"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0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07AC4"/>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0AC"/>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1AB524C"/>
    <w:rsid w:val="26A12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1">
    <w:name w:val="一级条标题"/>
    <w:next w:val="230"/>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2">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207E99AF564D79AD432858DCE58CFE"/>
        <w:style w:val=""/>
        <w:category>
          <w:name w:val="常规"/>
          <w:gallery w:val="placeholder"/>
        </w:category>
        <w:types>
          <w:type w:val="bbPlcHdr"/>
        </w:types>
        <w:behaviors>
          <w:behavior w:val="content"/>
        </w:behaviors>
        <w:description w:val=""/>
        <w:guid w:val="{7DCF8A28-4BB6-4B19-8066-59BBA00097E9}"/>
      </w:docPartPr>
      <w:docPartBody>
        <w:p>
          <w:pPr>
            <w:pStyle w:val="5"/>
          </w:pPr>
          <w:r>
            <w:rPr>
              <w:rStyle w:val="4"/>
              <w:rFonts w:hint="eastAsia"/>
            </w:rPr>
            <w:t>单击或点击此处输入文字。</w:t>
          </w:r>
        </w:p>
      </w:docPartBody>
    </w:docPart>
    <w:docPart>
      <w:docPartPr>
        <w:name w:val="8D02658FCB1244B591B5A83527E30FAD"/>
        <w:style w:val=""/>
        <w:category>
          <w:name w:val="常规"/>
          <w:gallery w:val="placeholder"/>
        </w:category>
        <w:types>
          <w:type w:val="bbPlcHdr"/>
        </w:types>
        <w:behaviors>
          <w:behavior w:val="content"/>
        </w:behaviors>
        <w:description w:val=""/>
        <w:guid w:val="{76C051C0-EFE5-4667-B94B-F4762A2A8D51}"/>
      </w:docPartPr>
      <w:docPartBody>
        <w:p>
          <w:pPr>
            <w:pStyle w:val="6"/>
          </w:pPr>
          <w:r>
            <w:rPr>
              <w:rStyle w:val="4"/>
              <w:rFonts w:hint="eastAsia"/>
            </w:rPr>
            <w:t>选择一项。</w:t>
          </w:r>
        </w:p>
      </w:docPartBody>
    </w:docPart>
    <w:docPart>
      <w:docPartPr>
        <w:name w:val="6E8A5678FB2D44C884636A50CF2780CA"/>
        <w:style w:val=""/>
        <w:category>
          <w:name w:val="常规"/>
          <w:gallery w:val="placeholder"/>
        </w:category>
        <w:types>
          <w:type w:val="bbPlcHdr"/>
        </w:types>
        <w:behaviors>
          <w:behavior w:val="content"/>
        </w:behaviors>
        <w:description w:val=""/>
        <w:guid w:val="{E3816F5C-351C-4B50-89AC-4053F5D0BB2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A"/>
    <w:rsid w:val="00DF7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8207E99AF564D79AD432858DCE58CF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02658FCB1244B591B5A83527E30FAD"/>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E8A5678FB2D44C884636A50CF2780CA"/>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Pages>
  <Words>268</Words>
  <Characters>335</Characters>
  <Lines>55</Lines>
  <Paragraphs>50</Paragraphs>
  <TotalTime>2</TotalTime>
  <ScaleCrop>false</ScaleCrop>
  <LinksUpToDate>false</LinksUpToDate>
  <CharactersWithSpaces>553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2023-06-27T02:44:00Z</dcterms:created>
  <dc:creator>lenovo</dc:creator>
  <dc:description>&lt;config cover="true" show_menu="true" version="1.0.0" doctype="SDKXY"&gt;_x000d_
&lt;/config&gt;</dc:description>
  <cp:lastModifiedBy>user01</cp:lastModifiedBy>
  <cp:lastPrinted>2020-08-30T10:00:00Z</cp:lastPrinted>
  <dcterms:modified xsi:type="dcterms:W3CDTF">2023-07-10T06:06:41Z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2052-11.8.2.10912</vt:lpwstr>
  </property>
  <property fmtid="{D5CDD505-2E9C-101B-9397-08002B2CF9AE}" pid="15" name="ICV">
    <vt:lpwstr>DC25360123B5461A8ED5B3E620CF0C88</vt:lpwstr>
  </property>
</Properties>
</file>