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verflowPunct w:val="0"/>
        <w:autoSpaceDE w:val="0"/>
        <w:autoSpaceDN w:val="0"/>
        <w:spacing w:after="0" w:line="300" w:lineRule="exact"/>
        <w:jc w:val="left"/>
        <w:rPr>
          <w:rFonts w:hint="eastAsia" w:ascii="黑体" w:hAnsi="黑体" w:eastAsia="黑体" w:cs="仿宋_GB2312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sz w:val="32"/>
          <w:szCs w:val="32"/>
          <w:lang w:eastAsia="zh-CN"/>
        </w:rPr>
        <w:t>附件</w:t>
      </w:r>
    </w:p>
    <w:p>
      <w:pPr>
        <w:pStyle w:val="2"/>
        <w:spacing w:after="0" w:line="60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第SF31—C6街坊等11个区域控制性详细规划主要控制指标</w:t>
      </w:r>
    </w:p>
    <w:tbl>
      <w:tblPr>
        <w:tblStyle w:val="5"/>
        <w:tblW w:w="49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822"/>
        <w:gridCol w:w="1669"/>
        <w:gridCol w:w="7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规划名称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jc w:val="center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规划基本情况</w:t>
            </w:r>
          </w:p>
        </w:tc>
        <w:tc>
          <w:tcPr>
            <w:tcW w:w="3323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主要控制指标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示范区华山路以东、雪枫路以北区域（第SF31-C6街坊）控制性详细规划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该规划位于华山路以东、中商大街以南、嵩山路以西、雪枫路以北区域，规划总用地面积约270.915亩（用地面积以实测为准）。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pStyle w:val="2"/>
              <w:spacing w:after="0" w:line="300" w:lineRule="exact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二类城镇住宅用地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约123.008亩，其中SF31-C6-1地块67.909亩，容积率大于1.0且不大于2.5，建筑密度不大于22%，建筑限高54米，绿地率不小于35%，其他地块为现状保留。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公用设施营业网点用地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面积约3.067亩，容积率不大于0.3，建筑密度不大于30%，建筑限高15米，绿地率不小于20%。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面积约30.373亩，容积率不大于0.1，建筑密度不大于5%，建筑限高12米，绿地率不小于65%。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防护绿地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面积约1.578亩，容积率不大于0.05，建筑密度不大于1%，建筑限高12米，绿地率不小于85%。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面积约112.889亩。各类用地面积以实测为准。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221" w:type="pct"/>
            <w:vAlign w:val="center"/>
          </w:tcPr>
          <w:p>
            <w:pPr>
              <w:spacing w:line="300" w:lineRule="exact"/>
              <w:ind w:firstLine="84" w:firstLineChars="3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760" w:type="pct"/>
            <w:vAlign w:val="center"/>
          </w:tcPr>
          <w:p>
            <w:pPr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示范区山河大道以南、长江北路以东区域（第SF07-A1、SF07-A3街坊）控制性详细规划</w:t>
            </w:r>
          </w:p>
        </w:tc>
        <w:tc>
          <w:tcPr>
            <w:tcW w:w="696" w:type="pct"/>
            <w:vAlign w:val="center"/>
          </w:tcPr>
          <w:p>
            <w:pPr>
              <w:autoSpaceDE w:val="0"/>
              <w:autoSpaceDN w:val="0"/>
              <w:spacing w:line="3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该规划位于山河大道以南、长江北路以东、石柱山路以西、春风路以北区域，规划总用地面积约353.864亩（用地面积以实测为准）。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pStyle w:val="2"/>
              <w:spacing w:after="0" w:line="300" w:lineRule="exact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医疗卫生用地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面积约33.911亩，容积率不小于0.8且不大于1.5，建筑密度不大于40%，建筑限高50米，绿地率不小于35%。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商业用地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面积约82.757亩，其中SF07-A3-4地块容积率不小于1.0且不大于2.5，建筑密度不大于50%，建筑限高50米，绿地率不小于25%；SF07-A1-2、SF07-A1-5、SF07-A1-10地块容积率不小于1.0且不大于2.0，建筑密度不大于50%，建筑限高24米，绿地率不小于25%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社会停车场用地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面积约4.651亩，容积率不大于0.5，建筑密度不大于10%，建筑限高24米，绿地率不小于25%。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面积约81.491亩，容积率不大于0.1，建筑密度不大于5%，建筑限高12米，绿地率不小于65%。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河流水面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面积约50.806亩。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面积约100.248亩。各类用地面积以实测为准。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1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760" w:type="pct"/>
            <w:vAlign w:val="center"/>
          </w:tcPr>
          <w:p>
            <w:pPr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卧龙区中州大道以南、文化路以西区域（第WL27-A1、WL27-A2街坊）控制性详细规划</w:t>
            </w:r>
          </w:p>
        </w:tc>
        <w:tc>
          <w:tcPr>
            <w:tcW w:w="696" w:type="pct"/>
            <w:vAlign w:val="center"/>
          </w:tcPr>
          <w:p>
            <w:pPr>
              <w:autoSpaceDE w:val="0"/>
              <w:autoSpaceDN w:val="0"/>
              <w:spacing w:line="3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该规划位于工业路以东、中州大道以南、文化路以西、七一路以北区域，规划总用地面积约452.330亩（用地面积以实测为准）。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pStyle w:val="2"/>
              <w:spacing w:after="0" w:line="300" w:lineRule="exact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二类城镇住宅用地、商业用地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面积约246.830亩，其中WL27-A1-6地块容积率大于1.0且不大于3.6，建筑密度不大于30%，建筑限高80米，绿地率不小于30%，计容商业建筑面积占计容建筑总面积的比例不大于6%；WL27-A2-5地块容积率大于1.0且不大于3.6，建筑密度不大于30%，建筑限高80米，绿地率不小于30%，计容商业建筑面积占计容建筑总面积的比例不大于4%；WL27-A2-1地块容积率大于1.0且不大于5.0，建筑密度不大于40%，建筑限高80米，绿地率不小于16%，计容商业建筑面积占计容建筑总面积的比例不大于6%；WL27-A2-6地块为已批用地，按原规划条件执行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机关团体用地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面积约8.980亩，为现状保留地块。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文化用地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面积约10.591亩，为现状保留地块。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商业用地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面积约19.384亩，为现状保留地块。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供电用地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面积约7.425亩，为现状保留地块。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面积约24.539亩，容积率不大于0.1，建筑密度不大于5%，建筑限高12米，绿地率不小于65%。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面积约117.548亩。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河流水面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面积约17.033亩。各类用地面积以实测为准。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7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卧龙区孔明大道以东、三桥湾路以北区域（第WL02-A、WL12-G组团）控制性详细规划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该规划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位于孔明大道以东、三桥湾路以北区域，规划总用地面积约2359.214亩（用地面积以实测为准）。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二类城镇住宅用地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总面积约777.928亩，其中WL12-G3-3、WL12-G3-4、WL12-G4-3、WL12-G4-6地块容积率大于1.0且不大于1.5，建筑密度不大于35%，建筑限高40米，绿地率不小于35%；WL12-G1-3、WL12-G1-4、WL02-A1-3、WL02-A3-2、WL02-A5-3地块容积率大于1.0且不大于1.5，建筑密度不大于35%，建筑限高36米，绿地率不小于35%；WL12-G1-6、WL12-G1-8、WL02-A3-4、WL02-A3-7、WL02-A5-7、WL02-A5-10地块容积率大于1.0且不大于1.5，建筑密度不大于35%，建筑限高30米，绿地率不小于35%；WL12-G4-2、WL02-A6-2地块容积率大于1.0且不大于1.5，建筑密度不大于35%，建筑限高24米，绿地率不小于35%；WL12-G4-5地块容积率大于1.0且不大于1.5，建筑密度不大于35%，建筑限高18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机关团体用地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面积约10.340亩，为现状保留。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科研用地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总面积约105.569亩，其中WL12-G2-2地块容积率不小于0.8且不大于1.5，建筑密度不大于35%，建筑限高24米，绿地率不小于35%；WL12-G2-3地块容积率不小于0.8且不大于1.5，建筑密度不大于35%，建筑限高18米，绿地率不小于35%；WL02-A6-4地块容积率不小于0.8且不大于1.8，建筑密度不大于35%，建筑限高24米，绿地率不小于35%；可兼容商业用地、交通场站用地等用地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文化用地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面积约7.678亩，容积率不大于1.2，建筑密度不大于30%，建筑限高18米，绿地率不小于35%；可兼容商业用地、交通场站用地等用地。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中小学用地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面积约54.834亩，容积率不大于1.2，建筑密度不大于25%，建筑限高30米，绿地率不小于35%。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商业用地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总面积约305.286亩，WL02-A2-2、WL02-A2-6地块容积率不小于1.0且不大于2.5，建筑密度不大于50%，建筑限高24米，绿地率不小于25%；WL12-G2-6、WL12-G2-7、WL12-G2-8、WL02-A5-4地块容积率不小于1.0且不大于2.0，建筑密度不大于50%，建筑限高24米，绿地率不小于25%；WL02-A2-3、WL02-A2-7地块容积率不小于1.0且不大于2.5，建筑密度不大于50%，建筑限高18米，绿地率不小于25%；WL02-A6-5、WL02-A6-6、WL12-G2-9地块容积率不小于1.0且不大于2.0，建筑密度不大于50%，建筑限高18米，绿地率不小于25%；可兼容商务金融用地、科研用地、交通场站用地等用地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公用设施营业网点用地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面积约4.349亩，容积率不小于0.1且不大于0.3，建筑密度不大于30%，建筑限高15米，绿地率不小于20%。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社会停车场用地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面积约18.315亩，容积率不大于0.5，建筑密度不大于10%，建筑限高24米，绿地率不小于25%。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面积约469.736亩。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防护绿地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面积约168.899亩。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4"/>
              </w:rPr>
              <w:t>面积约436.280亩。其他已批项目按原规划条件执行。各类用地面积以实测为准。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1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卧龙区涧河大道以北、车站路以西区域（第WL35-B3、B4、B7、B8街坊）控制性详细规划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该规划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位于涧河大道以北、车站路以西区域，规划总用地面积约369.725亩（用地面积以实测为准）。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pStyle w:val="2"/>
              <w:spacing w:after="0" w:line="300" w:lineRule="exact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二类城镇住宅用地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总面积约120.951亩，容积率大于1.0且不大于2.5，建筑密度不大于22%，建筑限高60米，绿地率不小于35%。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机关团体用地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面积约38.048亩，其中WL35-B7-2地块容积率不小于1.0且不大于1.5，建筑密度不大于30%，建筑限高50米，绿地率不小于35%；WL35-B8-2地块容积率不小于1.0且不大于1.2，建筑密度不大于25%，建筑限高30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医院用地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面积约57.125亩，容积率不小于1.2且不大于2.0，建筑密度不大于30%，建筑限高80米，绿地率不小于35%。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社会停车场用地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面积约9.654亩，容积率不大于0.5，建筑密度不大于10%，建筑限高24米，绿地率不小于25%。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面积约33.787亩。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面积约110.160亩。已批项目按原规划条件执行。各类用地面积以实测为准。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高新区张衡大道以南、独山大道以西区域（第GX04-B组团）控制性详细规划</w:t>
            </w:r>
          </w:p>
        </w:tc>
        <w:tc>
          <w:tcPr>
            <w:tcW w:w="696" w:type="pct"/>
            <w:vAlign w:val="center"/>
          </w:tcPr>
          <w:p>
            <w:pPr>
              <w:autoSpaceDE w:val="0"/>
              <w:autoSpaceDN w:val="0"/>
              <w:spacing w:line="3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该规划位于张衡大道以南、独山大道以西区域，规划总用地面积约550.154亩（用地面积以实测为准）。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pStyle w:val="2"/>
              <w:spacing w:after="0" w:line="300" w:lineRule="exac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二类城镇住宅用地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约256.244亩，其中GX04-B3-6地块面积约20.110亩，容积率大于1.0且不大于3.6，建筑密度不大于22%，建筑限高80米，绿地率不小于30%，其他地块为现状保留。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二类城镇住宅用地、商业用地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约30.456亩，为现状保留。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中小学用地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约10.678亩，为现状保留。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商务金融用地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约8.256亩，按原规划条件执行。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约92.796亩，容积率不大于0.1，建筑密度不大于5%，建筑限高12米，绿地率不小于65%。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约123.093亩。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河流水面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约28.631亩。其他已批项目按原规划条件执行。各类用地面积以实测为准。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高新区南泰路以南、申伯大道以西区域（第GX03-G1街坊）控制性详细规划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该规划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位于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南泰路以南、申伯大道以西区域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，规划总用地面积约173.171亩（用地面积以实测为准）。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二类城镇住宅用地、商业用地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117.084亩，容积率大于1.0且不大于2.5，建筑密度不大于25%，建筑限高60米（临申伯大道以西，建筑高度梯次升高，依次为38米、48米、60米），绿地率不小于35%，商业计容建筑面积占总用地计容建筑面积比例不大于8%，商业禁止临申伯大道布局；配套设施为党建、物业、养老、幼儿园、公厕、垃圾收集点等，同时居住用地临周边道路规划不小于 2000平方米的集中绿地并对外开放，规划不小于2000平方米建筑面积公共服务设施。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面积约14.308亩，容积率不大于0.1，建筑密度不大于5%，建筑限高12米，绿地率不小于65%。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面积约41.779亩。各类用地面积以实测为准。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8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高新区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建设路以南、北京大道以西、麒麟路以北、涧河大道以东区域（第GX15单元部分、第GX16单元部分）控制性详细规划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该规划位于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建设路以南、北京大道以西、麒麟路以北、涧河大道以东区域，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规划总用地面积约923.223亩（用地面积以实测为准）。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二类城镇住宅用地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面积约385.997亩，其中GX15-B1-2、GX15-B2-2、GX15-B3-2、GX15-B4-1、GX16-A1-3地块容积率大于1.0且不大于2.5，建筑密度不大于22%，建筑限高80米，绿地率不小于35%；GX15-B4-3（S4地块）容积率不小于1.0且不大于3.6，建筑密度不大于30%，建筑限高80米，绿地率不小于30%，商业建筑面积占地上总建筑面积的比例不大于6%；其余为现状保留地块和按已批条件执行地块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机关团体用地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总面积约10.708亩，其中GX15-B2-3地块容积率不大于1.5，建筑密度不大于35%，建筑限高24米，绿地率不小于35%；GX16-A1-2地块为现状保留。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中小学用地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面积约29.104亩，容积率不大于1.5，建筑密度不大于30%，建筑限高24米，绿地率不小于35%。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工业用地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面积约174.840亩，为现状保留地块。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面积约85.708亩。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面积约236.866亩。各类用地面积以实测为准。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2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宛城区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仲景大道以西、汉冶路以北、工农路以东、两相路以南区域（第GX02-F1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F6、WQ03-B1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B4、WQ03-D1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D4街坊）控制性详细规划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该规划位于仲景大道以西、汉冶路以北、工农路以东、两相路以南区域，规划总用地面积约1906.249亩（用地面积以实测为准）。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二类城镇住宅用地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面积约858.558亩，其中GX02-F1-4、GX02-F3-8、GX02-F5-6、GX02-F6-2、WQ03-B4-2地块容积率大于1.0且不大于2.2，建筑密度不大于22%，建筑限高54米，绿地率不小于35%；GX02-F2-7（S11）地块容积率大于1.0且不大于1.1，建筑密度不大于43%，建筑限高18米，绿地率不小于35%；GX02-F3-7（S1）地块容积率大于1.0且不大于1.8，建筑密度不大于30%，建筑限高36米，绿地率不小于35%；WQ03-B2-7（S6）地块容积率大于1.0且不大于3.5，建筑密度不大于22%，建筑限高80米，绿地率不小于35%，计容商业建筑面积占计容建筑总面积的比例不大于6%；WQ03-B4-3(S8）、WQ03-D1-6（S10）地块容积率大于1.0且不大于3.1，建筑密度不大于22%，建筑限高80米，绿地率不小于35%，计容商业建筑面积占计容建筑总面积的比例不大于6%；WQ03-D2-7地块容积率大于1.0且不大于2.5，建筑密度不大于22%，建筑限高80米，绿地率不小于35%；GX02-F2-3、GX02-F5-2地块容积率大于1.0且不大于2.2，建筑密度不大于30%，建筑限高54m，绿地率不小于35%；其余为现状保留地块和按已批条件执行地块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中小学用地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总面积约57.871亩，其中WQ03-B3-7地块容积率不大于1.2，建筑密度不大于30%，建筑限高32米，绿地率不小于35%；其余地块为现状保留。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体育用地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面积约82.954亩，容积率不大于1.5，建筑密度不大于40%，建筑限高24米，绿地率不小于40%。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社会福利用地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面积约17.421亩，容积率不小于1.0且不大于2.0，建筑密度不大于30%，建筑限高24米，绿地率不小于35%。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面积约355.206亩。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河流水面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面积约96.587亩。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面积约437.652亩。各类用地面积以实测为准。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宛城区京宛大道以南、孔明大道以西区域（第WQ01-A1、WL04-D1街坊）控制性详细规划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该规划位于京宛大道以南、孔明大道以西区域，规划总用地面积约1169.768亩（用地面积以实测为准）。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pStyle w:val="2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二类城镇住宅用地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面积约65.988亩，为已批用地，按原规划条件执行。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高等教育用地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面积约738.518亩，容积率不大于1.5，建筑密度不大于24%，建筑限高60米，绿地率不小于40%。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公园绿地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面积约75.522亩，容积率不大于0.1，建筑密度不大于5%，建筑限高12米，绿地率不小于65%。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防护绿地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面积约79.582亩，容积率不大于0.05，建筑密度不大于1%，建筑限高12米，绿地率不小于85%。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面积约148.991亩。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河流水面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面积约61.167亩。各类用地面积以实测为准。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" w:type="pct"/>
            <w:vAlign w:val="center"/>
          </w:tcPr>
          <w:p>
            <w:pPr>
              <w:pStyle w:val="2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0" w:type="pct"/>
            <w:vAlign w:val="center"/>
          </w:tcPr>
          <w:p>
            <w:pPr>
              <w:pStyle w:val="2"/>
              <w:overflowPunct w:val="0"/>
              <w:autoSpaceDE w:val="0"/>
              <w:autoSpaceDN w:val="0"/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官庄工区白河一路以北、广南路以西区域（第GZ02-B1街坊）控制性详细规划</w:t>
            </w:r>
          </w:p>
        </w:tc>
        <w:tc>
          <w:tcPr>
            <w:tcW w:w="696" w:type="pct"/>
            <w:vAlign w:val="center"/>
          </w:tcPr>
          <w:p>
            <w:pPr>
              <w:pStyle w:val="2"/>
              <w:autoSpaceDE w:val="0"/>
              <w:autoSpaceDN w:val="0"/>
              <w:spacing w:after="0" w:line="30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该规划位于白河一路以北、广南路以西区域，规划总用地面积约227.012亩（用地面积以实测为准）。</w:t>
            </w:r>
          </w:p>
        </w:tc>
        <w:tc>
          <w:tcPr>
            <w:tcW w:w="3323" w:type="pct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二类工业用地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总面积约164.538亩，其中GZ02-B1-31、GZ02-B1-33、GZ02-B1-37地块容积率不小于1.2，建筑系数不小于40%，建筑限高40米，绿地率不小于12%且不大于20%；其余地块为现状保留。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管道运输用地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面积约1.531亩，容积率不大于0.5，建筑密度不大于10%，建筑限高12米。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防护绿地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面积约22.316亩，容积率不大于0.05，建筑密度不大于1%，建筑限高12米，绿地率不小于85%。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陆地水域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面积约4.120亩。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城镇村道路用地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面积约34.507亩。各类用地面积以实测为准。</w:t>
            </w:r>
          </w:p>
        </w:tc>
      </w:tr>
    </w:tbl>
    <w:p>
      <w:pPr>
        <w:spacing w:after="0"/>
        <w:rPr>
          <w:rFonts w:ascii="黑体" w:hAnsi="黑体" w:eastAsia="黑体" w:cs="黑体"/>
          <w:color w:val="000000"/>
          <w:sz w:val="32"/>
          <w:szCs w:val="32"/>
        </w:rPr>
      </w:pPr>
    </w:p>
    <w:p/>
    <w:sectPr>
      <w:footerReference r:id="rId3" w:type="default"/>
      <w:pgSz w:w="16838" w:h="11906" w:orient="landscape"/>
      <w:pgMar w:top="1361" w:right="2438" w:bottom="2336" w:left="243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athJax_Main">
    <w:panose1 w:val="00000000000000000000"/>
    <w:charset w:val="00"/>
    <w:family w:val="auto"/>
    <w:pitch w:val="default"/>
    <w:sig w:usb0="800000EF" w:usb1="1000ECED" w:usb2="00000000" w:usb3="00000000" w:csb0="2000008F" w:csb1="5E030000"/>
  </w:font>
  <w:font w:name="MathJax_Math">
    <w:panose1 w:val="00000000000000000000"/>
    <w:charset w:val="00"/>
    <w:family w:val="auto"/>
    <w:pitch w:val="default"/>
    <w:sig w:usb0="800000EF" w:usb1="1000ECED" w:usb2="00000000" w:usb3="00000000" w:csb0="2000008F" w:csb1="5E03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  <w:r>
      <w:rPr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DOqXm5zwAAAAUBAAAPAAAAAAAAAAEAIAAA&#10;ADgAAABkcnMvZG93bnJldi54bWxQSwECFAAUAAAACACHTuJAbon2VsYBAABwAwAADgAAAAAAAAAB&#10;ACAAAAA0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CF403A"/>
    <w:rsid w:val="7EFF3B48"/>
    <w:rsid w:val="EFE93594"/>
    <w:rsid w:val="FF7844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961</Words>
  <Characters>5479</Characters>
  <Lines>45</Lines>
  <Paragraphs>12</Paragraphs>
  <TotalTime>8</TotalTime>
  <ScaleCrop>false</ScaleCrop>
  <LinksUpToDate>false</LinksUpToDate>
  <CharactersWithSpaces>6428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2017-05-12T20:47:00Z</dcterms:created>
  <dc:creator>系统管理员</dc:creator>
  <cp:lastModifiedBy>kylin</cp:lastModifiedBy>
  <cp:lastPrinted>2026-08-05T19:39:00Z</cp:lastPrinted>
  <dcterms:modified xsi:type="dcterms:W3CDTF">2026-08-07T10:18:35Z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