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Times New Roman" w:hAnsi="Times New Roman" w:eastAsia="楷体_GB2312" w:cs="楷体_GB2312"/>
          <w:sz w:val="32"/>
          <w:szCs w:val="32"/>
        </w:rPr>
      </w:pPr>
      <w:r>
        <w:rPr>
          <w:rFonts w:hint="eastAsia" w:ascii="方正小标宋_GBK" w:hAnsi="方正小标宋_GBK" w:eastAsia="方正小标宋_GBK" w:cs="方正小标宋_GBK"/>
          <w:sz w:val="44"/>
          <w:szCs w:val="44"/>
        </w:rPr>
        <w:t>南阳市市场环境领域改革创新事项清单（2026—2028年）</w:t>
      </w:r>
    </w:p>
    <w:tbl>
      <w:tblPr>
        <w:tblStyle w:val="5"/>
        <w:tblW w:w="5000" w:type="pct"/>
        <w:jc w:val="center"/>
        <w:tblLayout w:type="autofit"/>
        <w:tblCellMar>
          <w:top w:w="0" w:type="dxa"/>
          <w:left w:w="57" w:type="dxa"/>
          <w:bottom w:w="0" w:type="dxa"/>
          <w:right w:w="57" w:type="dxa"/>
        </w:tblCellMar>
      </w:tblPr>
      <w:tblGrid>
        <w:gridCol w:w="577"/>
        <w:gridCol w:w="734"/>
        <w:gridCol w:w="1051"/>
        <w:gridCol w:w="787"/>
        <w:gridCol w:w="6243"/>
        <w:gridCol w:w="787"/>
        <w:gridCol w:w="1051"/>
        <w:gridCol w:w="846"/>
      </w:tblGrid>
      <w:tr>
        <w:tblPrEx>
          <w:tblCellMar>
            <w:top w:w="0" w:type="dxa"/>
            <w:left w:w="57" w:type="dxa"/>
            <w:bottom w:w="0" w:type="dxa"/>
            <w:right w:w="57" w:type="dxa"/>
          </w:tblCellMar>
        </w:tblPrEx>
        <w:trPr>
          <w:cantSplit/>
          <w:trHeight w:val="567" w:hRule="atLeast"/>
          <w:tblHeader/>
          <w:jc w:val="center"/>
        </w:trPr>
        <w:tc>
          <w:tcPr>
            <w:tcW w:w="239"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Times New Roman" w:hAnsi="Times New Roman" w:eastAsia="黑体" w:cs="黑体"/>
                <w:color w:val="000000"/>
                <w:sz w:val="24"/>
                <w:szCs w:val="24"/>
              </w:rPr>
            </w:pPr>
            <w:r>
              <w:rPr>
                <w:rFonts w:hint="eastAsia" w:ascii="Times New Roman" w:hAnsi="Times New Roman" w:eastAsia="黑体" w:cs="黑体"/>
                <w:color w:val="000000"/>
                <w:kern w:val="0"/>
                <w:sz w:val="24"/>
                <w:szCs w:val="24"/>
                <w:lang w:bidi="ar"/>
              </w:rPr>
              <w:t>序号</w:t>
            </w:r>
          </w:p>
        </w:tc>
        <w:tc>
          <w:tcPr>
            <w:tcW w:w="304"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Times New Roman" w:hAnsi="Times New Roman" w:eastAsia="黑体" w:cs="黑体"/>
                <w:color w:val="000000"/>
                <w:sz w:val="24"/>
                <w:szCs w:val="24"/>
              </w:rPr>
            </w:pPr>
            <w:r>
              <w:rPr>
                <w:rFonts w:hint="eastAsia" w:ascii="Times New Roman" w:hAnsi="Times New Roman" w:eastAsia="黑体" w:cs="黑体"/>
                <w:color w:val="000000"/>
                <w:kern w:val="0"/>
                <w:sz w:val="24"/>
                <w:szCs w:val="24"/>
                <w:lang w:bidi="ar"/>
              </w:rPr>
              <w:t>维度</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Times New Roman" w:hAnsi="Times New Roman" w:eastAsia="黑体" w:cs="黑体"/>
                <w:color w:val="000000"/>
                <w:kern w:val="0"/>
                <w:sz w:val="24"/>
                <w:szCs w:val="24"/>
                <w:lang w:bidi="ar"/>
              </w:rPr>
            </w:pPr>
            <w:r>
              <w:rPr>
                <w:rFonts w:hint="eastAsia" w:ascii="Times New Roman" w:hAnsi="Times New Roman" w:eastAsia="黑体" w:cs="黑体"/>
                <w:color w:val="000000"/>
                <w:kern w:val="0"/>
                <w:sz w:val="24"/>
                <w:szCs w:val="24"/>
                <w:lang w:bidi="ar"/>
              </w:rPr>
              <w:t>事项</w:t>
            </w:r>
          </w:p>
          <w:p>
            <w:pPr>
              <w:widowControl/>
              <w:spacing w:line="320" w:lineRule="exact"/>
              <w:jc w:val="center"/>
              <w:textAlignment w:val="center"/>
              <w:rPr>
                <w:rFonts w:ascii="Times New Roman" w:hAnsi="Times New Roman" w:eastAsia="黑体" w:cs="黑体"/>
                <w:color w:val="000000"/>
                <w:sz w:val="24"/>
                <w:szCs w:val="24"/>
              </w:rPr>
            </w:pPr>
            <w:r>
              <w:rPr>
                <w:rFonts w:hint="eastAsia" w:ascii="Times New Roman" w:hAnsi="Times New Roman" w:eastAsia="黑体" w:cs="黑体"/>
                <w:color w:val="000000"/>
                <w:kern w:val="0"/>
                <w:sz w:val="24"/>
                <w:szCs w:val="24"/>
                <w:lang w:bidi="ar"/>
              </w:rPr>
              <w:t>名称</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Times New Roman" w:hAnsi="Times New Roman" w:eastAsia="黑体" w:cs="黑体"/>
                <w:color w:val="000000"/>
                <w:kern w:val="0"/>
                <w:sz w:val="24"/>
                <w:szCs w:val="24"/>
                <w:lang w:bidi="ar"/>
              </w:rPr>
            </w:pPr>
            <w:r>
              <w:rPr>
                <w:rFonts w:hint="eastAsia" w:ascii="Times New Roman" w:hAnsi="Times New Roman" w:eastAsia="黑体" w:cs="黑体"/>
                <w:color w:val="000000"/>
                <w:kern w:val="0"/>
                <w:sz w:val="24"/>
                <w:szCs w:val="24"/>
                <w:lang w:bidi="ar"/>
              </w:rPr>
              <w:t>拟推广级别</w:t>
            </w:r>
          </w:p>
        </w:tc>
        <w:tc>
          <w:tcPr>
            <w:tcW w:w="258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Times New Roman" w:hAnsi="Times New Roman" w:eastAsia="黑体" w:cs="黑体"/>
                <w:color w:val="000000"/>
                <w:sz w:val="24"/>
                <w:szCs w:val="24"/>
              </w:rPr>
            </w:pPr>
            <w:r>
              <w:rPr>
                <w:rFonts w:hint="eastAsia" w:ascii="Times New Roman" w:hAnsi="Times New Roman" w:eastAsia="黑体" w:cs="黑体"/>
                <w:color w:val="000000"/>
                <w:kern w:val="0"/>
                <w:sz w:val="24"/>
                <w:szCs w:val="24"/>
                <w:lang w:bidi="ar"/>
              </w:rPr>
              <w:t>举措内容</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Times New Roman" w:hAnsi="Times New Roman" w:eastAsia="黑体" w:cs="黑体"/>
                <w:color w:val="000000"/>
                <w:kern w:val="0"/>
                <w:sz w:val="24"/>
                <w:szCs w:val="24"/>
                <w:lang w:bidi="ar"/>
              </w:rPr>
            </w:pPr>
            <w:r>
              <w:rPr>
                <w:rFonts w:hint="eastAsia" w:ascii="Times New Roman" w:hAnsi="Times New Roman" w:eastAsia="黑体" w:cs="黑体"/>
                <w:color w:val="000000"/>
                <w:kern w:val="0"/>
                <w:sz w:val="24"/>
                <w:szCs w:val="24"/>
                <w:lang w:bidi="ar"/>
              </w:rPr>
              <w:t>牵头</w:t>
            </w:r>
          </w:p>
          <w:p>
            <w:pPr>
              <w:widowControl/>
              <w:spacing w:line="320" w:lineRule="exact"/>
              <w:jc w:val="center"/>
              <w:textAlignment w:val="center"/>
              <w:rPr>
                <w:rFonts w:ascii="Times New Roman" w:hAnsi="Times New Roman" w:eastAsia="黑体" w:cs="黑体"/>
                <w:color w:val="000000"/>
                <w:sz w:val="24"/>
                <w:szCs w:val="24"/>
              </w:rPr>
            </w:pPr>
            <w:r>
              <w:rPr>
                <w:rFonts w:hint="eastAsia" w:ascii="Times New Roman" w:hAnsi="Times New Roman" w:eastAsia="黑体" w:cs="黑体"/>
                <w:color w:val="000000"/>
                <w:kern w:val="0"/>
                <w:sz w:val="24"/>
                <w:szCs w:val="24"/>
                <w:lang w:bidi="ar"/>
              </w:rPr>
              <w:t>单位</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Times New Roman" w:hAnsi="Times New Roman" w:eastAsia="黑体" w:cs="黑体"/>
                <w:color w:val="000000"/>
                <w:kern w:val="0"/>
                <w:sz w:val="24"/>
                <w:szCs w:val="24"/>
                <w:lang w:bidi="ar"/>
              </w:rPr>
            </w:pPr>
            <w:r>
              <w:rPr>
                <w:rFonts w:hint="eastAsia" w:ascii="Times New Roman" w:hAnsi="Times New Roman" w:eastAsia="黑体" w:cs="黑体"/>
                <w:color w:val="000000"/>
                <w:kern w:val="0"/>
                <w:sz w:val="24"/>
                <w:szCs w:val="24"/>
                <w:lang w:bidi="ar"/>
              </w:rPr>
              <w:t>责任</w:t>
            </w:r>
          </w:p>
          <w:p>
            <w:pPr>
              <w:widowControl/>
              <w:spacing w:line="320" w:lineRule="exact"/>
              <w:jc w:val="center"/>
              <w:textAlignment w:val="center"/>
              <w:rPr>
                <w:rFonts w:ascii="Times New Roman" w:hAnsi="Times New Roman" w:eastAsia="黑体" w:cs="黑体"/>
                <w:color w:val="000000"/>
                <w:sz w:val="24"/>
                <w:szCs w:val="24"/>
              </w:rPr>
            </w:pPr>
            <w:r>
              <w:rPr>
                <w:rFonts w:hint="eastAsia" w:ascii="Times New Roman" w:hAnsi="Times New Roman" w:eastAsia="黑体" w:cs="黑体"/>
                <w:color w:val="000000"/>
                <w:kern w:val="0"/>
                <w:sz w:val="24"/>
                <w:szCs w:val="24"/>
                <w:lang w:bidi="ar"/>
              </w:rPr>
              <w:t>单位</w:t>
            </w:r>
          </w:p>
        </w:tc>
        <w:tc>
          <w:tcPr>
            <w:tcW w:w="351"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Times New Roman" w:hAnsi="Times New Roman" w:eastAsia="黑体" w:cs="黑体"/>
                <w:color w:val="000000"/>
                <w:kern w:val="0"/>
                <w:sz w:val="24"/>
                <w:szCs w:val="24"/>
                <w:lang w:bidi="ar"/>
              </w:rPr>
            </w:pPr>
            <w:r>
              <w:rPr>
                <w:rFonts w:hint="eastAsia" w:ascii="Times New Roman" w:hAnsi="Times New Roman" w:eastAsia="黑体" w:cs="黑体"/>
                <w:color w:val="000000"/>
                <w:kern w:val="0"/>
                <w:sz w:val="24"/>
                <w:szCs w:val="24"/>
                <w:lang w:bidi="ar"/>
              </w:rPr>
              <w:t>完成</w:t>
            </w:r>
          </w:p>
          <w:p>
            <w:pPr>
              <w:widowControl/>
              <w:spacing w:line="320" w:lineRule="exact"/>
              <w:jc w:val="center"/>
              <w:textAlignment w:val="center"/>
              <w:rPr>
                <w:rFonts w:ascii="Times New Roman" w:hAnsi="Times New Roman" w:eastAsia="黑体" w:cs="黑体"/>
                <w:color w:val="000000"/>
                <w:sz w:val="24"/>
                <w:szCs w:val="24"/>
              </w:rPr>
            </w:pPr>
            <w:r>
              <w:rPr>
                <w:rFonts w:hint="eastAsia" w:ascii="Times New Roman" w:hAnsi="Times New Roman" w:eastAsia="黑体" w:cs="黑体"/>
                <w:color w:val="000000"/>
                <w:kern w:val="0"/>
                <w:sz w:val="24"/>
                <w:szCs w:val="24"/>
                <w:lang w:bidi="ar"/>
              </w:rPr>
              <w:t>时限</w:t>
            </w:r>
          </w:p>
        </w:tc>
      </w:tr>
      <w:tr>
        <w:tblPrEx>
          <w:tblCellMar>
            <w:top w:w="0" w:type="dxa"/>
            <w:left w:w="57" w:type="dxa"/>
            <w:bottom w:w="0" w:type="dxa"/>
            <w:right w:w="57" w:type="dxa"/>
          </w:tblCellMar>
        </w:tblPrEx>
        <w:trPr>
          <w:cantSplit/>
          <w:trHeight w:val="567" w:hRule="atLeast"/>
          <w:jc w:val="center"/>
        </w:trPr>
        <w:tc>
          <w:tcPr>
            <w:tcW w:w="239" w:type="pct"/>
            <w:tcBorders>
              <w:top w:val="single" w:color="000000" w:sz="4" w:space="0"/>
              <w:left w:val="single" w:color="000000" w:sz="4" w:space="0"/>
              <w:bottom w:val="single" w:color="000000" w:sz="4" w:space="0"/>
              <w:right w:val="single" w:color="000000" w:sz="4" w:space="0"/>
            </w:tcBorders>
            <w:vAlign w:val="center"/>
          </w:tcPr>
          <w:p>
            <w:pPr>
              <w:widowControl/>
              <w:spacing w:line="296"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1</w:t>
            </w:r>
          </w:p>
        </w:tc>
        <w:tc>
          <w:tcPr>
            <w:tcW w:w="304" w:type="pct"/>
            <w:vMerge w:val="restart"/>
            <w:tcBorders>
              <w:top w:val="single" w:color="000000" w:sz="4" w:space="0"/>
              <w:left w:val="single" w:color="000000" w:sz="4" w:space="0"/>
              <w:right w:val="single" w:color="000000" w:sz="4" w:space="0"/>
            </w:tcBorders>
            <w:vAlign w:val="center"/>
          </w:tcPr>
          <w:p>
            <w:pPr>
              <w:widowControl/>
              <w:spacing w:line="296" w:lineRule="exact"/>
              <w:jc w:val="center"/>
              <w:textAlignment w:val="center"/>
              <w:rPr>
                <w:rStyle w:val="10"/>
                <w:rFonts w:hint="default" w:ascii="Times New Roman" w:hAnsi="Times New Roman"/>
                <w:sz w:val="24"/>
                <w:szCs w:val="24"/>
                <w:lang w:bidi="ar"/>
              </w:rPr>
            </w:pPr>
            <w:r>
              <w:rPr>
                <w:rStyle w:val="10"/>
                <w:rFonts w:hint="default" w:ascii="Times New Roman" w:hAnsi="Times New Roman"/>
                <w:sz w:val="24"/>
                <w:szCs w:val="24"/>
                <w:lang w:bidi="ar"/>
              </w:rPr>
              <w:t>市场准入</w:t>
            </w:r>
          </w:p>
          <w:p>
            <w:pPr>
              <w:widowControl/>
              <w:spacing w:line="296" w:lineRule="exact"/>
              <w:jc w:val="center"/>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w:t>
            </w:r>
            <w:r>
              <w:rPr>
                <w:rStyle w:val="11"/>
                <w:rFonts w:hint="eastAsia" w:eastAsia="仿宋_GB2312" w:cs="仿宋_GB2312"/>
                <w:sz w:val="24"/>
                <w:szCs w:val="24"/>
                <w:lang w:bidi="ar"/>
              </w:rPr>
              <w:t>5</w:t>
            </w:r>
            <w:r>
              <w:rPr>
                <w:rStyle w:val="10"/>
                <w:rFonts w:hint="default" w:ascii="Times New Roman" w:hAnsi="Times New Roman"/>
                <w:sz w:val="24"/>
                <w:szCs w:val="24"/>
                <w:lang w:bidi="ar"/>
              </w:rPr>
              <w:t>项）</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296" w:lineRule="exact"/>
              <w:jc w:val="center"/>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构建市场准入“清单</w:t>
            </w:r>
            <w:r>
              <w:rPr>
                <w:rStyle w:val="10"/>
                <w:rFonts w:hint="default" w:ascii="宋体" w:hAnsi="宋体" w:eastAsia="宋体" w:cs="宋体"/>
                <w:sz w:val="24"/>
                <w:szCs w:val="24"/>
                <w:lang w:bidi="ar"/>
              </w:rPr>
              <w:t>＋</w:t>
            </w:r>
            <w:r>
              <w:rPr>
                <w:rStyle w:val="10"/>
                <w:rFonts w:hint="default" w:ascii="Times New Roman" w:hAnsi="Times New Roman"/>
                <w:sz w:val="24"/>
                <w:szCs w:val="24"/>
                <w:lang w:bidi="ar"/>
              </w:rPr>
              <w:t>平台”服务体系</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296" w:lineRule="exact"/>
              <w:jc w:val="center"/>
              <w:textAlignment w:val="center"/>
              <w:rPr>
                <w:rFonts w:ascii="Times New Roman" w:hAnsi="Times New Roman" w:eastAsia="仿宋_GB2312" w:cs="仿宋_GB2312"/>
                <w:color w:val="000000"/>
                <w:kern w:val="0"/>
                <w:sz w:val="24"/>
                <w:szCs w:val="24"/>
                <w:lang w:bidi="ar"/>
              </w:rPr>
            </w:pPr>
            <w:r>
              <w:rPr>
                <w:rFonts w:hint="eastAsia" w:ascii="Times New Roman" w:hAnsi="Times New Roman" w:eastAsia="仿宋_GB2312" w:cs="仿宋_GB2312"/>
                <w:color w:val="000000"/>
                <w:kern w:val="0"/>
                <w:sz w:val="24"/>
                <w:szCs w:val="24"/>
                <w:lang w:bidi="ar"/>
              </w:rPr>
              <w:t>省级</w:t>
            </w:r>
          </w:p>
        </w:tc>
        <w:tc>
          <w:tcPr>
            <w:tcW w:w="258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严格落实国家《市场准入负面清单（2025年版）》，坚持“非禁即入、单外无单”，细化制定市、县两级许可准入事项清单，对许可准入事项实行规范化、流程化管理。依托“宜商南阳”“信用南阳”平台，开设“市场准入负面清单和效能评估”专栏，推动清单事项在线查询、隐性壁垒问题在线征集，实现清单内容“一键可查”、违规线索“一键可报”、准入效能“一键可评”。建立线索征集、核实整改、典型案例通报长效机制，常态化开展违背市场准入负面清单案例归集通报。到2026年底，确保实现清单事项在线查询率100%，隐性壁垒线索处置率100%，经营主体满意度90%以上。</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296"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市发展改革委</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296"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市市场监管局、商务局</w:t>
            </w:r>
          </w:p>
        </w:tc>
        <w:tc>
          <w:tcPr>
            <w:tcW w:w="351" w:type="pct"/>
            <w:tcBorders>
              <w:top w:val="single" w:color="000000" w:sz="4" w:space="0"/>
              <w:left w:val="single" w:color="000000" w:sz="4" w:space="0"/>
              <w:bottom w:val="single" w:color="000000" w:sz="4" w:space="0"/>
              <w:right w:val="single" w:color="000000" w:sz="4" w:space="0"/>
            </w:tcBorders>
            <w:vAlign w:val="center"/>
          </w:tcPr>
          <w:p>
            <w:pPr>
              <w:widowControl/>
              <w:spacing w:line="296"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2026年12月</w:t>
            </w:r>
          </w:p>
        </w:tc>
      </w:tr>
      <w:tr>
        <w:tblPrEx>
          <w:tblCellMar>
            <w:top w:w="0" w:type="dxa"/>
            <w:left w:w="57" w:type="dxa"/>
            <w:bottom w:w="0" w:type="dxa"/>
            <w:right w:w="57" w:type="dxa"/>
          </w:tblCellMar>
        </w:tblPrEx>
        <w:trPr>
          <w:cantSplit/>
          <w:trHeight w:val="567" w:hRule="atLeast"/>
          <w:jc w:val="center"/>
        </w:trPr>
        <w:tc>
          <w:tcPr>
            <w:tcW w:w="239" w:type="pct"/>
            <w:tcBorders>
              <w:top w:val="single" w:color="000000" w:sz="4" w:space="0"/>
              <w:left w:val="single" w:color="000000" w:sz="4" w:space="0"/>
              <w:bottom w:val="single" w:color="000000" w:sz="4" w:space="0"/>
              <w:right w:val="single" w:color="000000" w:sz="4" w:space="0"/>
            </w:tcBorders>
            <w:vAlign w:val="center"/>
          </w:tcPr>
          <w:p>
            <w:pPr>
              <w:widowControl/>
              <w:spacing w:line="296"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2</w:t>
            </w:r>
          </w:p>
        </w:tc>
        <w:tc>
          <w:tcPr>
            <w:tcW w:w="304" w:type="pct"/>
            <w:vMerge w:val="continue"/>
            <w:tcBorders>
              <w:left w:val="single" w:color="000000" w:sz="4" w:space="0"/>
              <w:bottom w:val="single" w:color="000000" w:sz="4" w:space="0"/>
              <w:right w:val="single" w:color="000000" w:sz="4" w:space="0"/>
            </w:tcBorders>
            <w:vAlign w:val="center"/>
          </w:tcPr>
          <w:p>
            <w:pPr>
              <w:widowControl/>
              <w:spacing w:line="296" w:lineRule="exact"/>
              <w:jc w:val="center"/>
              <w:rPr>
                <w:rFonts w:ascii="Times New Roman" w:hAnsi="Times New Roman" w:eastAsia="仿宋_GB2312" w:cs="仿宋_GB2312"/>
                <w:color w:val="000000"/>
                <w:sz w:val="24"/>
                <w:szCs w:val="24"/>
              </w:rPr>
            </w:pP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296" w:lineRule="exact"/>
              <w:jc w:val="center"/>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推行企业开办“电子证照</w:t>
            </w:r>
            <w:r>
              <w:rPr>
                <w:rStyle w:val="10"/>
                <w:rFonts w:hint="default" w:ascii="宋体" w:hAnsi="宋体" w:eastAsia="宋体" w:cs="宋体"/>
                <w:sz w:val="24"/>
                <w:szCs w:val="24"/>
                <w:lang w:bidi="ar"/>
              </w:rPr>
              <w:t>＋</w:t>
            </w:r>
            <w:r>
              <w:rPr>
                <w:rStyle w:val="10"/>
                <w:rFonts w:hint="default" w:ascii="Times New Roman" w:hAnsi="Times New Roman"/>
                <w:sz w:val="24"/>
                <w:szCs w:val="24"/>
                <w:lang w:bidi="ar"/>
              </w:rPr>
              <w:t>自助终端”双升级</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296" w:lineRule="exact"/>
              <w:jc w:val="center"/>
              <w:textAlignment w:val="center"/>
              <w:rPr>
                <w:rFonts w:ascii="Times New Roman" w:hAnsi="Times New Roman" w:eastAsia="仿宋_GB2312" w:cs="仿宋_GB2312"/>
                <w:color w:val="000000"/>
                <w:kern w:val="0"/>
                <w:sz w:val="24"/>
                <w:szCs w:val="24"/>
                <w:lang w:bidi="ar"/>
              </w:rPr>
            </w:pPr>
            <w:r>
              <w:rPr>
                <w:rFonts w:hint="eastAsia" w:ascii="Times New Roman" w:hAnsi="Times New Roman" w:eastAsia="仿宋_GB2312" w:cs="仿宋_GB2312"/>
                <w:color w:val="000000"/>
                <w:kern w:val="0"/>
                <w:sz w:val="24"/>
                <w:szCs w:val="24"/>
                <w:lang w:bidi="ar"/>
              </w:rPr>
              <w:t>省级</w:t>
            </w:r>
          </w:p>
        </w:tc>
        <w:tc>
          <w:tcPr>
            <w:tcW w:w="258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依托全市145类、490万张电子证照库，推动电子证照、电子印章、电子签名、电子材料“四电”在不动产登记、工程建设项目审批、公共资源交易、金融服务、公积金缴存等领域跨部门互通互认。创新推行“宛市监掌上查”智能查询系统，集成实时定位、地图导航、业务指引三大功能，动态展示全市智慧审批自助终端的分布点位、可办事项及忙闲状态，为企业、群众绘制“一刻钟办证圈”数字地图，实现个体登记、执照打印等高频业务“就近办、自助办、全天办”。到2026年底，电子印章发放率达85%以上，电子营业执照应用场景拓展至10个以上领域。</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296"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市市场监管局</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296"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市财政局、公共资源交易中心、行政审批政务信息管理局</w:t>
            </w:r>
          </w:p>
        </w:tc>
        <w:tc>
          <w:tcPr>
            <w:tcW w:w="351" w:type="pct"/>
            <w:tcBorders>
              <w:top w:val="single" w:color="000000" w:sz="4" w:space="0"/>
              <w:left w:val="single" w:color="000000" w:sz="4" w:space="0"/>
              <w:bottom w:val="single" w:color="000000" w:sz="4" w:space="0"/>
              <w:right w:val="single" w:color="000000" w:sz="4" w:space="0"/>
            </w:tcBorders>
            <w:vAlign w:val="center"/>
          </w:tcPr>
          <w:p>
            <w:pPr>
              <w:widowControl/>
              <w:spacing w:line="296"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2026年12月</w:t>
            </w:r>
          </w:p>
        </w:tc>
      </w:tr>
      <w:tr>
        <w:tblPrEx>
          <w:tblCellMar>
            <w:top w:w="0" w:type="dxa"/>
            <w:left w:w="57" w:type="dxa"/>
            <w:bottom w:w="0" w:type="dxa"/>
            <w:right w:w="57" w:type="dxa"/>
          </w:tblCellMar>
        </w:tblPrEx>
        <w:trPr>
          <w:cantSplit/>
          <w:trHeight w:val="567" w:hRule="atLeast"/>
          <w:jc w:val="center"/>
        </w:trPr>
        <w:tc>
          <w:tcPr>
            <w:tcW w:w="239"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3</w:t>
            </w:r>
          </w:p>
        </w:tc>
        <w:tc>
          <w:tcPr>
            <w:tcW w:w="304" w:type="pct"/>
            <w:vMerge w:val="restart"/>
            <w:tcBorders>
              <w:top w:val="single" w:color="000000" w:sz="4" w:space="0"/>
              <w:left w:val="single" w:color="000000" w:sz="4" w:space="0"/>
              <w:right w:val="single" w:color="000000" w:sz="4" w:space="0"/>
            </w:tcBorders>
            <w:vAlign w:val="center"/>
          </w:tcPr>
          <w:p>
            <w:pPr>
              <w:widowControl/>
              <w:spacing w:line="296" w:lineRule="exact"/>
              <w:jc w:val="center"/>
              <w:textAlignment w:val="center"/>
              <w:rPr>
                <w:rStyle w:val="10"/>
                <w:rFonts w:hint="default" w:ascii="Times New Roman" w:hAnsi="Times New Roman"/>
                <w:sz w:val="24"/>
                <w:szCs w:val="24"/>
                <w:lang w:bidi="ar"/>
              </w:rPr>
            </w:pPr>
            <w:r>
              <w:rPr>
                <w:rStyle w:val="10"/>
                <w:rFonts w:hint="default" w:ascii="Times New Roman" w:hAnsi="Times New Roman"/>
                <w:sz w:val="24"/>
                <w:szCs w:val="24"/>
                <w:lang w:bidi="ar"/>
              </w:rPr>
              <w:t>市场准入</w:t>
            </w:r>
          </w:p>
          <w:p>
            <w:pPr>
              <w:widowControl/>
              <w:spacing w:line="310" w:lineRule="exact"/>
              <w:jc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w:t>
            </w:r>
            <w:r>
              <w:rPr>
                <w:rStyle w:val="11"/>
                <w:rFonts w:hint="eastAsia" w:eastAsia="仿宋_GB2312" w:cs="仿宋_GB2312"/>
                <w:sz w:val="24"/>
                <w:szCs w:val="24"/>
                <w:lang w:bidi="ar"/>
              </w:rPr>
              <w:t>5</w:t>
            </w:r>
            <w:r>
              <w:rPr>
                <w:rStyle w:val="10"/>
                <w:rFonts w:hint="default" w:ascii="Times New Roman" w:hAnsi="Times New Roman"/>
                <w:sz w:val="24"/>
                <w:szCs w:val="24"/>
                <w:lang w:bidi="ar"/>
              </w:rPr>
              <w:t>项）</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推行住所登记“智能核验</w:t>
            </w:r>
            <w:r>
              <w:rPr>
                <w:rStyle w:val="10"/>
                <w:rFonts w:hint="default" w:ascii="宋体" w:hAnsi="宋体" w:eastAsia="宋体" w:cs="宋体"/>
                <w:sz w:val="24"/>
                <w:szCs w:val="24"/>
                <w:lang w:bidi="ar"/>
              </w:rPr>
              <w:t>＋</w:t>
            </w:r>
            <w:r>
              <w:rPr>
                <w:rStyle w:val="10"/>
                <w:rFonts w:hint="default" w:ascii="Times New Roman" w:hAnsi="Times New Roman"/>
                <w:sz w:val="24"/>
                <w:szCs w:val="24"/>
                <w:lang w:bidi="ar"/>
              </w:rPr>
              <w:t>免证办照”改革</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kern w:val="0"/>
                <w:sz w:val="24"/>
                <w:szCs w:val="24"/>
                <w:lang w:bidi="ar"/>
              </w:rPr>
            </w:pPr>
            <w:r>
              <w:rPr>
                <w:rFonts w:hint="eastAsia" w:ascii="Times New Roman" w:hAnsi="Times New Roman" w:eastAsia="仿宋_GB2312" w:cs="仿宋_GB2312"/>
                <w:color w:val="000000"/>
                <w:kern w:val="0"/>
                <w:sz w:val="24"/>
                <w:szCs w:val="24"/>
                <w:lang w:bidi="ar"/>
              </w:rPr>
              <w:t>省级</w:t>
            </w:r>
          </w:p>
        </w:tc>
        <w:tc>
          <w:tcPr>
            <w:tcW w:w="258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以不动产单元号为索引，创新建立“产权人申报—部门核验—平台备案”三级联动标准化住所数据库，横向打通不动产登记、门牌、市场监管等多源数据，实现地址信息自动比对、实时反馈、在线生成。对已备案的产业园区、商业街区，入驻商户凭租赁合同即可“免证办照”，系统自动调取备案信息核验合法性，替代不动产权证、产权人身份证明等材料。对纳入负面清单管理的风险地址，系统自动拦截并预警，从源头防范虚假注册。到2026年底，力争覆盖全市主要产业园区和商业街区，实现住所核验效率提升80%以上，重复提交率下降90%以上。</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市不动产登记服务中心、市场监管局</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市公安局、行政审批政务信息管理局</w:t>
            </w:r>
          </w:p>
        </w:tc>
        <w:tc>
          <w:tcPr>
            <w:tcW w:w="351"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2026年12月</w:t>
            </w:r>
          </w:p>
        </w:tc>
      </w:tr>
      <w:tr>
        <w:tblPrEx>
          <w:tblCellMar>
            <w:top w:w="0" w:type="dxa"/>
            <w:left w:w="57" w:type="dxa"/>
            <w:bottom w:w="0" w:type="dxa"/>
            <w:right w:w="57" w:type="dxa"/>
          </w:tblCellMar>
        </w:tblPrEx>
        <w:trPr>
          <w:cantSplit/>
          <w:trHeight w:val="567" w:hRule="atLeast"/>
          <w:jc w:val="center"/>
        </w:trPr>
        <w:tc>
          <w:tcPr>
            <w:tcW w:w="239"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4</w:t>
            </w:r>
          </w:p>
        </w:tc>
        <w:tc>
          <w:tcPr>
            <w:tcW w:w="304" w:type="pct"/>
            <w:vMerge w:val="continue"/>
            <w:tcBorders>
              <w:left w:val="single" w:color="000000" w:sz="4" w:space="0"/>
              <w:bottom w:val="single" w:color="000000" w:sz="4" w:space="0"/>
              <w:right w:val="single" w:color="000000" w:sz="4" w:space="0"/>
            </w:tcBorders>
            <w:vAlign w:val="center"/>
          </w:tcPr>
          <w:p>
            <w:pPr>
              <w:widowControl/>
              <w:spacing w:line="310" w:lineRule="exact"/>
              <w:jc w:val="center"/>
              <w:rPr>
                <w:rFonts w:ascii="Times New Roman" w:hAnsi="Times New Roman" w:eastAsia="仿宋_GB2312" w:cs="仿宋_GB2312"/>
                <w:color w:val="000000"/>
                <w:sz w:val="24"/>
                <w:szCs w:val="24"/>
              </w:rPr>
            </w:pP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打造“一件事”集成服务南阳样板</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Style w:val="10"/>
                <w:rFonts w:hint="default" w:ascii="Times New Roman" w:hAnsi="Times New Roman"/>
                <w:sz w:val="24"/>
                <w:szCs w:val="24"/>
                <w:lang w:bidi="ar"/>
              </w:rPr>
            </w:pPr>
            <w:r>
              <w:rPr>
                <w:rStyle w:val="10"/>
                <w:rFonts w:hint="default" w:ascii="Times New Roman" w:hAnsi="Times New Roman"/>
                <w:sz w:val="24"/>
                <w:szCs w:val="24"/>
                <w:lang w:bidi="ar"/>
              </w:rPr>
              <w:t>省级</w:t>
            </w:r>
          </w:p>
        </w:tc>
        <w:tc>
          <w:tcPr>
            <w:tcW w:w="258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在全面落实国家、省“高效办成一件事”重点事项基础上，持续优化企业信息变更、开办运输企业、信用修复等已上线事项的服务体验，提升办理质效。聚焦南阳特色产业，分批推出开办中医药企业、开玉器店、开办艾草制品加工企业等一批南阳特色“一件事”集成服务场景，压缩办理时限70%以上。持续优化“爱南阳”AI智能客服，拓展政策咨询、办事指南、投诉建议等核心服务场景，精准识别复杂咨询需求，为企业和群众提供更加精准、高效的政策咨询服务。到2028年底，按时办结率稳定在99%以上，打造20项左右具有南阳辨识度的“一件事”服务品牌。</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市行政审批政务信息管理局、行政审批服务中心</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各相关职能部门</w:t>
            </w:r>
          </w:p>
        </w:tc>
        <w:tc>
          <w:tcPr>
            <w:tcW w:w="351"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2028年12月</w:t>
            </w:r>
          </w:p>
        </w:tc>
      </w:tr>
      <w:tr>
        <w:tblPrEx>
          <w:tblCellMar>
            <w:top w:w="0" w:type="dxa"/>
            <w:left w:w="57" w:type="dxa"/>
            <w:bottom w:w="0" w:type="dxa"/>
            <w:right w:w="57" w:type="dxa"/>
          </w:tblCellMar>
        </w:tblPrEx>
        <w:trPr>
          <w:cantSplit/>
          <w:trHeight w:val="567" w:hRule="atLeast"/>
          <w:jc w:val="center"/>
        </w:trPr>
        <w:tc>
          <w:tcPr>
            <w:tcW w:w="239"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5</w:t>
            </w:r>
          </w:p>
        </w:tc>
        <w:tc>
          <w:tcPr>
            <w:tcW w:w="304" w:type="pct"/>
            <w:tcBorders>
              <w:top w:val="single" w:color="000000" w:sz="4" w:space="0"/>
              <w:left w:val="single" w:color="000000" w:sz="4" w:space="0"/>
              <w:bottom w:val="single" w:color="000000" w:sz="4" w:space="0"/>
              <w:right w:val="single" w:color="000000" w:sz="4" w:space="0"/>
            </w:tcBorders>
            <w:vAlign w:val="center"/>
          </w:tcPr>
          <w:p>
            <w:pPr>
              <w:widowControl/>
              <w:spacing w:line="296" w:lineRule="exact"/>
              <w:jc w:val="center"/>
              <w:textAlignment w:val="center"/>
              <w:rPr>
                <w:rStyle w:val="10"/>
                <w:rFonts w:hint="default" w:ascii="Times New Roman" w:hAnsi="Times New Roman"/>
                <w:sz w:val="24"/>
                <w:szCs w:val="24"/>
                <w:lang w:bidi="ar"/>
              </w:rPr>
            </w:pPr>
            <w:r>
              <w:rPr>
                <w:rStyle w:val="10"/>
                <w:rFonts w:hint="default" w:ascii="Times New Roman" w:hAnsi="Times New Roman"/>
                <w:sz w:val="24"/>
                <w:szCs w:val="24"/>
                <w:lang w:bidi="ar"/>
              </w:rPr>
              <w:t>市场准入</w:t>
            </w:r>
          </w:p>
          <w:p>
            <w:pPr>
              <w:widowControl/>
              <w:spacing w:line="310" w:lineRule="exact"/>
              <w:jc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w:t>
            </w:r>
            <w:r>
              <w:rPr>
                <w:rStyle w:val="11"/>
                <w:rFonts w:hint="eastAsia" w:eastAsia="仿宋_GB2312" w:cs="仿宋_GB2312"/>
                <w:sz w:val="24"/>
                <w:szCs w:val="24"/>
                <w:lang w:bidi="ar"/>
              </w:rPr>
              <w:t>5</w:t>
            </w:r>
            <w:r>
              <w:rPr>
                <w:rStyle w:val="10"/>
                <w:rFonts w:hint="default" w:ascii="Times New Roman" w:hAnsi="Times New Roman"/>
                <w:sz w:val="24"/>
                <w:szCs w:val="24"/>
                <w:lang w:bidi="ar"/>
              </w:rPr>
              <w:t>项）</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推行市政公用“共享营业厅”集成服务</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kern w:val="0"/>
                <w:sz w:val="24"/>
                <w:szCs w:val="24"/>
                <w:lang w:bidi="ar"/>
              </w:rPr>
            </w:pPr>
            <w:r>
              <w:rPr>
                <w:rFonts w:hint="eastAsia" w:ascii="Times New Roman" w:hAnsi="Times New Roman" w:eastAsia="仿宋_GB2312" w:cs="仿宋_GB2312"/>
                <w:color w:val="000000"/>
                <w:kern w:val="0"/>
                <w:sz w:val="24"/>
                <w:szCs w:val="24"/>
                <w:lang w:bidi="ar"/>
              </w:rPr>
              <w:t>省级</w:t>
            </w:r>
          </w:p>
        </w:tc>
        <w:tc>
          <w:tcPr>
            <w:tcW w:w="258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整合水、电、气、热、网等专营企业服务资源，打破传统“各负其责、功能单一”的服务壁垒，通过物理空间融合与服务流程重构，推动独立营业厅升级为“共享营业厅”，实现联合报装、过户更名、缴费查询等业务“一窗受理、无差别办理”，让企业群众“进一次门、办多家事”。打通各专营企业业务系统，推动水电气热网数据后台“逻辑统一、一库共享”，推出“联合账单”一站式缴费、分项查看、合并支付等功能，同步实现“欠费不停供”等纾困政策在线申请。到2028年底，建成300个左右“共享营业厅”，构建“15分钟市政公用服务圈”。</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市城市管理局</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w:t>
            </w:r>
          </w:p>
        </w:tc>
        <w:tc>
          <w:tcPr>
            <w:tcW w:w="351"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2028年12月</w:t>
            </w:r>
          </w:p>
        </w:tc>
      </w:tr>
      <w:tr>
        <w:tblPrEx>
          <w:tblCellMar>
            <w:top w:w="0" w:type="dxa"/>
            <w:left w:w="57" w:type="dxa"/>
            <w:bottom w:w="0" w:type="dxa"/>
            <w:right w:w="57" w:type="dxa"/>
          </w:tblCellMar>
        </w:tblPrEx>
        <w:trPr>
          <w:cantSplit/>
          <w:trHeight w:val="567" w:hRule="atLeast"/>
          <w:jc w:val="center"/>
        </w:trPr>
        <w:tc>
          <w:tcPr>
            <w:tcW w:w="239"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6</w:t>
            </w:r>
          </w:p>
        </w:tc>
        <w:tc>
          <w:tcPr>
            <w:tcW w:w="304"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要素保障（</w:t>
            </w:r>
            <w:r>
              <w:rPr>
                <w:rStyle w:val="11"/>
                <w:rFonts w:hint="eastAsia" w:eastAsia="仿宋_GB2312" w:cs="仿宋_GB2312"/>
                <w:sz w:val="24"/>
                <w:szCs w:val="24"/>
                <w:lang w:bidi="ar"/>
              </w:rPr>
              <w:t>5</w:t>
            </w:r>
            <w:r>
              <w:rPr>
                <w:rStyle w:val="10"/>
                <w:rFonts w:hint="default" w:ascii="Times New Roman" w:hAnsi="Times New Roman"/>
                <w:sz w:val="24"/>
                <w:szCs w:val="24"/>
                <w:lang w:bidi="ar"/>
              </w:rPr>
              <w:t>项）</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探索</w:t>
            </w:r>
            <w:r>
              <w:rPr>
                <w:rStyle w:val="11"/>
                <w:rFonts w:hint="eastAsia" w:eastAsia="仿宋_GB2312" w:cs="仿宋_GB2312"/>
                <w:sz w:val="24"/>
                <w:szCs w:val="24"/>
                <w:lang w:bidi="ar"/>
              </w:rPr>
              <w:t>“</w:t>
            </w:r>
            <w:r>
              <w:rPr>
                <w:rStyle w:val="10"/>
                <w:rFonts w:hint="default" w:ascii="Times New Roman" w:hAnsi="Times New Roman"/>
                <w:sz w:val="24"/>
                <w:szCs w:val="24"/>
                <w:lang w:bidi="ar"/>
              </w:rPr>
              <w:t>土地</w:t>
            </w:r>
            <w:r>
              <w:rPr>
                <w:rStyle w:val="10"/>
                <w:rFonts w:hint="default" w:ascii="宋体" w:hAnsi="宋体" w:eastAsia="宋体" w:cs="宋体"/>
                <w:sz w:val="24"/>
                <w:szCs w:val="24"/>
                <w:lang w:bidi="ar"/>
              </w:rPr>
              <w:t>＋</w:t>
            </w:r>
            <w:r>
              <w:rPr>
                <w:rStyle w:val="11"/>
                <w:rFonts w:hint="eastAsia" w:eastAsia="仿宋_GB2312" w:cs="仿宋_GB2312"/>
                <w:sz w:val="24"/>
                <w:szCs w:val="24"/>
                <w:lang w:bidi="ar"/>
              </w:rPr>
              <w:t>”</w:t>
            </w:r>
            <w:r>
              <w:rPr>
                <w:rStyle w:val="10"/>
                <w:rFonts w:hint="default" w:ascii="Times New Roman" w:hAnsi="Times New Roman"/>
                <w:sz w:val="24"/>
                <w:szCs w:val="24"/>
                <w:lang w:bidi="ar"/>
              </w:rPr>
              <w:t>自然资源资产组合供应模式</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kern w:val="0"/>
                <w:sz w:val="24"/>
                <w:szCs w:val="24"/>
                <w:lang w:bidi="ar"/>
              </w:rPr>
            </w:pPr>
            <w:r>
              <w:rPr>
                <w:rFonts w:hint="eastAsia" w:ascii="Times New Roman" w:hAnsi="Times New Roman" w:eastAsia="仿宋_GB2312" w:cs="仿宋_GB2312"/>
                <w:color w:val="000000"/>
                <w:kern w:val="0"/>
                <w:sz w:val="24"/>
                <w:szCs w:val="24"/>
                <w:lang w:bidi="ar"/>
              </w:rPr>
              <w:t>省级</w:t>
            </w:r>
          </w:p>
        </w:tc>
        <w:tc>
          <w:tcPr>
            <w:tcW w:w="258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探索“土地</w:t>
            </w:r>
            <w:r>
              <w:rPr>
                <w:rStyle w:val="10"/>
                <w:rFonts w:hint="default" w:ascii="宋体" w:hAnsi="宋体" w:eastAsia="宋体" w:cs="宋体"/>
                <w:sz w:val="24"/>
                <w:szCs w:val="24"/>
                <w:lang w:bidi="ar"/>
              </w:rPr>
              <w:t>＋</w:t>
            </w:r>
            <w:r>
              <w:rPr>
                <w:rStyle w:val="10"/>
                <w:rFonts w:hint="default" w:ascii="Times New Roman" w:hAnsi="Times New Roman"/>
                <w:sz w:val="24"/>
                <w:szCs w:val="24"/>
                <w:lang w:bidi="ar"/>
              </w:rPr>
              <w:t>矿产”“国有+集体”等多要素自然资源资产组合供应，将土地与矿产、生态、林权等资源打包配置，形成高质量“资产包”，实现跨资源协同配置、整体开发。重点围绕矿地融合发展区域，推行“矿地一体”统一配置模式，促进资源综合利用和价值最大化。建立低效用地“一地一策”分类处置机制，对批而未供、闲置低效用地统一建立数据库，加快推进“标准地”指标和“承诺制”审批。到2028年，累计盘活批而未供土地10000亩以上，闲置土地800亩以上，低效工业用地500亩以上，工业用地标准地供应达到100%，形成自然资源资产组合供应的实物案例。</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市自然资源和规划局</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市不动产登记服务中心</w:t>
            </w:r>
          </w:p>
        </w:tc>
        <w:tc>
          <w:tcPr>
            <w:tcW w:w="351"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2028年12月</w:t>
            </w:r>
          </w:p>
        </w:tc>
      </w:tr>
      <w:tr>
        <w:tblPrEx>
          <w:tblCellMar>
            <w:top w:w="0" w:type="dxa"/>
            <w:left w:w="57" w:type="dxa"/>
            <w:bottom w:w="0" w:type="dxa"/>
            <w:right w:w="57" w:type="dxa"/>
          </w:tblCellMar>
        </w:tblPrEx>
        <w:trPr>
          <w:cantSplit/>
          <w:trHeight w:val="567" w:hRule="atLeast"/>
          <w:jc w:val="center"/>
        </w:trPr>
        <w:tc>
          <w:tcPr>
            <w:tcW w:w="239"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7</w:t>
            </w:r>
          </w:p>
        </w:tc>
        <w:tc>
          <w:tcPr>
            <w:tcW w:w="304" w:type="pct"/>
            <w:vMerge w:val="restart"/>
            <w:tcBorders>
              <w:top w:val="single" w:color="000000" w:sz="4" w:space="0"/>
              <w:left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要素保障（</w:t>
            </w:r>
            <w:r>
              <w:rPr>
                <w:rStyle w:val="11"/>
                <w:rFonts w:hint="eastAsia" w:eastAsia="仿宋_GB2312" w:cs="仿宋_GB2312"/>
                <w:sz w:val="24"/>
                <w:szCs w:val="24"/>
                <w:lang w:bidi="ar"/>
              </w:rPr>
              <w:t>5</w:t>
            </w:r>
            <w:r>
              <w:rPr>
                <w:rStyle w:val="10"/>
                <w:rFonts w:hint="default" w:ascii="Times New Roman" w:hAnsi="Times New Roman"/>
                <w:sz w:val="24"/>
                <w:szCs w:val="24"/>
                <w:lang w:bidi="ar"/>
              </w:rPr>
              <w:t>项）</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建设“AI就业</w:t>
            </w:r>
            <w:r>
              <w:rPr>
                <w:rStyle w:val="10"/>
                <w:rFonts w:hint="default" w:ascii="宋体" w:hAnsi="宋体" w:eastAsia="宋体" w:cs="宋体"/>
                <w:sz w:val="24"/>
                <w:szCs w:val="24"/>
                <w:lang w:bidi="ar"/>
              </w:rPr>
              <w:t>＋</w:t>
            </w:r>
            <w:r>
              <w:rPr>
                <w:rStyle w:val="10"/>
                <w:rFonts w:hint="default" w:ascii="Times New Roman" w:hAnsi="Times New Roman"/>
                <w:sz w:val="24"/>
                <w:szCs w:val="24"/>
                <w:lang w:bidi="ar"/>
              </w:rPr>
              <w:t>创业首站”智慧服务平台</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Style w:val="10"/>
                <w:rFonts w:hint="default" w:ascii="Times New Roman" w:hAnsi="Times New Roman"/>
                <w:sz w:val="24"/>
                <w:szCs w:val="24"/>
                <w:lang w:bidi="ar"/>
              </w:rPr>
            </w:pPr>
            <w:r>
              <w:rPr>
                <w:rStyle w:val="10"/>
                <w:rFonts w:hint="default" w:ascii="Times New Roman" w:hAnsi="Times New Roman"/>
                <w:sz w:val="24"/>
                <w:szCs w:val="24"/>
                <w:lang w:bidi="ar"/>
              </w:rPr>
              <w:t>省级</w:t>
            </w:r>
          </w:p>
        </w:tc>
        <w:tc>
          <w:tcPr>
            <w:tcW w:w="258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依托“宛美就业—南阳智慧就业平台”，在全市布设200台AI就业互动终端，集成AI简历优化、虚拟面试、人岗智能匹配等功能。求职者在线提交简历后，系统自动解析目标岗位要求，生成“一岗一策”优化建议；通过多场景虚拟面试实时评估，生成改进报告；基于多维度数据构建全息画像，精准推送适配岗位。依托全市35家“星创天地”，探索建设“创业首站”和“创业导师矩阵”，提供创业辅导、政策支持及帮办服务。到2028年底，累计服务劳动者300万人次左右，响应效率提升90%以上，实现就业服务从“人找岗”向“岗找人”转变。</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市人力资源社会保障局</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w:t>
            </w:r>
          </w:p>
        </w:tc>
        <w:tc>
          <w:tcPr>
            <w:tcW w:w="351"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2028年12月</w:t>
            </w:r>
          </w:p>
        </w:tc>
      </w:tr>
      <w:tr>
        <w:tblPrEx>
          <w:tblCellMar>
            <w:top w:w="0" w:type="dxa"/>
            <w:left w:w="57" w:type="dxa"/>
            <w:bottom w:w="0" w:type="dxa"/>
            <w:right w:w="57" w:type="dxa"/>
          </w:tblCellMar>
        </w:tblPrEx>
        <w:trPr>
          <w:cantSplit/>
          <w:trHeight w:val="567" w:hRule="atLeast"/>
          <w:jc w:val="center"/>
        </w:trPr>
        <w:tc>
          <w:tcPr>
            <w:tcW w:w="239"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8</w:t>
            </w:r>
          </w:p>
        </w:tc>
        <w:tc>
          <w:tcPr>
            <w:tcW w:w="304" w:type="pct"/>
            <w:vMerge w:val="continue"/>
            <w:tcBorders>
              <w:left w:val="single" w:color="000000" w:sz="4" w:space="0"/>
              <w:bottom w:val="single" w:color="000000" w:sz="4" w:space="0"/>
              <w:right w:val="single" w:color="000000" w:sz="4" w:space="0"/>
            </w:tcBorders>
            <w:vAlign w:val="center"/>
          </w:tcPr>
          <w:p>
            <w:pPr>
              <w:widowControl/>
              <w:spacing w:line="310" w:lineRule="exact"/>
              <w:jc w:val="center"/>
              <w:rPr>
                <w:rFonts w:ascii="Times New Roman" w:hAnsi="Times New Roman" w:eastAsia="仿宋_GB2312" w:cs="仿宋_GB2312"/>
                <w:color w:val="000000"/>
                <w:sz w:val="24"/>
                <w:szCs w:val="24"/>
              </w:rPr>
            </w:pP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推进数据要素</w:t>
            </w:r>
            <w:r>
              <w:rPr>
                <w:rStyle w:val="11"/>
                <w:rFonts w:hint="eastAsia" w:eastAsia="仿宋_GB2312" w:cs="仿宋_GB2312"/>
                <w:sz w:val="24"/>
                <w:szCs w:val="24"/>
                <w:lang w:bidi="ar"/>
              </w:rPr>
              <w:t>“</w:t>
            </w:r>
            <w:r>
              <w:rPr>
                <w:rStyle w:val="10"/>
                <w:rFonts w:hint="default" w:ascii="Times New Roman" w:hAnsi="Times New Roman"/>
                <w:sz w:val="24"/>
                <w:szCs w:val="24"/>
                <w:lang w:bidi="ar"/>
              </w:rPr>
              <w:t>授权运营</w:t>
            </w:r>
            <w:r>
              <w:rPr>
                <w:rStyle w:val="10"/>
                <w:rFonts w:hint="default" w:ascii="宋体" w:hAnsi="宋体" w:eastAsia="宋体" w:cs="宋体"/>
                <w:sz w:val="24"/>
                <w:szCs w:val="24"/>
                <w:lang w:bidi="ar"/>
              </w:rPr>
              <w:t>＋</w:t>
            </w:r>
            <w:r>
              <w:rPr>
                <w:rStyle w:val="10"/>
                <w:rFonts w:hint="default" w:ascii="Times New Roman" w:hAnsi="Times New Roman"/>
                <w:sz w:val="24"/>
                <w:szCs w:val="24"/>
                <w:lang w:bidi="ar"/>
              </w:rPr>
              <w:t>场景应用</w:t>
            </w:r>
            <w:r>
              <w:rPr>
                <w:rStyle w:val="11"/>
                <w:rFonts w:hint="eastAsia" w:eastAsia="仿宋_GB2312" w:cs="仿宋_GB2312"/>
                <w:sz w:val="24"/>
                <w:szCs w:val="24"/>
                <w:lang w:bidi="ar"/>
              </w:rPr>
              <w:t>”</w:t>
            </w:r>
            <w:r>
              <w:rPr>
                <w:rStyle w:val="10"/>
                <w:rFonts w:hint="default" w:ascii="Times New Roman" w:hAnsi="Times New Roman"/>
                <w:sz w:val="24"/>
                <w:szCs w:val="24"/>
                <w:lang w:bidi="ar"/>
              </w:rPr>
              <w:t>改革</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Style w:val="10"/>
                <w:rFonts w:hint="default" w:ascii="Times New Roman" w:hAnsi="Times New Roman"/>
                <w:sz w:val="24"/>
                <w:szCs w:val="24"/>
                <w:lang w:bidi="ar"/>
              </w:rPr>
            </w:pPr>
            <w:r>
              <w:rPr>
                <w:rStyle w:val="10"/>
                <w:rFonts w:hint="default" w:ascii="Times New Roman" w:hAnsi="Times New Roman"/>
                <w:sz w:val="24"/>
                <w:szCs w:val="24"/>
                <w:lang w:bidi="ar"/>
              </w:rPr>
              <w:t>省级</w:t>
            </w:r>
          </w:p>
        </w:tc>
        <w:tc>
          <w:tcPr>
            <w:tcW w:w="258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依托河南省国家数据要素综合试验区省级先行区和省级数据标注基地建设，聚焦智慧养殖、玉石玉雕、中医药等特色产业，打造行业高质量数据集，推进公共数据与行业数据融合开发。‌依托已上线的公共数据运营服务平台和郑州数据交易中心南阳分中心，积极推进典型应用场景的授权运营工作。加快推动“信用</w:t>
            </w:r>
            <w:r>
              <w:rPr>
                <w:rStyle w:val="10"/>
                <w:rFonts w:hint="default" w:ascii="宋体" w:hAnsi="宋体" w:eastAsia="宋体" w:cs="宋体"/>
                <w:sz w:val="24"/>
                <w:szCs w:val="24"/>
                <w:lang w:bidi="ar"/>
              </w:rPr>
              <w:t>＋</w:t>
            </w:r>
            <w:r>
              <w:rPr>
                <w:rStyle w:val="10"/>
                <w:rFonts w:hint="default" w:ascii="Times New Roman" w:hAnsi="Times New Roman"/>
                <w:sz w:val="24"/>
                <w:szCs w:val="24"/>
                <w:lang w:bidi="ar"/>
              </w:rPr>
              <w:t>数智”省级数据资源开发利用试点建设，推动数据产品进场交易，探索数据资产化路径。到2027年底，打造行业高质量数据集5个以上，创新数据应用场景超过10个，培育数据要素市场主体20家以上。</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市行政审批政务信息管理局</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市发展改革委</w:t>
            </w:r>
          </w:p>
        </w:tc>
        <w:tc>
          <w:tcPr>
            <w:tcW w:w="351"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2027年12月</w:t>
            </w:r>
          </w:p>
        </w:tc>
      </w:tr>
      <w:tr>
        <w:tblPrEx>
          <w:tblCellMar>
            <w:top w:w="0" w:type="dxa"/>
            <w:left w:w="57" w:type="dxa"/>
            <w:bottom w:w="0" w:type="dxa"/>
            <w:right w:w="57" w:type="dxa"/>
          </w:tblCellMar>
        </w:tblPrEx>
        <w:trPr>
          <w:cantSplit/>
          <w:trHeight w:val="567" w:hRule="atLeast"/>
          <w:jc w:val="center"/>
        </w:trPr>
        <w:tc>
          <w:tcPr>
            <w:tcW w:w="239"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9</w:t>
            </w:r>
          </w:p>
        </w:tc>
        <w:tc>
          <w:tcPr>
            <w:tcW w:w="304" w:type="pct"/>
            <w:vMerge w:val="restart"/>
            <w:tcBorders>
              <w:top w:val="single" w:color="000000" w:sz="4" w:space="0"/>
              <w:left w:val="single" w:color="000000" w:sz="4" w:space="0"/>
              <w:right w:val="single" w:color="000000" w:sz="4" w:space="0"/>
            </w:tcBorders>
            <w:vAlign w:val="center"/>
          </w:tcPr>
          <w:p>
            <w:pPr>
              <w:widowControl/>
              <w:spacing w:line="310" w:lineRule="exact"/>
              <w:jc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要素保障（</w:t>
            </w:r>
            <w:r>
              <w:rPr>
                <w:rStyle w:val="11"/>
                <w:rFonts w:hint="eastAsia" w:eastAsia="仿宋_GB2312" w:cs="仿宋_GB2312"/>
                <w:sz w:val="24"/>
                <w:szCs w:val="24"/>
                <w:lang w:bidi="ar"/>
              </w:rPr>
              <w:t>5</w:t>
            </w:r>
            <w:r>
              <w:rPr>
                <w:rStyle w:val="10"/>
                <w:rFonts w:hint="default" w:ascii="Times New Roman" w:hAnsi="Times New Roman"/>
                <w:sz w:val="24"/>
                <w:szCs w:val="24"/>
                <w:lang w:bidi="ar"/>
              </w:rPr>
              <w:t>项）</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推行要素成本“透明</w:t>
            </w:r>
            <w:r>
              <w:rPr>
                <w:rStyle w:val="10"/>
                <w:rFonts w:hint="default" w:ascii="宋体" w:hAnsi="宋体" w:eastAsia="宋体" w:cs="宋体"/>
                <w:sz w:val="24"/>
                <w:szCs w:val="24"/>
                <w:lang w:bidi="ar"/>
              </w:rPr>
              <w:t>＋</w:t>
            </w:r>
            <w:r>
              <w:rPr>
                <w:rFonts w:hint="eastAsia" w:ascii="Times New Roman" w:hAnsi="Times New Roman" w:eastAsia="仿宋_GB2312" w:cs="仿宋_GB2312"/>
                <w:color w:val="000000"/>
                <w:kern w:val="0"/>
                <w:sz w:val="24"/>
                <w:szCs w:val="24"/>
                <w:lang w:bidi="ar"/>
              </w:rPr>
              <w:t>竞争”监测机制。</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kern w:val="0"/>
                <w:sz w:val="24"/>
                <w:szCs w:val="24"/>
                <w:lang w:bidi="ar"/>
              </w:rPr>
            </w:pPr>
            <w:r>
              <w:rPr>
                <w:rFonts w:hint="eastAsia" w:ascii="Times New Roman" w:hAnsi="Times New Roman" w:eastAsia="仿宋_GB2312" w:cs="仿宋_GB2312"/>
                <w:color w:val="000000"/>
                <w:kern w:val="0"/>
                <w:sz w:val="24"/>
                <w:szCs w:val="24"/>
                <w:lang w:bidi="ar"/>
              </w:rPr>
              <w:t>省级</w:t>
            </w:r>
          </w:p>
        </w:tc>
        <w:tc>
          <w:tcPr>
            <w:tcW w:w="258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建立成本信息监测机制，常态化监测并向社会公布各类要素价格水平，提高价格透明度。引导工业园区与供水、供气、供电企业积极对接，进一步降低企业用能成本。指导供能企业优化服务流程，加快源网荷储一体化项目建设，鼓励企业利用周边风光资源建设分布式能源，推广“错峰用电”等市场化降本模式。推动西气东输三线西峡分输站与地方管网接驳，缩短输气距离，拓宽企业气源选择空间。到2027年底，全市工业用水、用气价格进入全省较低水平，建成源网荷储一体化项目70个以上，降低用电成本1.5亿元以上。</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市发展改革委</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w:t>
            </w:r>
          </w:p>
        </w:tc>
        <w:tc>
          <w:tcPr>
            <w:tcW w:w="351"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2027年12月</w:t>
            </w:r>
          </w:p>
        </w:tc>
      </w:tr>
      <w:tr>
        <w:tblPrEx>
          <w:tblCellMar>
            <w:top w:w="0" w:type="dxa"/>
            <w:left w:w="57" w:type="dxa"/>
            <w:bottom w:w="0" w:type="dxa"/>
            <w:right w:w="57" w:type="dxa"/>
          </w:tblCellMar>
        </w:tblPrEx>
        <w:trPr>
          <w:cantSplit/>
          <w:trHeight w:val="567" w:hRule="atLeast"/>
          <w:jc w:val="center"/>
        </w:trPr>
        <w:tc>
          <w:tcPr>
            <w:tcW w:w="239"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10</w:t>
            </w:r>
          </w:p>
        </w:tc>
        <w:tc>
          <w:tcPr>
            <w:tcW w:w="304" w:type="pct"/>
            <w:vMerge w:val="continue"/>
            <w:tcBorders>
              <w:left w:val="single" w:color="000000" w:sz="4" w:space="0"/>
              <w:bottom w:val="single" w:color="000000" w:sz="4" w:space="0"/>
              <w:right w:val="single" w:color="000000" w:sz="4" w:space="0"/>
            </w:tcBorders>
            <w:vAlign w:val="center"/>
          </w:tcPr>
          <w:p>
            <w:pPr>
              <w:widowControl/>
              <w:spacing w:line="310" w:lineRule="exact"/>
              <w:jc w:val="center"/>
              <w:rPr>
                <w:rFonts w:ascii="Times New Roman" w:hAnsi="Times New Roman" w:eastAsia="仿宋_GB2312" w:cs="仿宋_GB2312"/>
                <w:color w:val="000000"/>
                <w:sz w:val="24"/>
                <w:szCs w:val="24"/>
              </w:rPr>
            </w:pP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探索工业项目</w:t>
            </w:r>
            <w:r>
              <w:rPr>
                <w:rStyle w:val="11"/>
                <w:rFonts w:hint="eastAsia" w:eastAsia="仿宋_GB2312" w:cs="仿宋_GB2312"/>
                <w:sz w:val="24"/>
                <w:szCs w:val="24"/>
                <w:lang w:bidi="ar"/>
              </w:rPr>
              <w:t>“</w:t>
            </w:r>
            <w:r>
              <w:rPr>
                <w:rStyle w:val="10"/>
                <w:rFonts w:hint="default" w:ascii="Times New Roman" w:hAnsi="Times New Roman"/>
                <w:sz w:val="24"/>
                <w:szCs w:val="24"/>
                <w:lang w:bidi="ar"/>
              </w:rPr>
              <w:t>建成即使用</w:t>
            </w:r>
            <w:r>
              <w:rPr>
                <w:rStyle w:val="11"/>
                <w:rFonts w:hint="eastAsia" w:eastAsia="仿宋_GB2312" w:cs="仿宋_GB2312"/>
                <w:sz w:val="24"/>
                <w:szCs w:val="24"/>
                <w:lang w:bidi="ar"/>
              </w:rPr>
              <w:t>”</w:t>
            </w:r>
            <w:r>
              <w:rPr>
                <w:rStyle w:val="10"/>
                <w:rFonts w:hint="default" w:ascii="Times New Roman" w:hAnsi="Times New Roman"/>
                <w:sz w:val="24"/>
                <w:szCs w:val="24"/>
                <w:lang w:bidi="ar"/>
              </w:rPr>
              <w:t>集成改革</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Style w:val="10"/>
                <w:rFonts w:hint="default" w:ascii="Times New Roman" w:hAnsi="Times New Roman"/>
                <w:sz w:val="24"/>
                <w:szCs w:val="24"/>
                <w:lang w:bidi="ar"/>
              </w:rPr>
            </w:pPr>
            <w:r>
              <w:rPr>
                <w:rStyle w:val="10"/>
                <w:rFonts w:hint="default" w:ascii="Times New Roman" w:hAnsi="Times New Roman"/>
                <w:sz w:val="24"/>
                <w:szCs w:val="24"/>
                <w:lang w:bidi="ar"/>
              </w:rPr>
              <w:t>省级</w:t>
            </w:r>
          </w:p>
        </w:tc>
        <w:tc>
          <w:tcPr>
            <w:tcW w:w="258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建立“验前辅导、五方验收、承诺即入、联合闭环”服务机制。工业厂房具备竣工验收条件后，建设单位可申请验前辅导，住建部门牵头相关单位7日内联合上门，一次性告知问题清单。完成五方验收后，企业提交《竣工验收备案办理承诺书》及《提前安装调试设备承诺书》，承诺限期办理备案手续且联合验收前不投产，经审核同意即可提前安装调试设备，设备安装期间同步申请联合验收。验收实行“一窗受理、并联验收、限时办结”，合格后即时出具联合验收意见书。到2027年底，新建工业厂房“建成即使用”模式覆盖全市主要工业园区，竣工验收备案平均时限压缩至10个工作日内，企业投产周期平均缩短2个月以上。</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市住房城乡建设局</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市自然资源和规划局、国动办、国家安全局、气象局、不动产登记服务中心</w:t>
            </w:r>
          </w:p>
        </w:tc>
        <w:tc>
          <w:tcPr>
            <w:tcW w:w="351"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2027年12月</w:t>
            </w:r>
          </w:p>
        </w:tc>
      </w:tr>
      <w:tr>
        <w:tblPrEx>
          <w:tblCellMar>
            <w:top w:w="0" w:type="dxa"/>
            <w:left w:w="57" w:type="dxa"/>
            <w:bottom w:w="0" w:type="dxa"/>
            <w:right w:w="57" w:type="dxa"/>
          </w:tblCellMar>
        </w:tblPrEx>
        <w:trPr>
          <w:cantSplit/>
          <w:trHeight w:val="567" w:hRule="atLeast"/>
          <w:jc w:val="center"/>
        </w:trPr>
        <w:tc>
          <w:tcPr>
            <w:tcW w:w="239"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11</w:t>
            </w:r>
          </w:p>
        </w:tc>
        <w:tc>
          <w:tcPr>
            <w:tcW w:w="304" w:type="pct"/>
            <w:vMerge w:val="restart"/>
            <w:tcBorders>
              <w:top w:val="single" w:color="000000" w:sz="4" w:space="0"/>
              <w:left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公平竞争（</w:t>
            </w:r>
            <w:r>
              <w:rPr>
                <w:rStyle w:val="11"/>
                <w:rFonts w:hint="eastAsia" w:eastAsia="仿宋_GB2312" w:cs="仿宋_GB2312"/>
                <w:sz w:val="24"/>
                <w:szCs w:val="24"/>
                <w:lang w:bidi="ar"/>
              </w:rPr>
              <w:t>5</w:t>
            </w:r>
            <w:r>
              <w:rPr>
                <w:rStyle w:val="10"/>
                <w:rFonts w:hint="default" w:ascii="Times New Roman" w:hAnsi="Times New Roman"/>
                <w:sz w:val="24"/>
                <w:szCs w:val="24"/>
                <w:lang w:bidi="ar"/>
              </w:rPr>
              <w:t>项）</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构建公平竞争</w:t>
            </w:r>
            <w:r>
              <w:rPr>
                <w:rStyle w:val="11"/>
                <w:rFonts w:hint="eastAsia" w:eastAsia="仿宋_GB2312" w:cs="仿宋_GB2312"/>
                <w:sz w:val="24"/>
                <w:szCs w:val="24"/>
                <w:lang w:bidi="ar"/>
              </w:rPr>
              <w:t>“</w:t>
            </w:r>
            <w:r>
              <w:rPr>
                <w:rStyle w:val="10"/>
                <w:rFonts w:hint="default" w:ascii="Times New Roman" w:hAnsi="Times New Roman"/>
                <w:sz w:val="24"/>
                <w:szCs w:val="24"/>
                <w:lang w:bidi="ar"/>
              </w:rPr>
              <w:t>跨域协作</w:t>
            </w:r>
            <w:r>
              <w:rPr>
                <w:rStyle w:val="10"/>
                <w:rFonts w:hint="default" w:ascii="宋体" w:hAnsi="宋体" w:eastAsia="宋体" w:cs="宋体"/>
                <w:sz w:val="24"/>
                <w:szCs w:val="24"/>
                <w:lang w:bidi="ar"/>
              </w:rPr>
              <w:t>＋</w:t>
            </w:r>
            <w:r>
              <w:rPr>
                <w:rStyle w:val="10"/>
                <w:rFonts w:hint="default" w:ascii="Times New Roman" w:hAnsi="Times New Roman"/>
                <w:sz w:val="24"/>
                <w:szCs w:val="24"/>
                <w:lang w:bidi="ar"/>
              </w:rPr>
              <w:t>智慧监管</w:t>
            </w:r>
            <w:r>
              <w:rPr>
                <w:rStyle w:val="11"/>
                <w:rFonts w:hint="eastAsia" w:eastAsia="仿宋_GB2312" w:cs="仿宋_GB2312"/>
                <w:sz w:val="24"/>
                <w:szCs w:val="24"/>
                <w:lang w:bidi="ar"/>
              </w:rPr>
              <w:t>”</w:t>
            </w:r>
            <w:r>
              <w:rPr>
                <w:rStyle w:val="10"/>
                <w:rFonts w:hint="default" w:ascii="Times New Roman" w:hAnsi="Times New Roman"/>
                <w:sz w:val="24"/>
                <w:szCs w:val="24"/>
                <w:lang w:bidi="ar"/>
              </w:rPr>
              <w:t>体系</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kern w:val="0"/>
                <w:sz w:val="24"/>
                <w:szCs w:val="24"/>
                <w:lang w:bidi="ar"/>
              </w:rPr>
            </w:pPr>
            <w:r>
              <w:rPr>
                <w:rFonts w:hint="eastAsia" w:ascii="Times New Roman" w:hAnsi="Times New Roman" w:eastAsia="仿宋_GB2312" w:cs="仿宋_GB2312"/>
                <w:color w:val="000000"/>
                <w:kern w:val="0"/>
                <w:sz w:val="24"/>
                <w:szCs w:val="24"/>
                <w:lang w:bidi="ar"/>
              </w:rPr>
              <w:t>省级</w:t>
            </w:r>
          </w:p>
        </w:tc>
        <w:tc>
          <w:tcPr>
            <w:tcW w:w="258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依托豫南四市（南阳市、平顶山市、驻马店市、信阳市）公平竞争审查跨区域合作协议，深化四市跨区域协作机制，健全常态化联络员会商机制，加强对政策法规、重点政策、重大活动、专项行动等方面的交流协同，定期组织开展四市年会交流活动，探索推进人员互访、经验互通、联合培训，提升协作区域间公平竞争审查能力，维护区域统一大市场公平竞争秩序。依托“信用南阳”等平台，公示市属行业协会商会收费项目、性质、标准及依据，常态化排查涉企违规收费，严厉打击违规收费行为。到2028年底，力争实现跨区域联合审查覆盖重点政策领域举措90%以上，涉企收费清单公示率100%，违规收费问题处置率95%以上。</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市市场监管局</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市发展改革委、工业和信息化局、民政局、行政审批政务信息管理局</w:t>
            </w:r>
          </w:p>
        </w:tc>
        <w:tc>
          <w:tcPr>
            <w:tcW w:w="351"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2028年12月</w:t>
            </w:r>
          </w:p>
        </w:tc>
      </w:tr>
      <w:tr>
        <w:tblPrEx>
          <w:tblCellMar>
            <w:top w:w="0" w:type="dxa"/>
            <w:left w:w="57" w:type="dxa"/>
            <w:bottom w:w="0" w:type="dxa"/>
            <w:right w:w="57" w:type="dxa"/>
          </w:tblCellMar>
        </w:tblPrEx>
        <w:trPr>
          <w:cantSplit/>
          <w:trHeight w:val="567" w:hRule="atLeast"/>
          <w:jc w:val="center"/>
        </w:trPr>
        <w:tc>
          <w:tcPr>
            <w:tcW w:w="239"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12</w:t>
            </w:r>
          </w:p>
        </w:tc>
        <w:tc>
          <w:tcPr>
            <w:tcW w:w="304" w:type="pct"/>
            <w:vMerge w:val="continue"/>
            <w:tcBorders>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推行</w:t>
            </w:r>
            <w:r>
              <w:rPr>
                <w:rStyle w:val="11"/>
                <w:rFonts w:hint="eastAsia" w:eastAsia="仿宋_GB2312" w:cs="仿宋_GB2312"/>
                <w:sz w:val="24"/>
                <w:szCs w:val="24"/>
                <w:lang w:bidi="ar"/>
              </w:rPr>
              <w:t>“</w:t>
            </w:r>
            <w:r>
              <w:rPr>
                <w:rStyle w:val="10"/>
                <w:rFonts w:hint="default" w:ascii="Times New Roman" w:hAnsi="Times New Roman"/>
                <w:sz w:val="24"/>
                <w:szCs w:val="24"/>
                <w:lang w:bidi="ar"/>
              </w:rPr>
              <w:t>机器管招标</w:t>
            </w:r>
            <w:r>
              <w:rPr>
                <w:rStyle w:val="11"/>
                <w:rFonts w:hint="eastAsia" w:eastAsia="仿宋_GB2312" w:cs="仿宋_GB2312"/>
                <w:sz w:val="24"/>
                <w:szCs w:val="24"/>
                <w:lang w:bidi="ar"/>
              </w:rPr>
              <w:t>”</w:t>
            </w:r>
            <w:r>
              <w:rPr>
                <w:rStyle w:val="10"/>
                <w:rFonts w:hint="default" w:ascii="Times New Roman" w:hAnsi="Times New Roman"/>
                <w:sz w:val="24"/>
                <w:szCs w:val="24"/>
                <w:lang w:bidi="ar"/>
              </w:rPr>
              <w:t>智慧评审</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Style w:val="10"/>
                <w:rFonts w:hint="default" w:ascii="Times New Roman" w:hAnsi="Times New Roman"/>
                <w:sz w:val="24"/>
                <w:szCs w:val="24"/>
                <w:lang w:bidi="ar"/>
              </w:rPr>
            </w:pPr>
            <w:r>
              <w:rPr>
                <w:rStyle w:val="10"/>
                <w:rFonts w:hint="default" w:ascii="Times New Roman" w:hAnsi="Times New Roman"/>
                <w:sz w:val="24"/>
                <w:szCs w:val="24"/>
                <w:lang w:bidi="ar"/>
              </w:rPr>
              <w:t>省级</w:t>
            </w:r>
          </w:p>
        </w:tc>
        <w:tc>
          <w:tcPr>
            <w:tcW w:w="258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升级市公共资源电子交易平台，推行“云智评”分布式评标模式，实现专家随机抽取、远程分散评标、全程在线监管。构建招标文件合规检测AI模型，对限定特定品牌、设置不合理业绩门槛等隐性壁垒自动识别、实时预警。推行投标文件“暗标”评审，隐藏投标人信息，杜绝“人情分”。运用大数据分析投标人行为特征，构建“关系图谱”和“异常行为AI分析模型”，对“抱团投标、批量废标、异常报价”等行为动态监测、实时预警，实现预警线索闭环处置。开展人工智能辅助评标应用，辅助专家评审或生成结果供专家参考。到2027年底，力争实现工程建设项目智能辅助评标全覆盖，围串标预警准确率达90%以上，交易效率提升20%以上。</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市发展改革委、公共资源交易中心</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w:t>
            </w:r>
          </w:p>
        </w:tc>
        <w:tc>
          <w:tcPr>
            <w:tcW w:w="351"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2027年12月</w:t>
            </w:r>
          </w:p>
        </w:tc>
      </w:tr>
      <w:tr>
        <w:tblPrEx>
          <w:tblCellMar>
            <w:top w:w="0" w:type="dxa"/>
            <w:left w:w="57" w:type="dxa"/>
            <w:bottom w:w="0" w:type="dxa"/>
            <w:right w:w="57" w:type="dxa"/>
          </w:tblCellMar>
        </w:tblPrEx>
        <w:trPr>
          <w:cantSplit/>
          <w:trHeight w:val="567" w:hRule="atLeast"/>
          <w:jc w:val="center"/>
        </w:trPr>
        <w:tc>
          <w:tcPr>
            <w:tcW w:w="239"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13</w:t>
            </w:r>
          </w:p>
        </w:tc>
        <w:tc>
          <w:tcPr>
            <w:tcW w:w="304" w:type="pct"/>
            <w:vMerge w:val="restart"/>
            <w:tcBorders>
              <w:top w:val="single" w:color="000000" w:sz="4" w:space="0"/>
              <w:left w:val="single" w:color="000000" w:sz="4" w:space="0"/>
              <w:right w:val="single" w:color="000000" w:sz="4" w:space="0"/>
            </w:tcBorders>
            <w:vAlign w:val="center"/>
          </w:tcPr>
          <w:p>
            <w:pPr>
              <w:widowControl/>
              <w:spacing w:line="310" w:lineRule="exact"/>
              <w:jc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公平竞争（</w:t>
            </w:r>
            <w:r>
              <w:rPr>
                <w:rStyle w:val="11"/>
                <w:rFonts w:hint="eastAsia" w:eastAsia="仿宋_GB2312" w:cs="仿宋_GB2312"/>
                <w:sz w:val="24"/>
                <w:szCs w:val="24"/>
                <w:lang w:bidi="ar"/>
              </w:rPr>
              <w:t>5</w:t>
            </w:r>
            <w:r>
              <w:rPr>
                <w:rStyle w:val="10"/>
                <w:rFonts w:hint="default" w:ascii="Times New Roman" w:hAnsi="Times New Roman"/>
                <w:sz w:val="24"/>
                <w:szCs w:val="24"/>
                <w:lang w:bidi="ar"/>
              </w:rPr>
              <w:t>项）</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打造“豫鄂陕税费通办”跨省协同服务品牌</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Style w:val="10"/>
                <w:rFonts w:hint="default" w:ascii="Times New Roman" w:hAnsi="Times New Roman"/>
                <w:sz w:val="24"/>
                <w:szCs w:val="24"/>
                <w:lang w:bidi="ar"/>
              </w:rPr>
            </w:pPr>
            <w:r>
              <w:rPr>
                <w:rStyle w:val="10"/>
                <w:rFonts w:hint="default" w:ascii="Times New Roman" w:hAnsi="Times New Roman"/>
                <w:sz w:val="24"/>
                <w:szCs w:val="24"/>
                <w:lang w:bidi="ar"/>
              </w:rPr>
              <w:t>国家级</w:t>
            </w:r>
          </w:p>
        </w:tc>
        <w:tc>
          <w:tcPr>
            <w:tcW w:w="258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聚焦豫鄂陕三地毗邻地区群众异地办税缴费堵点难点，与湖北、陕西交界市县局签订合作协议，确定《涉税（费）跨省通办事项清单》，在不改变执法主体、人员权限、业务流程的前提下，构建“一厅受理、精准推送、智能交互、协同代办、跨省互动”税费服务“共同体”。依托征纳互动平台，辅导纳税人通过电子税务局或税务APP线上办理业务，异地税务机关后台即时审核；对需属地办理的事项，通过“网上受理、智能交互”方式，将资料线上传递至异地税务局协同代办，实现“收办分离、异地可办”。到2026年底，实现50项高频税费事项“跨省通办”，让纳税人缴费人“足不出户”即可办理异地业务。</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市税务局</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w:t>
            </w:r>
          </w:p>
        </w:tc>
        <w:tc>
          <w:tcPr>
            <w:tcW w:w="351"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2026年12月</w:t>
            </w:r>
          </w:p>
        </w:tc>
      </w:tr>
      <w:tr>
        <w:tblPrEx>
          <w:tblCellMar>
            <w:top w:w="0" w:type="dxa"/>
            <w:left w:w="57" w:type="dxa"/>
            <w:bottom w:w="0" w:type="dxa"/>
            <w:right w:w="57" w:type="dxa"/>
          </w:tblCellMar>
        </w:tblPrEx>
        <w:trPr>
          <w:cantSplit/>
          <w:trHeight w:val="567" w:hRule="atLeast"/>
          <w:jc w:val="center"/>
        </w:trPr>
        <w:tc>
          <w:tcPr>
            <w:tcW w:w="239"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14</w:t>
            </w:r>
          </w:p>
        </w:tc>
        <w:tc>
          <w:tcPr>
            <w:tcW w:w="304" w:type="pct"/>
            <w:vMerge w:val="continue"/>
            <w:tcBorders>
              <w:left w:val="single" w:color="000000" w:sz="4" w:space="0"/>
              <w:bottom w:val="single" w:color="000000" w:sz="4" w:space="0"/>
              <w:right w:val="single" w:color="000000" w:sz="4" w:space="0"/>
            </w:tcBorders>
            <w:vAlign w:val="center"/>
          </w:tcPr>
          <w:p>
            <w:pPr>
              <w:widowControl/>
              <w:spacing w:line="310" w:lineRule="exact"/>
              <w:jc w:val="center"/>
              <w:rPr>
                <w:rFonts w:ascii="Times New Roman" w:hAnsi="Times New Roman" w:eastAsia="仿宋_GB2312" w:cs="仿宋_GB2312"/>
                <w:color w:val="000000"/>
                <w:sz w:val="24"/>
                <w:szCs w:val="24"/>
              </w:rPr>
            </w:pP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打造</w:t>
            </w:r>
            <w:r>
              <w:rPr>
                <w:rStyle w:val="11"/>
                <w:rFonts w:hint="eastAsia" w:eastAsia="仿宋_GB2312" w:cs="仿宋_GB2312"/>
                <w:sz w:val="24"/>
                <w:szCs w:val="24"/>
                <w:lang w:bidi="ar"/>
              </w:rPr>
              <w:t>“</w:t>
            </w:r>
            <w:r>
              <w:rPr>
                <w:rStyle w:val="10"/>
                <w:rFonts w:hint="default" w:ascii="Times New Roman" w:hAnsi="Times New Roman"/>
                <w:sz w:val="24"/>
                <w:szCs w:val="24"/>
                <w:lang w:bidi="ar"/>
              </w:rPr>
              <w:t>网上中介超市</w:t>
            </w:r>
            <w:r>
              <w:rPr>
                <w:rStyle w:val="11"/>
                <w:rFonts w:hint="eastAsia" w:eastAsia="仿宋_GB2312" w:cs="仿宋_GB2312"/>
                <w:sz w:val="24"/>
                <w:szCs w:val="24"/>
                <w:lang w:bidi="ar"/>
              </w:rPr>
              <w:t>”</w:t>
            </w:r>
            <w:r>
              <w:rPr>
                <w:rStyle w:val="10"/>
                <w:rFonts w:hint="default" w:ascii="Times New Roman" w:hAnsi="Times New Roman"/>
                <w:sz w:val="24"/>
                <w:szCs w:val="24"/>
                <w:lang w:bidi="ar"/>
              </w:rPr>
              <w:t>服务体系</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kern w:val="0"/>
                <w:sz w:val="24"/>
                <w:szCs w:val="24"/>
                <w:lang w:bidi="ar"/>
              </w:rPr>
            </w:pPr>
            <w:r>
              <w:rPr>
                <w:rFonts w:hint="eastAsia" w:ascii="Times New Roman" w:hAnsi="Times New Roman" w:eastAsia="仿宋_GB2312" w:cs="仿宋_GB2312"/>
                <w:color w:val="000000"/>
                <w:kern w:val="0"/>
                <w:sz w:val="24"/>
                <w:szCs w:val="24"/>
                <w:lang w:bidi="ar"/>
              </w:rPr>
              <w:t>国家级</w:t>
            </w:r>
          </w:p>
        </w:tc>
        <w:tc>
          <w:tcPr>
            <w:tcW w:w="258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坚持“五统一、一开放”导向，持续深化中介服务市场改革。依托南阳市政务服务网，优化“网上中介服务超市”，探索设立评价、咨询、测量、检测、设计、监理、评估、勘察、代办等9大类服务事项，梳理150项左右服务事项，明确流程、时限及收费标准，实现机构选取、报告上传、服务评价全流程线上办理，从项目发布到成果交付全程可追溯。设立“信用红黑榜”实施联合惩戒，建立中介机构“五星级”信用评价体系，评价结果动态更新，引导中介机构优胜劣汰。到2027年底，全市中介服务效率提升20%以上，收费下降10%左右。</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市行政审批政务信息管理局</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各相关职能部门</w:t>
            </w:r>
          </w:p>
        </w:tc>
        <w:tc>
          <w:tcPr>
            <w:tcW w:w="351"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2027年12月</w:t>
            </w:r>
          </w:p>
        </w:tc>
      </w:tr>
      <w:tr>
        <w:tblPrEx>
          <w:tblCellMar>
            <w:top w:w="0" w:type="dxa"/>
            <w:left w:w="57" w:type="dxa"/>
            <w:bottom w:w="0" w:type="dxa"/>
            <w:right w:w="57" w:type="dxa"/>
          </w:tblCellMar>
        </w:tblPrEx>
        <w:trPr>
          <w:cantSplit/>
          <w:trHeight w:val="567" w:hRule="atLeast"/>
          <w:jc w:val="center"/>
        </w:trPr>
        <w:tc>
          <w:tcPr>
            <w:tcW w:w="239"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15</w:t>
            </w:r>
          </w:p>
        </w:tc>
        <w:tc>
          <w:tcPr>
            <w:tcW w:w="304"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公平竞争（</w:t>
            </w:r>
            <w:r>
              <w:rPr>
                <w:rStyle w:val="11"/>
                <w:rFonts w:hint="eastAsia" w:eastAsia="仿宋_GB2312" w:cs="仿宋_GB2312"/>
                <w:sz w:val="24"/>
                <w:szCs w:val="24"/>
                <w:lang w:bidi="ar"/>
              </w:rPr>
              <w:t>5</w:t>
            </w:r>
            <w:r>
              <w:rPr>
                <w:rStyle w:val="10"/>
                <w:rFonts w:hint="default" w:ascii="Times New Roman" w:hAnsi="Times New Roman"/>
                <w:sz w:val="24"/>
                <w:szCs w:val="24"/>
                <w:lang w:bidi="ar"/>
              </w:rPr>
              <w:t>项）</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打造知识产权</w:t>
            </w:r>
            <w:r>
              <w:rPr>
                <w:rStyle w:val="11"/>
                <w:rFonts w:hint="eastAsia" w:eastAsia="仿宋_GB2312" w:cs="仿宋_GB2312"/>
                <w:sz w:val="24"/>
                <w:szCs w:val="24"/>
                <w:lang w:bidi="ar"/>
              </w:rPr>
              <w:t>“</w:t>
            </w:r>
            <w:r>
              <w:rPr>
                <w:rStyle w:val="10"/>
                <w:rFonts w:hint="default" w:ascii="Times New Roman" w:hAnsi="Times New Roman"/>
                <w:sz w:val="24"/>
                <w:szCs w:val="24"/>
                <w:lang w:bidi="ar"/>
              </w:rPr>
              <w:t>精细化</w:t>
            </w:r>
            <w:r>
              <w:rPr>
                <w:rStyle w:val="11"/>
                <w:rFonts w:hint="eastAsia" w:eastAsia="仿宋_GB2312" w:cs="仿宋_GB2312"/>
                <w:sz w:val="24"/>
                <w:szCs w:val="24"/>
                <w:lang w:bidi="ar"/>
              </w:rPr>
              <w:t>”</w:t>
            </w:r>
            <w:r>
              <w:rPr>
                <w:rStyle w:val="10"/>
                <w:rFonts w:hint="default" w:ascii="Times New Roman" w:hAnsi="Times New Roman"/>
                <w:sz w:val="24"/>
                <w:szCs w:val="24"/>
                <w:lang w:bidi="ar"/>
              </w:rPr>
              <w:t>服务模式</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kern w:val="0"/>
                <w:sz w:val="24"/>
                <w:szCs w:val="24"/>
                <w:lang w:bidi="ar"/>
              </w:rPr>
            </w:pPr>
            <w:r>
              <w:rPr>
                <w:rFonts w:hint="eastAsia" w:ascii="Times New Roman" w:hAnsi="Times New Roman" w:eastAsia="仿宋_GB2312" w:cs="仿宋_GB2312"/>
                <w:color w:val="000000"/>
                <w:kern w:val="0"/>
                <w:sz w:val="24"/>
                <w:szCs w:val="24"/>
                <w:lang w:bidi="ar"/>
              </w:rPr>
              <w:t>国家级</w:t>
            </w:r>
          </w:p>
        </w:tc>
        <w:tc>
          <w:tcPr>
            <w:tcW w:w="258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加快创建国家知识产权强市建设示范市，整合知识产权创造、保护、运用、管理、服务全链条资源，设立知识产权综合服务窗口，打造线上线下一体化服务平台。推行质押融资“入园惠企”、侵权纠纷“线上裁决”等一站式服务。优化知识产权质押融资“白名单”双向推送机制，实现银企信息双向畅通，增强金融服务针对性。到2027年底，累计发放知识产权质押贷款突破3亿元，培育国家及省级知识产权优势示范企业超过30家。</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市市场监管局</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市科技局、国家金融监督管理总局南阳监管分局</w:t>
            </w:r>
          </w:p>
        </w:tc>
        <w:tc>
          <w:tcPr>
            <w:tcW w:w="351"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2027年12月</w:t>
            </w:r>
          </w:p>
        </w:tc>
      </w:tr>
      <w:tr>
        <w:tblPrEx>
          <w:tblCellMar>
            <w:top w:w="0" w:type="dxa"/>
            <w:left w:w="57" w:type="dxa"/>
            <w:bottom w:w="0" w:type="dxa"/>
            <w:right w:w="57" w:type="dxa"/>
          </w:tblCellMar>
        </w:tblPrEx>
        <w:trPr>
          <w:cantSplit/>
          <w:trHeight w:val="567" w:hRule="atLeast"/>
          <w:jc w:val="center"/>
        </w:trPr>
        <w:tc>
          <w:tcPr>
            <w:tcW w:w="239"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16</w:t>
            </w:r>
          </w:p>
        </w:tc>
        <w:tc>
          <w:tcPr>
            <w:tcW w:w="304"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信用赋能（</w:t>
            </w:r>
            <w:r>
              <w:rPr>
                <w:rStyle w:val="11"/>
                <w:rFonts w:hint="eastAsia" w:eastAsia="仿宋_GB2312" w:cs="仿宋_GB2312"/>
                <w:sz w:val="24"/>
                <w:szCs w:val="24"/>
                <w:lang w:bidi="ar"/>
              </w:rPr>
              <w:t>4</w:t>
            </w:r>
            <w:r>
              <w:rPr>
                <w:rStyle w:val="10"/>
                <w:rFonts w:hint="default" w:ascii="Times New Roman" w:hAnsi="Times New Roman"/>
                <w:sz w:val="24"/>
                <w:szCs w:val="24"/>
                <w:lang w:bidi="ar"/>
              </w:rPr>
              <w:t>项）</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创新</w:t>
            </w:r>
            <w:r>
              <w:rPr>
                <w:rStyle w:val="11"/>
                <w:rFonts w:hint="eastAsia" w:eastAsia="仿宋_GB2312" w:cs="仿宋_GB2312"/>
                <w:sz w:val="24"/>
                <w:szCs w:val="24"/>
                <w:lang w:bidi="ar"/>
              </w:rPr>
              <w:t>“</w:t>
            </w:r>
            <w:r>
              <w:rPr>
                <w:rStyle w:val="10"/>
                <w:rFonts w:hint="default" w:ascii="Times New Roman" w:hAnsi="Times New Roman"/>
                <w:sz w:val="24"/>
                <w:szCs w:val="24"/>
                <w:lang w:bidi="ar"/>
              </w:rPr>
              <w:t>社保信用贷</w:t>
            </w:r>
            <w:r>
              <w:rPr>
                <w:rStyle w:val="11"/>
                <w:rFonts w:hint="eastAsia" w:eastAsia="仿宋_GB2312" w:cs="仿宋_GB2312"/>
                <w:sz w:val="24"/>
                <w:szCs w:val="24"/>
                <w:lang w:bidi="ar"/>
              </w:rPr>
              <w:t>”</w:t>
            </w:r>
            <w:r>
              <w:rPr>
                <w:rStyle w:val="10"/>
                <w:rFonts w:hint="default" w:ascii="Times New Roman" w:hAnsi="Times New Roman"/>
                <w:sz w:val="24"/>
                <w:szCs w:val="24"/>
                <w:lang w:bidi="ar"/>
              </w:rPr>
              <w:t>融资服务模式</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Style w:val="10"/>
                <w:rFonts w:hint="default" w:ascii="Times New Roman" w:hAnsi="Times New Roman"/>
                <w:sz w:val="24"/>
                <w:szCs w:val="24"/>
                <w:lang w:bidi="ar"/>
              </w:rPr>
            </w:pPr>
            <w:r>
              <w:rPr>
                <w:rStyle w:val="10"/>
                <w:rFonts w:hint="default" w:ascii="Times New Roman" w:hAnsi="Times New Roman"/>
                <w:sz w:val="24"/>
                <w:szCs w:val="24"/>
                <w:lang w:bidi="ar"/>
              </w:rPr>
              <w:t>国家级</w:t>
            </w:r>
          </w:p>
        </w:tc>
        <w:tc>
          <w:tcPr>
            <w:tcW w:w="258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依托市级一体化融资信用服务平台，归集企业登记、纳税、社保、公积金、水电气、不动产、知识产权等信用信息，完善企业信用档案。与试点银行联合开发“社保信用贷”纯信用融资产品，针对“无抵押、无贷款记录”但信用良好的个体工商户和小微企业，建立以参保年限、缴费金额、员工规模为核心维度的标准化信用评估模型，叠加纳税、征信、合规经营等多维数据，根据统一规则自动生成企业信用画像，鼓励试点银行将参保数据转化为融资信用参考依据，贷款额度、利率优惠与企业参保人数、缴费年限挂钩，续贷条件与社保费缴纳情况绑定，信用良好的企业最高可获500万元纯信用贷款。到2028年底，实现基于社保数据的循环授信额度2亿元，全面升级信贷服务模式，带动企业参保人数年均增长3%左右。</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市人力资源社会保障局</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市发展改革委、人民银行南阳市分行、市行政审批政务信息管理局</w:t>
            </w:r>
          </w:p>
        </w:tc>
        <w:tc>
          <w:tcPr>
            <w:tcW w:w="351"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2028年12月</w:t>
            </w:r>
          </w:p>
        </w:tc>
      </w:tr>
      <w:tr>
        <w:tblPrEx>
          <w:tblCellMar>
            <w:top w:w="0" w:type="dxa"/>
            <w:left w:w="57" w:type="dxa"/>
            <w:bottom w:w="0" w:type="dxa"/>
            <w:right w:w="57" w:type="dxa"/>
          </w:tblCellMar>
        </w:tblPrEx>
        <w:trPr>
          <w:cantSplit/>
          <w:trHeight w:val="567" w:hRule="atLeast"/>
          <w:jc w:val="center"/>
        </w:trPr>
        <w:tc>
          <w:tcPr>
            <w:tcW w:w="239"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17</w:t>
            </w:r>
          </w:p>
        </w:tc>
        <w:tc>
          <w:tcPr>
            <w:tcW w:w="304" w:type="pct"/>
            <w:vMerge w:val="restart"/>
            <w:tcBorders>
              <w:top w:val="single" w:color="000000" w:sz="4" w:space="0"/>
              <w:left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信用赋能（</w:t>
            </w:r>
            <w:r>
              <w:rPr>
                <w:rStyle w:val="11"/>
                <w:rFonts w:hint="eastAsia" w:eastAsia="仿宋_GB2312" w:cs="仿宋_GB2312"/>
                <w:sz w:val="24"/>
                <w:szCs w:val="24"/>
                <w:lang w:bidi="ar"/>
              </w:rPr>
              <w:t>4</w:t>
            </w:r>
            <w:r>
              <w:rPr>
                <w:rStyle w:val="10"/>
                <w:rFonts w:hint="default" w:ascii="Times New Roman" w:hAnsi="Times New Roman"/>
                <w:sz w:val="24"/>
                <w:szCs w:val="24"/>
                <w:lang w:bidi="ar"/>
              </w:rPr>
              <w:t>项）</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深化</w:t>
            </w:r>
            <w:r>
              <w:rPr>
                <w:rStyle w:val="11"/>
                <w:rFonts w:hint="eastAsia" w:eastAsia="仿宋_GB2312" w:cs="仿宋_GB2312"/>
                <w:sz w:val="24"/>
                <w:szCs w:val="24"/>
                <w:lang w:bidi="ar"/>
              </w:rPr>
              <w:t>“</w:t>
            </w:r>
            <w:r>
              <w:rPr>
                <w:rStyle w:val="10"/>
                <w:rFonts w:hint="default" w:ascii="Times New Roman" w:hAnsi="Times New Roman"/>
                <w:sz w:val="24"/>
                <w:szCs w:val="24"/>
                <w:lang w:bidi="ar"/>
              </w:rPr>
              <w:t>信用三区</w:t>
            </w:r>
            <w:r>
              <w:rPr>
                <w:rStyle w:val="11"/>
                <w:rFonts w:hint="eastAsia" w:eastAsia="仿宋_GB2312" w:cs="仿宋_GB2312"/>
                <w:sz w:val="24"/>
                <w:szCs w:val="24"/>
                <w:lang w:bidi="ar"/>
              </w:rPr>
              <w:t>”</w:t>
            </w:r>
            <w:r>
              <w:rPr>
                <w:rStyle w:val="10"/>
                <w:rFonts w:hint="default" w:ascii="Times New Roman" w:hAnsi="Times New Roman"/>
                <w:sz w:val="24"/>
                <w:szCs w:val="24"/>
                <w:lang w:bidi="ar"/>
              </w:rPr>
              <w:t>赋能基层治理实践</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Style w:val="10"/>
                <w:rFonts w:hint="default" w:ascii="Times New Roman" w:hAnsi="Times New Roman"/>
                <w:sz w:val="24"/>
                <w:szCs w:val="24"/>
                <w:lang w:bidi="ar"/>
              </w:rPr>
            </w:pPr>
            <w:r>
              <w:rPr>
                <w:rStyle w:val="10"/>
                <w:rFonts w:hint="default" w:ascii="Times New Roman" w:hAnsi="Times New Roman"/>
                <w:sz w:val="24"/>
                <w:szCs w:val="24"/>
                <w:lang w:bidi="ar"/>
              </w:rPr>
              <w:t>省级</w:t>
            </w:r>
          </w:p>
        </w:tc>
        <w:tc>
          <w:tcPr>
            <w:tcW w:w="258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依托“宛信分”信用评价系统，深化“信用</w:t>
            </w:r>
            <w:r>
              <w:rPr>
                <w:rStyle w:val="10"/>
                <w:rFonts w:hint="default" w:ascii="宋体" w:hAnsi="宋体" w:eastAsia="宋体" w:cs="宋体"/>
                <w:sz w:val="24"/>
                <w:szCs w:val="24"/>
                <w:lang w:bidi="ar"/>
              </w:rPr>
              <w:t>＋</w:t>
            </w:r>
            <w:r>
              <w:rPr>
                <w:rStyle w:val="10"/>
                <w:rFonts w:hint="default" w:ascii="Times New Roman" w:hAnsi="Times New Roman"/>
                <w:sz w:val="24"/>
                <w:szCs w:val="24"/>
                <w:lang w:bidi="ar"/>
              </w:rPr>
              <w:t>社区”服务模式，将居民参与社区治理、志愿服务、遵守居规民约等行为纳入信用记录，对信用良好的居民在社区服务、公共资源分配等方面给予优先便利。深化“信用</w:t>
            </w:r>
            <w:r>
              <w:rPr>
                <w:rStyle w:val="10"/>
                <w:rFonts w:hint="default" w:ascii="宋体" w:hAnsi="宋体" w:eastAsia="宋体" w:cs="宋体"/>
                <w:sz w:val="24"/>
                <w:szCs w:val="24"/>
                <w:lang w:bidi="ar"/>
              </w:rPr>
              <w:t>＋</w:t>
            </w:r>
            <w:r>
              <w:rPr>
                <w:rStyle w:val="10"/>
                <w:rFonts w:hint="default" w:ascii="Times New Roman" w:hAnsi="Times New Roman"/>
                <w:sz w:val="24"/>
                <w:szCs w:val="24"/>
                <w:lang w:bidi="ar"/>
              </w:rPr>
              <w:t>街区”诚信经营、放心消费、商居融合建设模式，建立商户信用档案，推行信用分级分类管理，对守信商户在政策扶持、宣传推介等方面给予倾斜。深化“信用</w:t>
            </w:r>
            <w:r>
              <w:rPr>
                <w:rStyle w:val="10"/>
                <w:rFonts w:hint="default" w:ascii="宋体" w:hAnsi="宋体" w:eastAsia="宋体" w:cs="宋体"/>
                <w:sz w:val="24"/>
                <w:szCs w:val="24"/>
                <w:lang w:bidi="ar"/>
              </w:rPr>
              <w:t>＋</w:t>
            </w:r>
            <w:r>
              <w:rPr>
                <w:rStyle w:val="10"/>
                <w:rFonts w:hint="default" w:ascii="Times New Roman" w:hAnsi="Times New Roman"/>
                <w:sz w:val="24"/>
                <w:szCs w:val="24"/>
                <w:lang w:bidi="ar"/>
              </w:rPr>
              <w:t>园区”降本增效、风险防控、生态构建模式，将信用评价嵌入园区管理服务全流程，探索“整园授信”服务模式，借鉴玉雕产业“双层额度授信”经验，推动“整园授信”与特色产业发展深度融合。到2026年底，建成信用社区130个、信用街区30个、信用园区15个左右。</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市发展改革委</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各相关职能部门</w:t>
            </w:r>
          </w:p>
        </w:tc>
        <w:tc>
          <w:tcPr>
            <w:tcW w:w="351"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2026年12月</w:t>
            </w:r>
          </w:p>
        </w:tc>
      </w:tr>
      <w:tr>
        <w:tblPrEx>
          <w:tblCellMar>
            <w:top w:w="0" w:type="dxa"/>
            <w:left w:w="57" w:type="dxa"/>
            <w:bottom w:w="0" w:type="dxa"/>
            <w:right w:w="57" w:type="dxa"/>
          </w:tblCellMar>
        </w:tblPrEx>
        <w:trPr>
          <w:cantSplit/>
          <w:trHeight w:val="567" w:hRule="atLeast"/>
          <w:jc w:val="center"/>
        </w:trPr>
        <w:tc>
          <w:tcPr>
            <w:tcW w:w="239"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18</w:t>
            </w:r>
          </w:p>
        </w:tc>
        <w:tc>
          <w:tcPr>
            <w:tcW w:w="304" w:type="pct"/>
            <w:vMerge w:val="continue"/>
            <w:tcBorders>
              <w:left w:val="single" w:color="000000" w:sz="4" w:space="0"/>
              <w:bottom w:val="single" w:color="000000" w:sz="4" w:space="0"/>
              <w:right w:val="single" w:color="000000" w:sz="4" w:space="0"/>
            </w:tcBorders>
            <w:vAlign w:val="center"/>
          </w:tcPr>
          <w:p>
            <w:pPr>
              <w:widowControl/>
              <w:spacing w:line="310" w:lineRule="exact"/>
              <w:jc w:val="center"/>
              <w:rPr>
                <w:rFonts w:ascii="Times New Roman" w:hAnsi="Times New Roman" w:eastAsia="仿宋_GB2312" w:cs="仿宋_GB2312"/>
                <w:color w:val="000000"/>
                <w:sz w:val="24"/>
                <w:szCs w:val="24"/>
              </w:rPr>
            </w:pP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构建“宛信互认”跨省信用协同新机制</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kern w:val="0"/>
                <w:sz w:val="24"/>
                <w:szCs w:val="24"/>
                <w:lang w:bidi="ar"/>
              </w:rPr>
            </w:pPr>
            <w:r>
              <w:rPr>
                <w:rFonts w:hint="eastAsia" w:ascii="Times New Roman" w:hAnsi="Times New Roman" w:eastAsia="仿宋_GB2312" w:cs="仿宋_GB2312"/>
                <w:color w:val="000000"/>
                <w:kern w:val="0"/>
                <w:sz w:val="24"/>
                <w:szCs w:val="24"/>
                <w:lang w:bidi="ar"/>
              </w:rPr>
              <w:t>国家级</w:t>
            </w:r>
          </w:p>
        </w:tc>
        <w:tc>
          <w:tcPr>
            <w:tcW w:w="258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深化“信用</w:t>
            </w:r>
            <w:r>
              <w:rPr>
                <w:rStyle w:val="10"/>
                <w:rFonts w:hint="default" w:ascii="宋体" w:hAnsi="宋体" w:eastAsia="宋体" w:cs="宋体"/>
                <w:sz w:val="24"/>
                <w:szCs w:val="24"/>
                <w:lang w:bidi="ar"/>
              </w:rPr>
              <w:t>＋</w:t>
            </w:r>
            <w:r>
              <w:rPr>
                <w:rFonts w:hint="eastAsia" w:ascii="Times New Roman" w:hAnsi="Times New Roman" w:eastAsia="仿宋_GB2312" w:cs="仿宋_GB2312"/>
                <w:color w:val="000000"/>
                <w:kern w:val="0"/>
                <w:sz w:val="24"/>
                <w:szCs w:val="24"/>
                <w:lang w:bidi="ar"/>
              </w:rPr>
              <w:t>援疆”合作模式，联合哈密市及十堰、商洛等鄂陕毗邻城市，构建跨省信用信息互认体系，统一信用等级、行政处罚、守信激励、失信惩戒等核心指标，建立跨区域数据共享机制和互认标准。推动“宛信分”与“蜜瓜分”等个人信用分跨省互认、一键切换，实现信用积分双向转换、权益共享，在景区门票、住宿免押、医疗服务等领域提供跨省守信激励。推动专项信用报告在政务服务、招标投标、项目申报、融资授信等领域实现异地采信、无证明办理，让企业“一纸信用报告、跨省通行无阻”。到2027年底，实现10类核心指标统一互认，专项信用报告应用覆盖30个以上领域，拓展跨省应用场景15个左右。</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市发展改革委</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各相关职能部门</w:t>
            </w:r>
          </w:p>
        </w:tc>
        <w:tc>
          <w:tcPr>
            <w:tcW w:w="351"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2027年12月</w:t>
            </w:r>
          </w:p>
        </w:tc>
      </w:tr>
      <w:tr>
        <w:tblPrEx>
          <w:tblCellMar>
            <w:top w:w="0" w:type="dxa"/>
            <w:left w:w="57" w:type="dxa"/>
            <w:bottom w:w="0" w:type="dxa"/>
            <w:right w:w="57" w:type="dxa"/>
          </w:tblCellMar>
        </w:tblPrEx>
        <w:trPr>
          <w:cantSplit/>
          <w:trHeight w:val="567" w:hRule="atLeast"/>
          <w:jc w:val="center"/>
        </w:trPr>
        <w:tc>
          <w:tcPr>
            <w:tcW w:w="239"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19</w:t>
            </w:r>
          </w:p>
        </w:tc>
        <w:tc>
          <w:tcPr>
            <w:tcW w:w="304"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信用赋能（</w:t>
            </w:r>
            <w:r>
              <w:rPr>
                <w:rStyle w:val="11"/>
                <w:rFonts w:hint="eastAsia" w:eastAsia="仿宋_GB2312" w:cs="仿宋_GB2312"/>
                <w:sz w:val="24"/>
                <w:szCs w:val="24"/>
                <w:lang w:bidi="ar"/>
              </w:rPr>
              <w:t>4</w:t>
            </w:r>
            <w:r>
              <w:rPr>
                <w:rStyle w:val="10"/>
                <w:rFonts w:hint="default" w:ascii="Times New Roman" w:hAnsi="Times New Roman"/>
                <w:sz w:val="24"/>
                <w:szCs w:val="24"/>
                <w:lang w:bidi="ar"/>
              </w:rPr>
              <w:t>项）</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打造开发区“产业</w:t>
            </w:r>
            <w:r>
              <w:rPr>
                <w:rStyle w:val="10"/>
                <w:rFonts w:hint="default" w:ascii="宋体" w:hAnsi="宋体" w:eastAsia="宋体" w:cs="宋体"/>
                <w:sz w:val="24"/>
                <w:szCs w:val="24"/>
                <w:lang w:bidi="ar"/>
              </w:rPr>
              <w:t>＋</w:t>
            </w:r>
            <w:r>
              <w:rPr>
                <w:rFonts w:hint="eastAsia" w:ascii="Times New Roman" w:hAnsi="Times New Roman" w:eastAsia="仿宋_GB2312" w:cs="仿宋_GB2312"/>
                <w:color w:val="000000"/>
                <w:kern w:val="0"/>
                <w:sz w:val="24"/>
                <w:szCs w:val="24"/>
                <w:lang w:bidi="ar"/>
              </w:rPr>
              <w:t>信用”融合赋能新模式</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kern w:val="0"/>
                <w:sz w:val="24"/>
                <w:szCs w:val="24"/>
                <w:lang w:bidi="ar"/>
              </w:rPr>
            </w:pPr>
            <w:r>
              <w:rPr>
                <w:rFonts w:hint="eastAsia" w:ascii="Times New Roman" w:hAnsi="Times New Roman" w:eastAsia="仿宋_GB2312" w:cs="仿宋_GB2312"/>
                <w:color w:val="000000"/>
                <w:kern w:val="0"/>
                <w:sz w:val="24"/>
                <w:szCs w:val="24"/>
                <w:lang w:bidi="ar"/>
              </w:rPr>
              <w:t>省级</w:t>
            </w:r>
          </w:p>
        </w:tc>
        <w:tc>
          <w:tcPr>
            <w:tcW w:w="258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聚焦先进制造业开发区主导产业，将信用建设深度融入园区生产经营、招商引资全流程，构建“制度完善、数据贯通、应用多元、监管有效”的信用生态体系。搭建开发区信用信息共享系统，实现企业“一企一档一码”全覆盖，根据产业特点实施信用分级分类差异化监管。建立信用风险预警机制，强化全流程风控管理，搭建“线上申请</w:t>
            </w:r>
            <w:r>
              <w:rPr>
                <w:rStyle w:val="10"/>
                <w:rFonts w:hint="default" w:ascii="宋体" w:hAnsi="宋体" w:eastAsia="宋体" w:cs="宋体"/>
                <w:sz w:val="24"/>
                <w:szCs w:val="24"/>
                <w:lang w:bidi="ar"/>
              </w:rPr>
              <w:t>＋</w:t>
            </w:r>
            <w:r>
              <w:rPr>
                <w:rFonts w:hint="eastAsia" w:ascii="Times New Roman" w:hAnsi="Times New Roman" w:eastAsia="仿宋_GB2312" w:cs="仿宋_GB2312"/>
                <w:color w:val="000000"/>
                <w:kern w:val="0"/>
                <w:sz w:val="24"/>
                <w:szCs w:val="24"/>
                <w:lang w:bidi="ar"/>
              </w:rPr>
              <w:t>线下辅导”信用修复服务通道。创新“信易贷”“信易链”“信易绿”“信易享”等应用场景，打造“产业</w:t>
            </w:r>
            <w:r>
              <w:rPr>
                <w:rStyle w:val="10"/>
                <w:rFonts w:hint="default" w:ascii="宋体" w:hAnsi="宋体" w:eastAsia="宋体" w:cs="宋体"/>
                <w:sz w:val="24"/>
                <w:szCs w:val="24"/>
                <w:lang w:bidi="ar"/>
              </w:rPr>
              <w:t>＋</w:t>
            </w:r>
            <w:r>
              <w:rPr>
                <w:rFonts w:hint="eastAsia" w:ascii="Times New Roman" w:hAnsi="Times New Roman" w:eastAsia="仿宋_GB2312" w:cs="仿宋_GB2312"/>
                <w:color w:val="000000"/>
                <w:kern w:val="0"/>
                <w:sz w:val="24"/>
                <w:szCs w:val="24"/>
                <w:lang w:bidi="ar"/>
              </w:rPr>
              <w:t>信用</w:t>
            </w:r>
            <w:r>
              <w:rPr>
                <w:rStyle w:val="10"/>
                <w:rFonts w:hint="default" w:ascii="宋体" w:hAnsi="宋体" w:eastAsia="宋体" w:cs="宋体"/>
                <w:sz w:val="24"/>
                <w:szCs w:val="24"/>
                <w:lang w:bidi="ar"/>
              </w:rPr>
              <w:t>＋</w:t>
            </w:r>
            <w:r>
              <w:rPr>
                <w:rFonts w:hint="eastAsia" w:ascii="Times New Roman" w:hAnsi="Times New Roman" w:eastAsia="仿宋_GB2312" w:cs="仿宋_GB2312"/>
                <w:color w:val="000000"/>
                <w:kern w:val="0"/>
                <w:sz w:val="24"/>
                <w:szCs w:val="24"/>
                <w:lang w:bidi="ar"/>
              </w:rPr>
              <w:t>金融</w:t>
            </w:r>
            <w:r>
              <w:rPr>
                <w:rStyle w:val="10"/>
                <w:rFonts w:hint="default" w:ascii="宋体" w:hAnsi="宋体" w:eastAsia="宋体" w:cs="宋体"/>
                <w:sz w:val="24"/>
                <w:szCs w:val="24"/>
                <w:lang w:bidi="ar"/>
              </w:rPr>
              <w:t>＋</w:t>
            </w:r>
            <w:r>
              <w:rPr>
                <w:rFonts w:hint="eastAsia" w:ascii="Times New Roman" w:hAnsi="Times New Roman" w:eastAsia="仿宋_GB2312" w:cs="仿宋_GB2312"/>
                <w:color w:val="000000"/>
                <w:kern w:val="0"/>
                <w:sz w:val="24"/>
                <w:szCs w:val="24"/>
                <w:lang w:bidi="ar"/>
              </w:rPr>
              <w:t>生态”四位一体赋能体系，形成“链条互信、生态共守、信用有价”的信用园区建设模式。到2026年底，实现开发区信用企业建档率100%，培育一批信用优秀企业。</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市发展改革委</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各县（市、区）先进制造业开发区管委会</w:t>
            </w:r>
          </w:p>
        </w:tc>
        <w:tc>
          <w:tcPr>
            <w:tcW w:w="351"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2026年12月</w:t>
            </w:r>
          </w:p>
        </w:tc>
      </w:tr>
      <w:tr>
        <w:tblPrEx>
          <w:tblCellMar>
            <w:top w:w="0" w:type="dxa"/>
            <w:left w:w="57" w:type="dxa"/>
            <w:bottom w:w="0" w:type="dxa"/>
            <w:right w:w="57" w:type="dxa"/>
          </w:tblCellMar>
        </w:tblPrEx>
        <w:trPr>
          <w:cantSplit/>
          <w:trHeight w:val="567" w:hRule="atLeast"/>
          <w:jc w:val="center"/>
        </w:trPr>
        <w:tc>
          <w:tcPr>
            <w:tcW w:w="239"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20</w:t>
            </w:r>
          </w:p>
        </w:tc>
        <w:tc>
          <w:tcPr>
            <w:tcW w:w="304"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企业退出（</w:t>
            </w:r>
            <w:r>
              <w:rPr>
                <w:rStyle w:val="11"/>
                <w:rFonts w:hint="eastAsia" w:eastAsia="仿宋_GB2312" w:cs="仿宋_GB2312"/>
                <w:sz w:val="24"/>
                <w:szCs w:val="24"/>
                <w:lang w:bidi="ar"/>
              </w:rPr>
              <w:t>3</w:t>
            </w:r>
            <w:r>
              <w:rPr>
                <w:rStyle w:val="10"/>
                <w:rFonts w:hint="default" w:ascii="Times New Roman" w:hAnsi="Times New Roman"/>
                <w:sz w:val="24"/>
                <w:szCs w:val="24"/>
                <w:lang w:bidi="ar"/>
              </w:rPr>
              <w:t>项）</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推行简易注销</w:t>
            </w:r>
            <w:r>
              <w:rPr>
                <w:rStyle w:val="11"/>
                <w:rFonts w:hint="eastAsia" w:eastAsia="仿宋_GB2312" w:cs="仿宋_GB2312"/>
                <w:sz w:val="24"/>
                <w:szCs w:val="24"/>
                <w:lang w:bidi="ar"/>
              </w:rPr>
              <w:t>“</w:t>
            </w:r>
            <w:r>
              <w:rPr>
                <w:rStyle w:val="10"/>
                <w:rFonts w:hint="default" w:ascii="Times New Roman" w:hAnsi="Times New Roman"/>
                <w:sz w:val="24"/>
                <w:szCs w:val="24"/>
                <w:lang w:bidi="ar"/>
              </w:rPr>
              <w:t>预检联办</w:t>
            </w:r>
            <w:r>
              <w:rPr>
                <w:rStyle w:val="11"/>
                <w:rFonts w:hint="eastAsia" w:eastAsia="仿宋_GB2312" w:cs="仿宋_GB2312"/>
                <w:sz w:val="24"/>
                <w:szCs w:val="24"/>
                <w:lang w:bidi="ar"/>
              </w:rPr>
              <w:t>”</w:t>
            </w:r>
            <w:r>
              <w:rPr>
                <w:rStyle w:val="10"/>
                <w:rFonts w:hint="default" w:ascii="Times New Roman" w:hAnsi="Times New Roman"/>
                <w:sz w:val="24"/>
                <w:szCs w:val="24"/>
                <w:lang w:bidi="ar"/>
              </w:rPr>
              <w:t>服务</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kern w:val="0"/>
                <w:sz w:val="24"/>
                <w:szCs w:val="24"/>
                <w:lang w:bidi="ar"/>
              </w:rPr>
            </w:pPr>
            <w:r>
              <w:rPr>
                <w:rFonts w:hint="eastAsia" w:ascii="Times New Roman" w:hAnsi="Times New Roman" w:eastAsia="仿宋_GB2312" w:cs="仿宋_GB2312"/>
                <w:color w:val="000000"/>
                <w:kern w:val="0"/>
                <w:sz w:val="24"/>
                <w:szCs w:val="24"/>
                <w:lang w:bidi="ar"/>
              </w:rPr>
              <w:t>省级</w:t>
            </w:r>
          </w:p>
        </w:tc>
        <w:tc>
          <w:tcPr>
            <w:tcW w:w="258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推行简易注销“无感预检”服务，由市场监管、税务、人社、海关等部门在线筛查未结清税款、社保欠费等退出障碍，“预检”结果实时推送至“一网通办”平台，企业可在线查询、及时处置，推动简易注销公告期由45天压缩至20天，最快21天完成注销，实现“无感筛查、有感服务”。整合市场监管、不动产、车辆、社保、税务、海关、公积金等9类破产企业信息，在市县政务服务中心设立“企业破产业务专窗”，实行“一窗申请、一网通查、一次办结”，5个工作日内统一反馈核查结果。到2028年底，累计提供“注销预检”服务5000次左右，管理人核查效率提升80%以上。</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市市场监管局</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市公安局、税务局、人力资源社会保障局、市中级人民法院、市行政审批政务信息管理局</w:t>
            </w:r>
          </w:p>
        </w:tc>
        <w:tc>
          <w:tcPr>
            <w:tcW w:w="351"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2028年12月</w:t>
            </w:r>
          </w:p>
        </w:tc>
      </w:tr>
      <w:tr>
        <w:tblPrEx>
          <w:tblCellMar>
            <w:top w:w="0" w:type="dxa"/>
            <w:left w:w="57" w:type="dxa"/>
            <w:bottom w:w="0" w:type="dxa"/>
            <w:right w:w="57" w:type="dxa"/>
          </w:tblCellMar>
        </w:tblPrEx>
        <w:trPr>
          <w:cantSplit/>
          <w:trHeight w:val="567" w:hRule="atLeast"/>
          <w:jc w:val="center"/>
        </w:trPr>
        <w:tc>
          <w:tcPr>
            <w:tcW w:w="239"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21</w:t>
            </w:r>
          </w:p>
        </w:tc>
        <w:tc>
          <w:tcPr>
            <w:tcW w:w="304" w:type="pct"/>
            <w:vMerge w:val="restart"/>
            <w:tcBorders>
              <w:top w:val="single" w:color="000000" w:sz="4" w:space="0"/>
              <w:left w:val="single" w:color="000000" w:sz="4" w:space="0"/>
              <w:right w:val="single" w:color="000000" w:sz="4" w:space="0"/>
            </w:tcBorders>
            <w:vAlign w:val="center"/>
          </w:tcPr>
          <w:p>
            <w:pPr>
              <w:widowControl/>
              <w:spacing w:line="310" w:lineRule="exact"/>
              <w:jc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企业退出（</w:t>
            </w:r>
            <w:r>
              <w:rPr>
                <w:rStyle w:val="11"/>
                <w:rFonts w:hint="eastAsia" w:eastAsia="仿宋_GB2312" w:cs="仿宋_GB2312"/>
                <w:sz w:val="24"/>
                <w:szCs w:val="24"/>
                <w:lang w:bidi="ar"/>
              </w:rPr>
              <w:t>3</w:t>
            </w:r>
            <w:r>
              <w:rPr>
                <w:rStyle w:val="10"/>
                <w:rFonts w:hint="default" w:ascii="Times New Roman" w:hAnsi="Times New Roman"/>
                <w:sz w:val="24"/>
                <w:szCs w:val="24"/>
                <w:lang w:bidi="ar"/>
              </w:rPr>
              <w:t>项）</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建立破产“快速审理”通道</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Style w:val="10"/>
                <w:rFonts w:hint="default" w:ascii="Times New Roman" w:hAnsi="Times New Roman"/>
                <w:sz w:val="24"/>
                <w:szCs w:val="24"/>
                <w:lang w:bidi="ar"/>
              </w:rPr>
            </w:pPr>
            <w:r>
              <w:rPr>
                <w:rStyle w:val="10"/>
                <w:rFonts w:hint="default" w:ascii="Times New Roman" w:hAnsi="Times New Roman"/>
                <w:sz w:val="24"/>
                <w:szCs w:val="24"/>
                <w:lang w:bidi="ar"/>
              </w:rPr>
              <w:t>省级</w:t>
            </w:r>
          </w:p>
        </w:tc>
        <w:tc>
          <w:tcPr>
            <w:tcW w:w="258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建立健全南阳市中小微企业破产案件快速审理规程，对债权债务清晰、财产状况明确的案件实行简繁分流，实现简案快办、繁案精办。采用智能化数据筛查与专业化人工识别结合模式，通过两轮筛选将无争议案件纳入快审通道。创新管理人模式，对关联度高、类型相近的案件通过随机摇号、轮候等公平竞争方式依法确定管理人团队（被指定的管理人团队与相关案件、债务人或债权人不得存在法律规定的利害关系），建立“报酬成本+办理期限”双限机制，将履职效率与报酬发放挂钩，切实破解中小企业破产周期长、成本高等难题。到2026年底，快速审理机制适用率超60%，简单案件审理用时控制在90天内，一般破产案件审理用时控制在150天内。</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市中级人民法院</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w:t>
            </w:r>
          </w:p>
        </w:tc>
        <w:tc>
          <w:tcPr>
            <w:tcW w:w="351" w:type="pct"/>
            <w:tcBorders>
              <w:top w:val="single" w:color="000000" w:sz="4" w:space="0"/>
              <w:left w:val="single" w:color="000000" w:sz="4" w:space="0"/>
              <w:bottom w:val="single" w:color="000000" w:sz="4" w:space="0"/>
              <w:right w:val="single" w:color="000000" w:sz="4" w:space="0"/>
            </w:tcBorders>
            <w:vAlign w:val="center"/>
          </w:tcPr>
          <w:p>
            <w:pPr>
              <w:widowControl/>
              <w:spacing w:line="31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2026年12月</w:t>
            </w:r>
          </w:p>
        </w:tc>
      </w:tr>
      <w:tr>
        <w:tblPrEx>
          <w:tblCellMar>
            <w:top w:w="0" w:type="dxa"/>
            <w:left w:w="57" w:type="dxa"/>
            <w:bottom w:w="0" w:type="dxa"/>
            <w:right w:w="57" w:type="dxa"/>
          </w:tblCellMar>
        </w:tblPrEx>
        <w:trPr>
          <w:cantSplit/>
          <w:trHeight w:val="567" w:hRule="atLeast"/>
          <w:jc w:val="center"/>
        </w:trPr>
        <w:tc>
          <w:tcPr>
            <w:tcW w:w="239"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22</w:t>
            </w:r>
          </w:p>
        </w:tc>
        <w:tc>
          <w:tcPr>
            <w:tcW w:w="304" w:type="pct"/>
            <w:vMerge w:val="continue"/>
            <w:tcBorders>
              <w:left w:val="single" w:color="000000" w:sz="4" w:space="0"/>
              <w:bottom w:val="single" w:color="000000" w:sz="4" w:space="0"/>
              <w:right w:val="single" w:color="000000" w:sz="4" w:space="0"/>
            </w:tcBorders>
            <w:vAlign w:val="center"/>
          </w:tcPr>
          <w:p>
            <w:pPr>
              <w:widowControl/>
              <w:spacing w:line="320" w:lineRule="exact"/>
              <w:jc w:val="center"/>
              <w:rPr>
                <w:rFonts w:ascii="Times New Roman" w:hAnsi="Times New Roman" w:eastAsia="仿宋_GB2312" w:cs="仿宋_GB2312"/>
                <w:color w:val="000000"/>
                <w:sz w:val="24"/>
                <w:szCs w:val="24"/>
              </w:rPr>
            </w:pP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推行“公益清算”市场出清机制</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Times New Roman" w:hAnsi="Times New Roman" w:eastAsia="仿宋_GB2312" w:cs="仿宋_GB2312"/>
                <w:color w:val="000000"/>
                <w:kern w:val="0"/>
                <w:sz w:val="24"/>
                <w:szCs w:val="24"/>
                <w:lang w:bidi="ar"/>
              </w:rPr>
            </w:pPr>
            <w:r>
              <w:rPr>
                <w:rFonts w:hint="eastAsia" w:ascii="Times New Roman" w:hAnsi="Times New Roman" w:eastAsia="仿宋_GB2312" w:cs="仿宋_GB2312"/>
                <w:color w:val="000000"/>
                <w:kern w:val="0"/>
                <w:sz w:val="24"/>
                <w:szCs w:val="24"/>
                <w:lang w:bidi="ar"/>
              </w:rPr>
              <w:t>省级</w:t>
            </w:r>
          </w:p>
        </w:tc>
        <w:tc>
          <w:tcPr>
            <w:tcW w:w="258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textAlignment w:val="center"/>
              <w:rPr>
                <w:rFonts w:ascii="Times New Roman" w:hAnsi="Times New Roman" w:eastAsia="仿宋_GB2312" w:cs="仿宋_GB2312"/>
                <w:color w:val="000000"/>
                <w:sz w:val="24"/>
                <w:szCs w:val="24"/>
              </w:rPr>
            </w:pPr>
            <w:r>
              <w:rPr>
                <w:rStyle w:val="10"/>
                <w:rFonts w:hint="default" w:ascii="Times New Roman" w:hAnsi="Times New Roman"/>
                <w:sz w:val="24"/>
                <w:szCs w:val="24"/>
                <w:lang w:bidi="ar"/>
              </w:rPr>
              <w:t>建立“行政筛查</w:t>
            </w:r>
            <w:r>
              <w:rPr>
                <w:rStyle w:val="10"/>
                <w:rFonts w:hint="default" w:ascii="宋体" w:hAnsi="宋体" w:eastAsia="宋体" w:cs="宋体"/>
                <w:sz w:val="24"/>
                <w:szCs w:val="24"/>
                <w:lang w:bidi="ar"/>
              </w:rPr>
              <w:t>＋</w:t>
            </w:r>
            <w:r>
              <w:rPr>
                <w:rStyle w:val="10"/>
                <w:rFonts w:hint="default" w:ascii="Times New Roman" w:hAnsi="Times New Roman"/>
                <w:sz w:val="24"/>
                <w:szCs w:val="24"/>
                <w:lang w:bidi="ar"/>
              </w:rPr>
              <w:t>司法清算”联动机制，对吊销未注销满三年的“僵尸企业”，市场监管部门筛查后移送法院强制清算，管理人完成清算后出具裁定，登记机关即时办理注销。推广镇平县“三法衔接”经验，推动市场监管、法院、税务等部门信息共享，构建“失联企业”多维度甄别预警机制，防止市场主体“失联”。完善企业退出配套服务，优化清算注销流程，提升管理人履职效率，降低企业退出成本。到2028年底，累计清理“僵尸企业”700家左右，释放名称、地址等市场资源。</w:t>
            </w:r>
          </w:p>
        </w:tc>
        <w:tc>
          <w:tcPr>
            <w:tcW w:w="326"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市市场监管局、市中级人民法院</w:t>
            </w:r>
          </w:p>
        </w:tc>
        <w:tc>
          <w:tcPr>
            <w:tcW w:w="43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w:t>
            </w:r>
          </w:p>
        </w:tc>
        <w:tc>
          <w:tcPr>
            <w:tcW w:w="351"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kern w:val="0"/>
                <w:sz w:val="24"/>
                <w:szCs w:val="24"/>
                <w:lang w:bidi="ar"/>
              </w:rPr>
              <w:t>2028年12月</w:t>
            </w:r>
          </w:p>
        </w:tc>
      </w:tr>
    </w:tbl>
    <w:p/>
    <w:sectPr>
      <w:pgSz w:w="16838" w:h="11906" w:orient="landscape"/>
      <w:pgMar w:top="1361" w:right="2438" w:bottom="1361" w:left="243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等线">
    <w:altName w:val="仿宋"/>
    <w:panose1 w:val="00000000000000000000"/>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 w:name="Arial">
    <w:altName w:val="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RhZWJmYWY3ZjkyZjc4OGRmMmRjMmZiMDJkZjg1MjEifQ=="/>
  </w:docVars>
  <w:rsids>
    <w:rsidRoot w:val="00000000"/>
    <w:rsid w:val="57F719C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rPr>
      <w:szCs w:val="20"/>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font51"/>
    <w:basedOn w:val="7"/>
    <w:qFormat/>
    <w:uiPriority w:val="0"/>
    <w:rPr>
      <w:rFonts w:hint="eastAsia" w:ascii="仿宋_GB2312" w:eastAsia="仿宋_GB2312" w:cs="仿宋_GB2312"/>
      <w:color w:val="000000"/>
      <w:sz w:val="36"/>
      <w:szCs w:val="36"/>
      <w:u w:val="none"/>
    </w:rPr>
  </w:style>
  <w:style w:type="character" w:customStyle="1" w:styleId="11">
    <w:name w:val="font71"/>
    <w:basedOn w:val="7"/>
    <w:qFormat/>
    <w:uiPriority w:val="0"/>
    <w:rPr>
      <w:rFonts w:hint="default" w:ascii="Times New Roman" w:hAnsi="Times New Roman" w:cs="Times New Roman"/>
      <w:color w:val="000000"/>
      <w:sz w:val="36"/>
      <w:szCs w:val="3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1083</Words>
  <Characters>6174</Characters>
  <Lines>51</Lines>
  <Paragraphs>14</Paragraphs>
  <TotalTime>3</TotalTime>
  <ScaleCrop>false</ScaleCrop>
  <LinksUpToDate>false</LinksUpToDate>
  <CharactersWithSpaces>7243</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2017-05-12T12:47:00Z</dcterms:created>
  <dc:creator>系统管理员</dc:creator>
  <cp:lastModifiedBy>kylin</cp:lastModifiedBy>
  <dcterms:modified xsi:type="dcterms:W3CDTF">2026-07-07T09:43:13Z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y fmtid="{D5CDD505-2E9C-101B-9397-08002B2CF9AE}" pid="3" name="ICV">
    <vt:lpwstr>7625101528E941A990686AF16B23756D_13</vt:lpwstr>
  </property>
</Properties>
</file>