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B1DEC4">
      <w:pPr>
        <w:spacing w:after="120"/>
        <w:rPr>
          <w:rFonts w:hint="eastAsia" w:ascii="黑体" w:hAnsi="黑体" w:eastAsia="黑体" w:cs="黑体"/>
          <w:color w:val="000000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highlight w:val="none"/>
        </w:rPr>
        <w:t>附件</w:t>
      </w:r>
    </w:p>
    <w:p w14:paraId="7696DED2">
      <w:pPr>
        <w:pStyle w:val="2"/>
        <w:spacing w:after="0" w:line="6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第SF18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eastAsia="zh-CN"/>
        </w:rPr>
        <w:t>—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C3街坊等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个区域控制性详细规划主要控制指标</w:t>
      </w:r>
    </w:p>
    <w:p w14:paraId="7BC7128D">
      <w:pPr>
        <w:pStyle w:val="2"/>
        <w:spacing w:after="0" w:line="6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</w:pPr>
    </w:p>
    <w:tbl>
      <w:tblPr>
        <w:tblStyle w:val="4"/>
        <w:tblW w:w="1440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1"/>
        <w:gridCol w:w="2136"/>
        <w:gridCol w:w="2820"/>
        <w:gridCol w:w="8728"/>
      </w:tblGrid>
      <w:tr w14:paraId="4BFCC7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tblHeader/>
        </w:trPr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78C809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2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AE0048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</w:rPr>
              <w:t>规划名称</w:t>
            </w:r>
          </w:p>
        </w:tc>
        <w:tc>
          <w:tcPr>
            <w:tcW w:w="2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03A12E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</w:rPr>
              <w:t>规划基本情况</w:t>
            </w:r>
          </w:p>
        </w:tc>
        <w:tc>
          <w:tcPr>
            <w:tcW w:w="8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1E1319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highlight w:val="none"/>
              </w:rPr>
              <w:t>主要控制指标</w:t>
            </w:r>
          </w:p>
        </w:tc>
      </w:tr>
      <w:tr w14:paraId="45E578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0" w:hRule="atLeast"/>
        </w:trPr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E19AA5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2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8E9BFE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示范区泗洲路以北、老界岭南路以东区域（第SF18-C3街坊）控制性详细规划</w:t>
            </w:r>
          </w:p>
        </w:tc>
        <w:tc>
          <w:tcPr>
            <w:tcW w:w="2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9D65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该规划位于老界岭南路以东、光武大道以南、长江北路以西、泗洲路以北区域，规划总用地面积约320.822亩（用地面积以实测为准）。</w:t>
            </w:r>
          </w:p>
        </w:tc>
        <w:tc>
          <w:tcPr>
            <w:tcW w:w="8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7A746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textAlignment w:val="baseline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商务金融用地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总面积约140.939亩，其中SF18-C3-4地块容积率不小于1.0且不大于3.5，建筑密度不大于40%，建筑限高43米，绿地率不小于30%；SF18-C3-2地块为现状保留用地。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商业用地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面积约13.995亩，为现状保留用地。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公园绿地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面积约58.997亩，容积率不大于0.1，建筑密度不大于5%，建筑限高12米，绿地率不小于65%。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防护绿地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面积约16.437亩，容积率不大于0.05，建筑密度不大于1%，建筑限高12米，绿地率不小于85%。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广场用地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面积约13.739亩，容积率不大于0.2，建筑密度不大于10%，建筑限高12米，绿地率不小于35%。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城镇村道路用地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面积约68.287亩。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河流水面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面积约8.428亩。各类用地面积以实测为准。</w:t>
            </w:r>
          </w:p>
        </w:tc>
      </w:tr>
      <w:tr w14:paraId="057A3C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BA0858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2</w:t>
            </w:r>
          </w:p>
        </w:tc>
        <w:tc>
          <w:tcPr>
            <w:tcW w:w="2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A1717B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示范区长江北路以东、丹阳路以北区域（第SF12-A1、A2街坊）控制性详细规划</w:t>
            </w:r>
          </w:p>
        </w:tc>
        <w:tc>
          <w:tcPr>
            <w:tcW w:w="2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25DB35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该规划位于长江北路以东、永富大街以南、黄河北路以西、丹阳路以北区域，规划总用地面积约632.791亩（用地面积以实测为准）。</w:t>
            </w:r>
          </w:p>
        </w:tc>
        <w:tc>
          <w:tcPr>
            <w:tcW w:w="8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92FD43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二类城镇住宅用地面积约161.383亩，容积率大于1.0且不大于2.2，建筑密度不大于25%，建筑限高41.5米，绿地率不小于40%。医院用地面积约239.294亩，容积率不大于1.5，建筑密度不大于25%，建筑限高41米，绿地率不小于35%。公园绿地面积约69.519亩，容积率不大于0.1，建筑密度不大于5%，建筑限高12米，绿地率不小于65%。防护绿地面积约8.005亩，容积率不大于0.05，建筑密度不大于1%，建筑限高12米，绿地率不小于85%。城镇村道路用地面积约118.210亩。河流水面面积约36.380亩。各类用地面积以实测为准。</w:t>
            </w:r>
          </w:p>
        </w:tc>
      </w:tr>
      <w:tr w14:paraId="075B83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02900B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3</w:t>
            </w:r>
          </w:p>
        </w:tc>
        <w:tc>
          <w:tcPr>
            <w:tcW w:w="2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0DB0B6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示范区淮源路以北、老界岭南路以东区域（第SF20-D2、D5、D7街坊）控制性详细规划</w:t>
            </w:r>
          </w:p>
        </w:tc>
        <w:tc>
          <w:tcPr>
            <w:tcW w:w="2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4DB3C7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该规划位于老界岭南路以东、裕州路以南、长江支一路以西、淮源路以北区域，规划总用地面积约415.887亩（用地面积以实测为准）。</w:t>
            </w:r>
          </w:p>
        </w:tc>
        <w:tc>
          <w:tcPr>
            <w:tcW w:w="8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625C1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二类城镇住宅用地总面积约205.106亩，其中SF20-D7-2地块容积率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大于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1.0且不大于2.5，建筑密度不大于25%，建筑限高44米，绿地率不小于40%；SF20-D2-5、SF20-D5-3地块为现状保留用地。中小学用地面积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5"/>
                <w:sz w:val="24"/>
                <w:szCs w:val="24"/>
                <w:highlight w:val="none"/>
                <w:lang w:val="en-US" w:eastAsia="zh-CN"/>
              </w:rPr>
              <w:t>约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t>29.836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5"/>
                <w:sz w:val="24"/>
                <w:szCs w:val="24"/>
                <w:highlight w:val="none"/>
                <w:lang w:val="en-US" w:eastAsia="zh-CN"/>
              </w:rPr>
              <w:t>亩，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容积率不大于1.2，建筑密度不大于30%，建筑限高24米，绿地率不小于35%。商业用地面积约11.120亩，容积率不小于1.0且不大于2.2，建筑密度不大于50%，建筑限高45米，绿地率不小于20%。公园绿地总面积约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t>47.879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亩，容积率不大于0.1，建筑密度不大于5%，建筑限高12米，绿地率不小于65%。城镇村道路用地面积约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t>104.231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亩。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t>河流水面面积约17.715亩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。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各类用地面积以实测为准。</w:t>
            </w:r>
          </w:p>
        </w:tc>
      </w:tr>
      <w:tr w14:paraId="5F2D7F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8" w:hRule="atLeast"/>
        </w:trPr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22B70A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4</w:t>
            </w:r>
          </w:p>
        </w:tc>
        <w:tc>
          <w:tcPr>
            <w:tcW w:w="2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BF737D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卧龙区北京大道以东、涧河大道以北区域（第WL35-B1、B2、B5、B6街坊）控制性详细规划</w:t>
            </w:r>
          </w:p>
        </w:tc>
        <w:tc>
          <w:tcPr>
            <w:tcW w:w="2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45D8B0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该规划位于北京大道以东、涧河大道以北区域，规划总用地面积约346.81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亩（用地面积以实测为准）。</w:t>
            </w:r>
          </w:p>
        </w:tc>
        <w:tc>
          <w:tcPr>
            <w:tcW w:w="8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BB084D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highlight w:val="none"/>
              </w:rPr>
              <w:t>二类城镇住宅用地面积约163.344亩，其中WL35-B5-1地块为已批用地容积率大于1.0且不大于3.0，建筑密度不大于22%，绿地率不小于35%，建筑限高80米；WL35-B1-1地块为已批已供已建用地按原规划条件执行；WL35-B2-1地块容积率大于1.0且不大于2.5，建筑密度不大于22%，绿地率不小于35%，建筑限高80米。中小学用地面积约42.954亩，容积率不大于1.5，建筑密度不大于35%，绿地率不小于35%，建筑限高36米。公园绿地面积约26.317亩。河流水面面积约11.209亩。城镇村道路用地面积约102.987亩。各类用地面积以实测为准。</w:t>
            </w:r>
          </w:p>
        </w:tc>
      </w:tr>
    </w:tbl>
    <w:p w14:paraId="6550ED98">
      <w:pPr>
        <w:spacing w:after="120"/>
        <w:rPr>
          <w:rFonts w:hint="eastAsia" w:ascii="黑体" w:hAnsi="黑体" w:eastAsia="黑体" w:cs="黑体"/>
          <w:color w:val="000000"/>
          <w:sz w:val="32"/>
          <w:szCs w:val="32"/>
          <w:highlight w:val="none"/>
        </w:rPr>
      </w:pPr>
    </w:p>
    <w:p w14:paraId="317869B2">
      <w:pPr>
        <w:tabs>
          <w:tab w:val="left" w:pos="5880"/>
        </w:tabs>
        <w:spacing w:after="120" w:line="20" w:lineRule="exact"/>
        <w:rPr>
          <w:rFonts w:hint="eastAsia" w:ascii="Calibri" w:hAnsi="Calibri"/>
          <w:b/>
          <w:bCs/>
          <w:color w:val="FF0000"/>
          <w:szCs w:val="24"/>
          <w:highlight w:val="none"/>
        </w:rPr>
      </w:pPr>
    </w:p>
    <w:p w14:paraId="35487731">
      <w:pPr>
        <w:rPr>
          <w:rFonts w:ascii="仿宋_GB2312" w:eastAsia="仿宋_GB2312"/>
          <w:sz w:val="32"/>
          <w:szCs w:val="32"/>
        </w:rPr>
        <w:sectPr>
          <w:pgSz w:w="16838" w:h="11906" w:orient="landscape"/>
          <w:pgMar w:top="1800" w:right="1440" w:bottom="1800" w:left="1440" w:header="851" w:footer="992" w:gutter="0"/>
          <w:pgNumType w:fmt="numberInDash"/>
          <w:cols w:space="425" w:num="1"/>
          <w:docGrid w:type="lines" w:linePitch="312" w:charSpace="0"/>
        </w:sectPr>
      </w:pPr>
    </w:p>
    <w:p w14:paraId="251D81DB">
      <w:pPr>
        <w:rPr>
          <w:rFonts w:ascii="仿宋_GB2312" w:eastAsia="仿宋_GB2312"/>
          <w:sz w:val="32"/>
          <w:szCs w:val="32"/>
        </w:rPr>
      </w:pPr>
    </w:p>
    <w:p w14:paraId="64F0231D">
      <w:pPr>
        <w:rPr>
          <w:rFonts w:ascii="仿宋_GB2312" w:eastAsia="仿宋_GB2312"/>
          <w:sz w:val="32"/>
          <w:szCs w:val="32"/>
        </w:rPr>
      </w:pPr>
    </w:p>
    <w:p w14:paraId="2C9A31FA">
      <w:pPr>
        <w:rPr>
          <w:rFonts w:ascii="仿宋_GB2312" w:eastAsia="仿宋_GB2312"/>
          <w:sz w:val="32"/>
          <w:szCs w:val="32"/>
        </w:rPr>
      </w:pPr>
    </w:p>
    <w:p w14:paraId="02904982">
      <w:pPr>
        <w:rPr>
          <w:rFonts w:ascii="仿宋_GB2312" w:eastAsia="仿宋_GB2312"/>
          <w:sz w:val="32"/>
          <w:szCs w:val="32"/>
        </w:rPr>
      </w:pPr>
    </w:p>
    <w:p w14:paraId="37FCEBA7">
      <w:pPr>
        <w:rPr>
          <w:rFonts w:ascii="仿宋_GB2312" w:eastAsia="仿宋_GB2312"/>
          <w:sz w:val="32"/>
          <w:szCs w:val="32"/>
        </w:rPr>
      </w:pPr>
    </w:p>
    <w:p w14:paraId="5D922604">
      <w:pPr>
        <w:rPr>
          <w:rFonts w:ascii="仿宋_GB2312" w:eastAsia="仿宋_GB2312"/>
          <w:sz w:val="32"/>
          <w:szCs w:val="32"/>
        </w:rPr>
      </w:pPr>
    </w:p>
    <w:p w14:paraId="63E703E7">
      <w:pPr>
        <w:rPr>
          <w:rFonts w:ascii="仿宋_GB2312" w:eastAsia="仿宋_GB2312"/>
          <w:sz w:val="32"/>
          <w:szCs w:val="32"/>
        </w:rPr>
      </w:pPr>
    </w:p>
    <w:p w14:paraId="39BFFA66">
      <w:pPr>
        <w:rPr>
          <w:rFonts w:ascii="仿宋_GB2312" w:eastAsia="仿宋_GB2312"/>
          <w:sz w:val="32"/>
          <w:szCs w:val="32"/>
        </w:rPr>
      </w:pPr>
    </w:p>
    <w:p w14:paraId="138BCD7A">
      <w:pPr>
        <w:rPr>
          <w:rFonts w:ascii="仿宋_GB2312" w:eastAsia="仿宋_GB2312"/>
          <w:sz w:val="32"/>
          <w:szCs w:val="32"/>
        </w:rPr>
      </w:pPr>
    </w:p>
    <w:p w14:paraId="237090DC">
      <w:pPr>
        <w:rPr>
          <w:rFonts w:ascii="仿宋_GB2312" w:eastAsia="仿宋_GB2312"/>
          <w:sz w:val="32"/>
          <w:szCs w:val="32"/>
        </w:rPr>
      </w:pPr>
    </w:p>
    <w:p w14:paraId="4956A328">
      <w:pPr>
        <w:rPr>
          <w:rFonts w:ascii="仿宋_GB2312" w:eastAsia="仿宋_GB2312"/>
          <w:sz w:val="32"/>
          <w:szCs w:val="32"/>
        </w:rPr>
      </w:pPr>
    </w:p>
    <w:p w14:paraId="77BB1CD9">
      <w:pPr>
        <w:rPr>
          <w:rFonts w:ascii="仿宋_GB2312" w:eastAsia="仿宋_GB2312"/>
          <w:sz w:val="32"/>
          <w:szCs w:val="32"/>
        </w:rPr>
      </w:pPr>
    </w:p>
    <w:p w14:paraId="1215DDF6">
      <w:pPr>
        <w:rPr>
          <w:rFonts w:ascii="仿宋_GB2312" w:eastAsia="仿宋_GB2312"/>
          <w:sz w:val="32"/>
          <w:szCs w:val="32"/>
        </w:rPr>
      </w:pPr>
    </w:p>
    <w:p w14:paraId="7C718188">
      <w:pPr>
        <w:rPr>
          <w:rFonts w:ascii="仿宋_GB2312" w:eastAsia="仿宋_GB2312"/>
          <w:sz w:val="32"/>
          <w:szCs w:val="32"/>
        </w:rPr>
      </w:pPr>
    </w:p>
    <w:p w14:paraId="2577474C">
      <w:pPr>
        <w:rPr>
          <w:rFonts w:ascii="仿宋_GB2312" w:eastAsia="仿宋_GB2312"/>
          <w:sz w:val="32"/>
          <w:szCs w:val="32"/>
        </w:rPr>
      </w:pPr>
    </w:p>
    <w:p w14:paraId="58AD2EEC">
      <w:pPr>
        <w:rPr>
          <w:rFonts w:ascii="仿宋_GB2312" w:eastAsia="仿宋_GB2312"/>
          <w:sz w:val="32"/>
          <w:szCs w:val="32"/>
        </w:rPr>
      </w:pPr>
      <w:bookmarkStart w:id="6" w:name="_GoBack"/>
      <w:bookmarkEnd w:id="6"/>
    </w:p>
    <w:p w14:paraId="0B3EEA70">
      <w:pPr>
        <w:rPr>
          <w:rFonts w:ascii="仿宋_GB2312" w:eastAsia="仿宋_GB2312"/>
          <w:sz w:val="32"/>
          <w:szCs w:val="32"/>
        </w:rPr>
      </w:pPr>
    </w:p>
    <w:tbl>
      <w:tblPr>
        <w:tblStyle w:val="5"/>
        <w:tblW w:w="8845" w:type="dxa"/>
        <w:jc w:val="center"/>
        <w:tblBorders>
          <w:top w:val="single" w:color="FF0000" w:sz="12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99"/>
        <w:gridCol w:w="318"/>
        <w:gridCol w:w="3628"/>
      </w:tblGrid>
      <w:tr w14:paraId="4D78FEFB">
        <w:tblPrEx>
          <w:tblBorders>
            <w:top w:val="single" w:color="FF0000" w:sz="12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45" w:type="dxa"/>
            <w:gridSpan w:val="3"/>
            <w:tcBorders>
              <w:top w:val="nil"/>
              <w:left w:val="nil"/>
              <w:bottom w:val="single" w:color="000000" w:sz="18" w:space="0"/>
              <w:right w:val="nil"/>
            </w:tcBorders>
          </w:tcPr>
          <w:p w14:paraId="1E83E434">
            <w:pPr>
              <w:ind w:firstLine="200" w:firstLineChars="200"/>
              <w:rPr>
                <w:rFonts w:ascii="仿宋_GB2312" w:eastAsia="仿宋_GB2312"/>
                <w:sz w:val="10"/>
                <w:szCs w:val="10"/>
              </w:rPr>
            </w:pPr>
          </w:p>
        </w:tc>
      </w:tr>
      <w:tr w14:paraId="13D5B72C">
        <w:tblPrEx>
          <w:tblBorders>
            <w:top w:val="single" w:color="FF0000" w:sz="12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9" w:type="dxa"/>
            <w:tcBorders>
              <w:top w:val="single" w:color="000000" w:sz="18" w:space="0"/>
              <w:left w:val="nil"/>
              <w:bottom w:val="single" w:color="000000" w:sz="12" w:space="0"/>
              <w:right w:val="nil"/>
            </w:tcBorders>
          </w:tcPr>
          <w:p w14:paraId="1F8A7458"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主办：</w:t>
            </w:r>
            <w:bookmarkStart w:id="0" w:name="主办2"/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市自然资源和规划局</w:t>
            </w:r>
            <w:bookmarkEnd w:id="0"/>
            <w:r>
              <w:rPr>
                <w:rFonts w:hint="eastAsia" w:ascii="仿宋_GB2312" w:eastAsia="仿宋_GB2312"/>
                <w:sz w:val="32"/>
                <w:szCs w:val="32"/>
              </w:rPr>
              <w:t xml:space="preserve">                     </w:t>
            </w:r>
          </w:p>
        </w:tc>
        <w:tc>
          <w:tcPr>
            <w:tcW w:w="39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479AA5F4">
            <w:pPr>
              <w:jc w:val="right"/>
              <w:rPr>
                <w:rFonts w:hint="eastAsia" w:ascii="仿宋_GB2312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督办：</w:t>
            </w:r>
            <w:bookmarkStart w:id="1" w:name="督办"/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市政府办公室五科</w:t>
            </w:r>
            <w:bookmarkEnd w:id="1"/>
          </w:p>
        </w:tc>
      </w:tr>
      <w:tr w14:paraId="1F775A39">
        <w:tblPrEx>
          <w:tblBorders>
            <w:top w:val="single" w:color="FF0000" w:sz="12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45" w:type="dxa"/>
            <w:gridSpan w:val="3"/>
            <w:tcBorders>
              <w:top w:val="single" w:color="000000" w:sz="12" w:space="0"/>
              <w:left w:val="nil"/>
              <w:bottom w:val="single" w:color="000000" w:themeColor="text1" w:sz="4" w:space="0"/>
              <w:right w:val="nil"/>
            </w:tcBorders>
          </w:tcPr>
          <w:p w14:paraId="3223D382">
            <w:pPr>
              <w:rPr>
                <w:rFonts w:hint="eastAsia" w:ascii="仿宋_GB2312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抄送</w:t>
            </w:r>
            <w:r>
              <w:rPr>
                <w:rFonts w:ascii="仿宋_GB2312" w:eastAsia="仿宋_GB2312"/>
                <w:sz w:val="32"/>
                <w:szCs w:val="32"/>
              </w:rPr>
              <w:t>：</w:t>
            </w:r>
            <w:bookmarkStart w:id="2" w:name="抄送"/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卧龙区人民政府、城乡一体化示范区管委会</w:t>
            </w:r>
            <w:bookmarkEnd w:id="2"/>
          </w:p>
        </w:tc>
      </w:tr>
      <w:tr w14:paraId="63620052">
        <w:tblPrEx>
          <w:tblBorders>
            <w:top w:val="single" w:color="FF0000" w:sz="12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17" w:type="dxa"/>
            <w:gridSpan w:val="2"/>
            <w:tcBorders>
              <w:top w:val="single" w:color="000000" w:themeColor="text1" w:sz="4" w:space="0"/>
              <w:left w:val="nil"/>
              <w:bottom w:val="single" w:color="000000" w:sz="18" w:space="0"/>
              <w:right w:val="nil"/>
            </w:tcBorders>
          </w:tcPr>
          <w:p w14:paraId="6D9F45D9">
            <w:pPr>
              <w:jc w:val="lef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南阳市人民政府办公室</w:t>
            </w:r>
            <w:r>
              <w:rPr>
                <w:rFonts w:ascii="仿宋_GB2312" w:eastAsia="仿宋_GB2312"/>
                <w:sz w:val="32"/>
                <w:szCs w:val="32"/>
              </w:rPr>
              <w:t xml:space="preserve"> </w:t>
            </w:r>
          </w:p>
        </w:tc>
        <w:tc>
          <w:tcPr>
            <w:tcW w:w="3628" w:type="dxa"/>
            <w:tcBorders>
              <w:top w:val="single" w:color="000000" w:themeColor="text1" w:sz="4" w:space="0"/>
              <w:left w:val="nil"/>
              <w:bottom w:val="single" w:color="000000" w:sz="18" w:space="0"/>
              <w:right w:val="nil"/>
            </w:tcBorders>
          </w:tcPr>
          <w:p w14:paraId="305A3AED">
            <w:pPr>
              <w:jc w:val="both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bookmarkStart w:id="3" w:name="年"/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20XX</w:t>
            </w:r>
            <w:bookmarkEnd w:id="3"/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年</w:t>
            </w:r>
            <w:bookmarkStart w:id="4" w:name="月"/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XX</w:t>
            </w:r>
            <w:bookmarkEnd w:id="4"/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月</w:t>
            </w:r>
            <w:bookmarkStart w:id="5" w:name="日"/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XX</w:t>
            </w:r>
            <w:bookmarkEnd w:id="5"/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日印发</w:t>
            </w:r>
          </w:p>
        </w:tc>
      </w:tr>
    </w:tbl>
    <w:p w14:paraId="46181305"/>
    <w:p w14:paraId="09AA45C4"/>
    <w:sectPr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F76C51"/>
    <w:rsid w:val="18F76C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/>
    </w:p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2026-06-30T07:16:00Z</dcterms:created>
  <dc:creator>zkyyyy</dc:creator>
  <cp:lastModifiedBy>zkyyyy</cp:lastModifiedBy>
  <dcterms:modified xsi:type="dcterms:W3CDTF">2026-06-30T07:17:01Z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596E789660D144E69A70088BF97ED1BC_11</vt:lpwstr>
  </property>
  <property fmtid="{D5CDD505-2E9C-101B-9397-08002B2CF9AE}" pid="4" name="KSOTemplateDocerSaveRecord">
    <vt:lpwstr>eyJoZGlkIjoiNmU5MGVmOThhYzdlNWRiMTY3ZWZiMjY5OWVlNjk5NWYiLCJ1c2VySWQiOiIzODI2MDExMzIifQ==</vt:lpwstr>
  </property>
</Properties>
</file>