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185" w:rsidRDefault="00024185">
      <w:pPr>
        <w:pStyle w:val="a6"/>
        <w:spacing w:before="0" w:after="0" w:line="240" w:lineRule="auto"/>
        <w:jc w:val="left"/>
        <w:rPr>
          <w:rFonts w:ascii="宋体" w:hAnsi="宋体" w:cs="宋体" w:hint="eastAsia"/>
          <w:color w:val="FF0000"/>
          <w:kern w:val="2"/>
        </w:rPr>
      </w:pPr>
      <w:bookmarkStart w:id="0" w:name="_Toc4507"/>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p w:rsidR="00024185" w:rsidRDefault="00707518">
      <w:pPr>
        <w:pStyle w:val="a6"/>
        <w:spacing w:line="240" w:lineRule="auto"/>
        <w:rPr>
          <w:rFonts w:ascii="宋体" w:hAnsi="宋体" w:cs="宋体"/>
          <w:kern w:val="2"/>
          <w:sz w:val="44"/>
          <w:szCs w:val="44"/>
        </w:rPr>
      </w:pPr>
      <w:r>
        <w:rPr>
          <w:rFonts w:ascii="宋体" w:hAnsi="宋体" w:cs="宋体"/>
          <w:kern w:val="2"/>
          <w:sz w:val="44"/>
          <w:szCs w:val="44"/>
        </w:rPr>
        <w:t>202</w:t>
      </w:r>
      <w:r>
        <w:rPr>
          <w:rFonts w:ascii="宋体" w:hAnsi="宋体" w:cs="宋体" w:hint="eastAsia"/>
          <w:kern w:val="2"/>
          <w:sz w:val="44"/>
          <w:szCs w:val="44"/>
        </w:rPr>
        <w:t>5</w:t>
      </w:r>
      <w:r>
        <w:rPr>
          <w:rFonts w:ascii="宋体" w:hAnsi="宋体" w:cs="宋体"/>
          <w:kern w:val="2"/>
          <w:sz w:val="44"/>
          <w:szCs w:val="44"/>
        </w:rPr>
        <w:t>年南阳市国民经济和社会发展</w:t>
      </w:r>
      <w:bookmarkEnd w:id="0"/>
    </w:p>
    <w:p w:rsidR="00024185" w:rsidRDefault="00707518">
      <w:pPr>
        <w:pStyle w:val="a6"/>
        <w:spacing w:line="240" w:lineRule="auto"/>
        <w:rPr>
          <w:rFonts w:ascii="宋体" w:hAnsi="宋体" w:cs="宋体"/>
          <w:kern w:val="2"/>
          <w:sz w:val="44"/>
          <w:szCs w:val="44"/>
        </w:rPr>
      </w:pPr>
      <w:bookmarkStart w:id="1" w:name="_Toc31142"/>
      <w:r>
        <w:rPr>
          <w:rFonts w:ascii="宋体" w:hAnsi="宋体" w:cs="宋体"/>
          <w:kern w:val="2"/>
          <w:sz w:val="44"/>
          <w:szCs w:val="44"/>
        </w:rPr>
        <w:t>统 计 公 报</w:t>
      </w:r>
      <w:bookmarkEnd w:id="1"/>
    </w:p>
    <w:p w:rsidR="00024185" w:rsidRDefault="00707518">
      <w:pPr>
        <w:spacing w:line="500" w:lineRule="exact"/>
        <w:jc w:val="center"/>
        <w:rPr>
          <w:rFonts w:ascii="楷体_GB2312" w:eastAsia="楷体_GB2312"/>
          <w:sz w:val="28"/>
          <w:szCs w:val="28"/>
        </w:rPr>
      </w:pPr>
      <w:r>
        <w:rPr>
          <w:rFonts w:ascii="楷体_GB2312" w:eastAsia="楷体_GB2312" w:hint="eastAsia"/>
          <w:sz w:val="28"/>
          <w:szCs w:val="28"/>
        </w:rPr>
        <w:t>南阳市统计局</w:t>
      </w:r>
      <w:r w:rsidR="00DA0639">
        <w:rPr>
          <w:rFonts w:ascii="楷体_GB2312" w:eastAsia="楷体_GB2312" w:hint="eastAsia"/>
          <w:sz w:val="28"/>
          <w:szCs w:val="28"/>
        </w:rPr>
        <w:t xml:space="preserve"> 国家统计局南阳调查队</w:t>
      </w:r>
    </w:p>
    <w:p w:rsidR="00024185" w:rsidRDefault="00707518">
      <w:pPr>
        <w:spacing w:line="500" w:lineRule="exact"/>
        <w:jc w:val="center"/>
        <w:rPr>
          <w:rFonts w:ascii="楷体_GB2312" w:eastAsia="楷体_GB2312"/>
          <w:sz w:val="28"/>
          <w:szCs w:val="28"/>
        </w:rPr>
      </w:pPr>
      <w:r>
        <w:rPr>
          <w:rFonts w:ascii="楷体_GB2312" w:eastAsia="楷体_GB2312" w:hint="eastAsia"/>
          <w:sz w:val="28"/>
          <w:szCs w:val="28"/>
        </w:rPr>
        <w:t>（2026年4月</w:t>
      </w:r>
      <w:r w:rsidR="004761CE">
        <w:rPr>
          <w:rFonts w:ascii="楷体_GB2312" w:eastAsia="楷体_GB2312" w:hint="eastAsia"/>
          <w:sz w:val="28"/>
          <w:szCs w:val="28"/>
        </w:rPr>
        <w:t>17</w:t>
      </w:r>
      <w:bookmarkStart w:id="2" w:name="_GoBack"/>
      <w:bookmarkEnd w:id="2"/>
      <w:r>
        <w:rPr>
          <w:rFonts w:ascii="楷体_GB2312" w:eastAsia="楷体_GB2312" w:hint="eastAsia"/>
          <w:sz w:val="28"/>
          <w:szCs w:val="28"/>
        </w:rPr>
        <w:t>日）</w:t>
      </w:r>
    </w:p>
    <w:p w:rsidR="00024185" w:rsidRDefault="00707518">
      <w:pPr>
        <w:spacing w:beforeLines="50" w:before="120" w:afterLines="50" w:after="120" w:line="560" w:lineRule="exact"/>
        <w:ind w:firstLineChars="200" w:firstLine="640"/>
        <w:jc w:val="left"/>
        <w:rPr>
          <w:rFonts w:ascii="仿宋_GB2312" w:eastAsia="仿宋_GB2312"/>
          <w:sz w:val="32"/>
          <w:szCs w:val="32"/>
        </w:rPr>
      </w:pPr>
      <w:r>
        <w:rPr>
          <w:rFonts w:ascii="仿宋_GB2312" w:eastAsia="仿宋_GB2312" w:hint="eastAsia"/>
          <w:sz w:val="32"/>
          <w:szCs w:val="32"/>
        </w:rPr>
        <w:t>2025年是“十四五”收官之年，也是“十五五”谋篇布局之年。全市上下坚持以习近平新时代中国特色社会主义思想为指导，全面学习贯彻党的二十大和二十届历次全会精神，锚定省委“1+2+4+N”目标任务体系，以“五聚五提”为总抓手，有力有效应对各种困难和挑战，全市经济顶压前行、稳中向好、趋新向优，圆满完成年度预期目标，实现“十四五”胜利收官，扛起了经济大市挑大梁的责任担当。</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lastRenderedPageBreak/>
        <w:t>一、综 合</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初步核算，全年全市地区生产总值</w:t>
      </w:r>
      <w:r>
        <w:rPr>
          <w:rFonts w:ascii="仿宋_GB2312" w:eastAsia="仿宋_GB2312" w:hint="eastAsia"/>
          <w:sz w:val="32"/>
          <w:szCs w:val="32"/>
        </w:rPr>
        <w:t>5167.86</w:t>
      </w:r>
      <w:r>
        <w:rPr>
          <w:rFonts w:ascii="仿宋_GB2312" w:eastAsia="仿宋_GB2312"/>
          <w:sz w:val="32"/>
          <w:szCs w:val="32"/>
        </w:rPr>
        <w:t>亿元，比上年增长</w:t>
      </w:r>
      <w:r>
        <w:rPr>
          <w:rFonts w:ascii="仿宋_GB2312" w:eastAsia="仿宋_GB2312" w:hint="eastAsia"/>
          <w:sz w:val="32"/>
          <w:szCs w:val="32"/>
        </w:rPr>
        <w:t>6</w:t>
      </w:r>
      <w:r>
        <w:rPr>
          <w:rFonts w:ascii="仿宋_GB2312" w:eastAsia="仿宋_GB2312"/>
          <w:sz w:val="32"/>
          <w:szCs w:val="32"/>
        </w:rPr>
        <w:t>.5%。其中，第一产业增加值</w:t>
      </w:r>
      <w:r>
        <w:rPr>
          <w:rFonts w:ascii="仿宋_GB2312" w:eastAsia="仿宋_GB2312" w:hint="eastAsia"/>
          <w:sz w:val="32"/>
          <w:szCs w:val="32"/>
        </w:rPr>
        <w:t>790.64</w:t>
      </w:r>
      <w:r>
        <w:rPr>
          <w:rFonts w:ascii="仿宋_GB2312" w:eastAsia="仿宋_GB2312"/>
          <w:sz w:val="32"/>
          <w:szCs w:val="32"/>
        </w:rPr>
        <w:t>亿元，增长3.6%；第二产业增加值</w:t>
      </w:r>
      <w:r>
        <w:rPr>
          <w:rFonts w:ascii="仿宋_GB2312" w:eastAsia="仿宋_GB2312" w:hint="eastAsia"/>
          <w:sz w:val="32"/>
          <w:szCs w:val="32"/>
        </w:rPr>
        <w:t>1648.64</w:t>
      </w:r>
      <w:r>
        <w:rPr>
          <w:rFonts w:ascii="仿宋_GB2312" w:eastAsia="仿宋_GB2312"/>
          <w:sz w:val="32"/>
          <w:szCs w:val="32"/>
        </w:rPr>
        <w:t>亿元，增长</w:t>
      </w:r>
      <w:r>
        <w:rPr>
          <w:rFonts w:ascii="仿宋_GB2312" w:eastAsia="仿宋_GB2312" w:hint="eastAsia"/>
          <w:sz w:val="32"/>
          <w:szCs w:val="32"/>
        </w:rPr>
        <w:t>5.7</w:t>
      </w:r>
      <w:r>
        <w:rPr>
          <w:rFonts w:ascii="仿宋_GB2312" w:eastAsia="仿宋_GB2312"/>
          <w:sz w:val="32"/>
          <w:szCs w:val="32"/>
        </w:rPr>
        <w:t>%；第三产业增加值</w:t>
      </w:r>
      <w:r>
        <w:rPr>
          <w:rFonts w:ascii="仿宋_GB2312" w:eastAsia="仿宋_GB2312" w:hint="eastAsia"/>
          <w:sz w:val="32"/>
          <w:szCs w:val="32"/>
        </w:rPr>
        <w:t>2728.58</w:t>
      </w:r>
      <w:r>
        <w:rPr>
          <w:rFonts w:ascii="仿宋_GB2312" w:eastAsia="仿宋_GB2312"/>
          <w:sz w:val="32"/>
          <w:szCs w:val="32"/>
        </w:rPr>
        <w:t>亿元，增长</w:t>
      </w:r>
      <w:r>
        <w:rPr>
          <w:rFonts w:ascii="仿宋_GB2312" w:eastAsia="仿宋_GB2312" w:hint="eastAsia"/>
          <w:sz w:val="32"/>
          <w:szCs w:val="32"/>
        </w:rPr>
        <w:t>8.0</w:t>
      </w:r>
      <w:r>
        <w:rPr>
          <w:rFonts w:ascii="仿宋_GB2312" w:eastAsia="仿宋_GB2312"/>
          <w:sz w:val="32"/>
          <w:szCs w:val="32"/>
        </w:rPr>
        <w:t>%。三次产业结构为15.</w:t>
      </w: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31.9</w:t>
      </w:r>
      <w:r>
        <w:rPr>
          <w:rFonts w:ascii="仿宋_GB2312" w:eastAsia="仿宋_GB2312"/>
          <w:sz w:val="32"/>
          <w:szCs w:val="32"/>
        </w:rPr>
        <w:t>：52.</w:t>
      </w:r>
      <w:r>
        <w:rPr>
          <w:rFonts w:ascii="仿宋_GB2312" w:eastAsia="仿宋_GB2312" w:hint="eastAsia"/>
          <w:sz w:val="32"/>
          <w:szCs w:val="32"/>
        </w:rPr>
        <w:t>8</w:t>
      </w:r>
      <w:r>
        <w:rPr>
          <w:rFonts w:ascii="仿宋_GB2312" w:eastAsia="仿宋_GB2312"/>
          <w:sz w:val="32"/>
          <w:szCs w:val="32"/>
        </w:rPr>
        <w:t>。</w:t>
      </w:r>
    </w:p>
    <w:p w:rsidR="00024185" w:rsidRDefault="00707518">
      <w:pPr>
        <w:spacing w:line="560" w:lineRule="exact"/>
        <w:jc w:val="center"/>
        <w:rPr>
          <w:rFonts w:ascii="宋体" w:hAnsi="宋体" w:cs="宋体"/>
          <w:b/>
          <w:bCs/>
          <w:kern w:val="0"/>
          <w:sz w:val="32"/>
          <w:szCs w:val="32"/>
        </w:rPr>
      </w:pPr>
      <w:r>
        <w:rPr>
          <w:rFonts w:ascii="宋体" w:hAnsi="宋体" w:cs="宋体"/>
          <w:b/>
          <w:bCs/>
          <w:kern w:val="0"/>
          <w:sz w:val="32"/>
          <w:szCs w:val="32"/>
        </w:rPr>
        <w:t>图1  202</w:t>
      </w:r>
      <w:r>
        <w:rPr>
          <w:rFonts w:ascii="宋体" w:hAnsi="宋体" w:cs="宋体" w:hint="eastAsia"/>
          <w:b/>
          <w:bCs/>
          <w:kern w:val="0"/>
          <w:sz w:val="32"/>
          <w:szCs w:val="32"/>
        </w:rPr>
        <w:t>1</w:t>
      </w:r>
      <w:r>
        <w:rPr>
          <w:rFonts w:ascii="宋体" w:hAnsi="宋体" w:cs="宋体"/>
          <w:b/>
          <w:bCs/>
          <w:kern w:val="0"/>
          <w:sz w:val="32"/>
          <w:szCs w:val="32"/>
        </w:rPr>
        <w:t>-202</w:t>
      </w:r>
      <w:r>
        <w:rPr>
          <w:rFonts w:ascii="宋体" w:hAnsi="宋体" w:cs="宋体" w:hint="eastAsia"/>
          <w:b/>
          <w:bCs/>
          <w:kern w:val="0"/>
          <w:sz w:val="32"/>
          <w:szCs w:val="32"/>
        </w:rPr>
        <w:t>5</w:t>
      </w:r>
      <w:r>
        <w:rPr>
          <w:rFonts w:ascii="宋体" w:hAnsi="宋体" w:cs="宋体"/>
          <w:b/>
          <w:bCs/>
          <w:kern w:val="0"/>
          <w:sz w:val="32"/>
          <w:szCs w:val="32"/>
        </w:rPr>
        <w:t>年南阳市地区生产总值</w:t>
      </w:r>
      <w:r>
        <w:rPr>
          <w:rFonts w:ascii="宋体" w:hAnsi="宋体" w:cs="宋体" w:hint="eastAsia"/>
          <w:b/>
          <w:bCs/>
          <w:kern w:val="0"/>
          <w:sz w:val="32"/>
          <w:szCs w:val="32"/>
        </w:rPr>
        <w:t>及其增长速度</w:t>
      </w:r>
    </w:p>
    <w:p w:rsidR="00024185" w:rsidRDefault="00024185">
      <w:pPr>
        <w:jc w:val="center"/>
      </w:pPr>
    </w:p>
    <w:p w:rsidR="00024185" w:rsidRDefault="00024185">
      <w:pPr>
        <w:jc w:val="center"/>
      </w:pPr>
    </w:p>
    <w:p w:rsidR="00024185" w:rsidRDefault="00707518">
      <w:pPr>
        <w:jc w:val="center"/>
      </w:pPr>
      <w:r>
        <w:rPr>
          <w:noProof/>
        </w:rPr>
        <w:drawing>
          <wp:inline distT="0" distB="0" distL="114300" distR="114300">
            <wp:extent cx="5105400" cy="2571750"/>
            <wp:effectExtent l="0" t="0" r="0" b="0"/>
            <wp:docPr id="1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24185" w:rsidRDefault="00707518">
      <w:pPr>
        <w:spacing w:line="560" w:lineRule="exact"/>
        <w:jc w:val="center"/>
      </w:pPr>
      <w:r>
        <w:rPr>
          <w:rFonts w:ascii="宋体" w:hAnsi="宋体" w:cs="宋体"/>
          <w:b/>
          <w:bCs/>
          <w:spacing w:val="-8"/>
          <w:kern w:val="0"/>
          <w:sz w:val="32"/>
          <w:szCs w:val="32"/>
        </w:rPr>
        <w:t>图2  202</w:t>
      </w:r>
      <w:r>
        <w:rPr>
          <w:rFonts w:ascii="宋体" w:hAnsi="宋体" w:cs="宋体" w:hint="eastAsia"/>
          <w:b/>
          <w:bCs/>
          <w:spacing w:val="-8"/>
          <w:kern w:val="0"/>
          <w:sz w:val="32"/>
          <w:szCs w:val="32"/>
        </w:rPr>
        <w:t>1</w:t>
      </w:r>
      <w:r>
        <w:rPr>
          <w:rFonts w:ascii="宋体" w:hAnsi="宋体" w:cs="宋体"/>
          <w:b/>
          <w:bCs/>
          <w:spacing w:val="-8"/>
          <w:kern w:val="0"/>
          <w:sz w:val="32"/>
          <w:szCs w:val="32"/>
        </w:rPr>
        <w:t>-202</w:t>
      </w:r>
      <w:r>
        <w:rPr>
          <w:rFonts w:ascii="宋体" w:hAnsi="宋体" w:cs="宋体" w:hint="eastAsia"/>
          <w:b/>
          <w:bCs/>
          <w:spacing w:val="-8"/>
          <w:kern w:val="0"/>
          <w:sz w:val="32"/>
          <w:szCs w:val="32"/>
        </w:rPr>
        <w:t>5</w:t>
      </w:r>
      <w:r>
        <w:rPr>
          <w:rFonts w:ascii="宋体" w:hAnsi="宋体" w:cs="宋体"/>
          <w:b/>
          <w:bCs/>
          <w:spacing w:val="-8"/>
          <w:kern w:val="0"/>
          <w:sz w:val="32"/>
          <w:szCs w:val="32"/>
        </w:rPr>
        <w:t>年南阳市三次产业增加值占地区生产总值比重</w:t>
      </w:r>
    </w:p>
    <w:p w:rsidR="00024185" w:rsidRDefault="00024185">
      <w:pPr>
        <w:jc w:val="center"/>
      </w:pPr>
    </w:p>
    <w:p w:rsidR="00024185" w:rsidRDefault="00707518">
      <w:pPr>
        <w:jc w:val="center"/>
        <w:rPr>
          <w:color w:val="FF0000"/>
        </w:rPr>
      </w:pPr>
      <w:r>
        <w:rPr>
          <w:noProof/>
        </w:rPr>
        <w:drawing>
          <wp:inline distT="0" distB="0" distL="114300" distR="114300">
            <wp:extent cx="5105400" cy="2745105"/>
            <wp:effectExtent l="0" t="0" r="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年末全市常住人口</w:t>
      </w:r>
      <w:r>
        <w:rPr>
          <w:rFonts w:ascii="仿宋_GB2312" w:eastAsia="仿宋_GB2312" w:hint="eastAsia"/>
          <w:sz w:val="32"/>
          <w:szCs w:val="32"/>
        </w:rPr>
        <w:t>939.50</w:t>
      </w:r>
      <w:r>
        <w:rPr>
          <w:rFonts w:ascii="仿宋_GB2312" w:eastAsia="仿宋_GB2312"/>
          <w:sz w:val="32"/>
          <w:szCs w:val="32"/>
        </w:rPr>
        <w:t>万人。其中城镇常住人口</w:t>
      </w:r>
      <w:r>
        <w:rPr>
          <w:rFonts w:ascii="仿宋_GB2312" w:eastAsia="仿宋_GB2312" w:hint="eastAsia"/>
          <w:sz w:val="32"/>
          <w:szCs w:val="32"/>
        </w:rPr>
        <w:lastRenderedPageBreak/>
        <w:t>515.13</w:t>
      </w:r>
      <w:r>
        <w:rPr>
          <w:rFonts w:ascii="仿宋_GB2312" w:eastAsia="仿宋_GB2312"/>
          <w:sz w:val="32"/>
          <w:szCs w:val="32"/>
        </w:rPr>
        <w:t>万人，常住人口城镇化率为</w:t>
      </w:r>
      <w:r>
        <w:rPr>
          <w:rFonts w:ascii="仿宋_GB2312" w:eastAsia="仿宋_GB2312" w:hint="eastAsia"/>
          <w:sz w:val="32"/>
          <w:szCs w:val="32"/>
        </w:rPr>
        <w:t>54.83</w:t>
      </w:r>
      <w:r>
        <w:rPr>
          <w:rFonts w:ascii="仿宋_GB2312" w:eastAsia="仿宋_GB2312"/>
          <w:sz w:val="32"/>
          <w:szCs w:val="32"/>
        </w:rPr>
        <w:t>%。全年出生人口</w:t>
      </w:r>
      <w:r>
        <w:rPr>
          <w:rFonts w:ascii="仿宋_GB2312" w:eastAsia="仿宋_GB2312" w:hint="eastAsia"/>
          <w:sz w:val="32"/>
          <w:szCs w:val="32"/>
        </w:rPr>
        <w:t>5.18</w:t>
      </w:r>
      <w:r>
        <w:rPr>
          <w:rFonts w:ascii="仿宋_GB2312" w:eastAsia="仿宋_GB2312"/>
          <w:sz w:val="32"/>
          <w:szCs w:val="32"/>
        </w:rPr>
        <w:t>万人，出生率</w:t>
      </w:r>
      <w:r>
        <w:rPr>
          <w:rFonts w:ascii="仿宋_GB2312" w:eastAsia="仿宋_GB2312" w:hint="eastAsia"/>
          <w:sz w:val="32"/>
          <w:szCs w:val="32"/>
        </w:rPr>
        <w:t>5.50</w:t>
      </w:r>
      <w:r>
        <w:rPr>
          <w:rFonts w:ascii="仿宋_GB2312" w:eastAsia="仿宋_GB2312"/>
          <w:sz w:val="32"/>
          <w:szCs w:val="32"/>
        </w:rPr>
        <w:t>‰</w:t>
      </w:r>
      <w:r>
        <w:rPr>
          <w:rFonts w:ascii="仿宋_GB2312" w:eastAsia="仿宋_GB2312"/>
          <w:sz w:val="32"/>
          <w:szCs w:val="32"/>
        </w:rPr>
        <w:t>；死亡人口</w:t>
      </w:r>
      <w:r>
        <w:rPr>
          <w:rFonts w:ascii="仿宋_GB2312" w:eastAsia="仿宋_GB2312" w:hint="eastAsia"/>
          <w:sz w:val="32"/>
          <w:szCs w:val="32"/>
        </w:rPr>
        <w:t>8.73</w:t>
      </w:r>
      <w:r>
        <w:rPr>
          <w:rFonts w:ascii="仿宋_GB2312" w:eastAsia="仿宋_GB2312"/>
          <w:sz w:val="32"/>
          <w:szCs w:val="32"/>
        </w:rPr>
        <w:t>万人，死亡率</w:t>
      </w:r>
      <w:r>
        <w:rPr>
          <w:rFonts w:ascii="仿宋_GB2312" w:eastAsia="仿宋_GB2312" w:hint="eastAsia"/>
          <w:sz w:val="32"/>
          <w:szCs w:val="32"/>
        </w:rPr>
        <w:t>9.26</w:t>
      </w:r>
      <w:r>
        <w:rPr>
          <w:rFonts w:ascii="仿宋_GB2312" w:eastAsia="仿宋_GB2312"/>
          <w:sz w:val="32"/>
          <w:szCs w:val="32"/>
        </w:rPr>
        <w:t>‰</w:t>
      </w:r>
      <w:r>
        <w:rPr>
          <w:rFonts w:ascii="仿宋_GB2312" w:eastAsia="仿宋_GB2312"/>
          <w:sz w:val="32"/>
          <w:szCs w:val="32"/>
        </w:rPr>
        <w:t>；人口自然增长率为</w:t>
      </w:r>
      <w:r>
        <w:rPr>
          <w:rFonts w:ascii="仿宋_GB2312" w:eastAsia="仿宋_GB2312" w:hint="eastAsia"/>
          <w:sz w:val="32"/>
          <w:szCs w:val="32"/>
        </w:rPr>
        <w:t>-3.77</w:t>
      </w:r>
      <w:r>
        <w:rPr>
          <w:rFonts w:ascii="仿宋_GB2312" w:eastAsia="仿宋_GB2312"/>
          <w:sz w:val="32"/>
          <w:szCs w:val="32"/>
        </w:rPr>
        <w:t>‰</w:t>
      </w:r>
      <w:r>
        <w:rPr>
          <w:rFonts w:ascii="仿宋_GB2312" w:eastAsia="仿宋_GB2312"/>
          <w:sz w:val="32"/>
          <w:szCs w:val="32"/>
        </w:rPr>
        <w:t>。</w:t>
      </w:r>
    </w:p>
    <w:p w:rsidR="00024185" w:rsidRDefault="00707518">
      <w:pPr>
        <w:spacing w:line="560" w:lineRule="exact"/>
        <w:jc w:val="center"/>
        <w:rPr>
          <w:rFonts w:ascii="宋体" w:hAnsi="宋体" w:cs="宋体"/>
          <w:b/>
          <w:bCs/>
          <w:kern w:val="0"/>
          <w:sz w:val="32"/>
          <w:szCs w:val="32"/>
        </w:rPr>
      </w:pPr>
      <w:r>
        <w:rPr>
          <w:rFonts w:ascii="宋体" w:hAnsi="宋体" w:cs="宋体"/>
          <w:b/>
          <w:bCs/>
          <w:kern w:val="0"/>
          <w:sz w:val="32"/>
          <w:szCs w:val="32"/>
        </w:rPr>
        <w:t>表1  202</w:t>
      </w:r>
      <w:r>
        <w:rPr>
          <w:rFonts w:ascii="宋体" w:hAnsi="宋体" w:cs="宋体" w:hint="eastAsia"/>
          <w:b/>
          <w:bCs/>
          <w:kern w:val="0"/>
          <w:sz w:val="32"/>
          <w:szCs w:val="32"/>
        </w:rPr>
        <w:t>5</w:t>
      </w:r>
      <w:r>
        <w:rPr>
          <w:rFonts w:ascii="宋体" w:hAnsi="宋体" w:cs="宋体"/>
          <w:b/>
          <w:bCs/>
          <w:kern w:val="0"/>
          <w:sz w:val="32"/>
          <w:szCs w:val="32"/>
        </w:rPr>
        <w:t>年年末南阳市常住人口数及构成</w:t>
      </w:r>
    </w:p>
    <w:tbl>
      <w:tblPr>
        <w:tblW w:w="9152" w:type="dxa"/>
        <w:jc w:val="center"/>
        <w:tblLayout w:type="fixed"/>
        <w:tblCellMar>
          <w:left w:w="57" w:type="dxa"/>
          <w:right w:w="57" w:type="dxa"/>
        </w:tblCellMar>
        <w:tblLook w:val="04A0" w:firstRow="1" w:lastRow="0" w:firstColumn="1" w:lastColumn="0" w:noHBand="0" w:noVBand="1"/>
      </w:tblPr>
      <w:tblGrid>
        <w:gridCol w:w="5492"/>
        <w:gridCol w:w="1980"/>
        <w:gridCol w:w="1680"/>
      </w:tblGrid>
      <w:tr w:rsidR="00024185">
        <w:trPr>
          <w:trHeight w:hRule="exact" w:val="567"/>
          <w:jc w:val="center"/>
        </w:trPr>
        <w:tc>
          <w:tcPr>
            <w:tcW w:w="5492" w:type="dxa"/>
            <w:tcBorders>
              <w:top w:val="single" w:sz="8" w:space="0" w:color="000000"/>
              <w:left w:val="nil"/>
              <w:bottom w:val="single" w:sz="6" w:space="0" w:color="000000"/>
              <w:right w:val="single" w:sz="6" w:space="0" w:color="000000"/>
            </w:tcBorders>
            <w:tcMar>
              <w:top w:w="0" w:type="dxa"/>
              <w:left w:w="105" w:type="dxa"/>
              <w:bottom w:w="0" w:type="dxa"/>
              <w:right w:w="105" w:type="dxa"/>
            </w:tcMar>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指</w:t>
            </w:r>
            <w:r>
              <w:rPr>
                <w:rFonts w:asciiTheme="minorEastAsia" w:eastAsiaTheme="minorEastAsia" w:hAnsiTheme="minorEastAsia" w:hint="eastAsia"/>
                <w:b/>
                <w:bCs/>
                <w:snapToGrid w:val="0"/>
                <w:kern w:val="0"/>
                <w:sz w:val="28"/>
                <w:szCs w:val="28"/>
              </w:rPr>
              <w:t xml:space="preserve">   </w:t>
            </w:r>
            <w:r>
              <w:rPr>
                <w:rFonts w:asciiTheme="minorEastAsia" w:eastAsiaTheme="minorEastAsia" w:hAnsiTheme="minorEastAsia"/>
                <w:b/>
                <w:bCs/>
                <w:snapToGrid w:val="0"/>
                <w:kern w:val="0"/>
                <w:sz w:val="28"/>
                <w:szCs w:val="28"/>
              </w:rPr>
              <w:t>标</w:t>
            </w:r>
          </w:p>
        </w:tc>
        <w:tc>
          <w:tcPr>
            <w:tcW w:w="1980" w:type="dxa"/>
            <w:tcBorders>
              <w:top w:val="single" w:sz="8" w:space="0" w:color="000000"/>
              <w:left w:val="nil"/>
              <w:bottom w:val="single" w:sz="6" w:space="0" w:color="000000"/>
              <w:right w:val="single" w:sz="6" w:space="0" w:color="000000"/>
            </w:tcBorders>
            <w:tcMar>
              <w:top w:w="0" w:type="dxa"/>
              <w:left w:w="105" w:type="dxa"/>
              <w:bottom w:w="0" w:type="dxa"/>
              <w:right w:w="105" w:type="dxa"/>
            </w:tcMar>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年末数（万人）</w:t>
            </w:r>
          </w:p>
        </w:tc>
        <w:tc>
          <w:tcPr>
            <w:tcW w:w="1680" w:type="dxa"/>
            <w:tcBorders>
              <w:top w:val="single" w:sz="8" w:space="0" w:color="000000"/>
              <w:left w:val="nil"/>
              <w:bottom w:val="single" w:sz="6" w:space="0" w:color="000000"/>
              <w:right w:val="nil"/>
            </w:tcBorders>
            <w:tcMar>
              <w:top w:w="0" w:type="dxa"/>
              <w:left w:w="105" w:type="dxa"/>
              <w:bottom w:w="0" w:type="dxa"/>
              <w:right w:w="105" w:type="dxa"/>
            </w:tcMar>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比重（%）</w:t>
            </w:r>
          </w:p>
        </w:tc>
      </w:tr>
      <w:tr w:rsidR="00024185">
        <w:trPr>
          <w:trHeight w:hRule="exact" w:val="567"/>
          <w:jc w:val="center"/>
        </w:trPr>
        <w:tc>
          <w:tcPr>
            <w:tcW w:w="5492" w:type="dxa"/>
            <w:tcBorders>
              <w:top w:val="single" w:sz="6" w:space="0" w:color="000000"/>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常住人口</w:t>
            </w:r>
          </w:p>
        </w:tc>
        <w:tc>
          <w:tcPr>
            <w:tcW w:w="1980" w:type="dxa"/>
            <w:tcBorders>
              <w:top w:val="single" w:sz="6" w:space="0" w:color="000000"/>
              <w:left w:val="nil"/>
              <w:bottom w:val="nil"/>
              <w:right w:val="single" w:sz="6" w:space="0" w:color="000000"/>
            </w:tcBorders>
            <w:tcMar>
              <w:top w:w="0" w:type="dxa"/>
              <w:left w:w="105" w:type="dxa"/>
              <w:bottom w:w="0" w:type="dxa"/>
              <w:right w:w="105" w:type="dxa"/>
            </w:tcMar>
            <w:vAlign w:val="center"/>
          </w:tcPr>
          <w:p w:rsidR="00024185" w:rsidRDefault="00707518">
            <w:pPr>
              <w:wordWrap w:val="0"/>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939.50</w:t>
            </w:r>
          </w:p>
        </w:tc>
        <w:tc>
          <w:tcPr>
            <w:tcW w:w="1680" w:type="dxa"/>
            <w:tcBorders>
              <w:top w:val="single" w:sz="6" w:space="0" w:color="000000"/>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100.00</w:t>
            </w:r>
          </w:p>
        </w:tc>
      </w:tr>
      <w:tr w:rsidR="00024185">
        <w:trPr>
          <w:trHeight w:hRule="exact" w:val="567"/>
          <w:jc w:val="center"/>
        </w:trPr>
        <w:tc>
          <w:tcPr>
            <w:tcW w:w="5492" w:type="dxa"/>
            <w:tcBorders>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ind w:firstLineChars="200" w:firstLine="56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其中：</w:t>
            </w:r>
            <w:r>
              <w:rPr>
                <w:rFonts w:asciiTheme="minorEastAsia" w:eastAsiaTheme="minorEastAsia" w:hAnsiTheme="minorEastAsia"/>
                <w:snapToGrid w:val="0"/>
                <w:kern w:val="0"/>
                <w:sz w:val="28"/>
                <w:szCs w:val="28"/>
              </w:rPr>
              <w:t>城镇</w:t>
            </w:r>
          </w:p>
        </w:tc>
        <w:tc>
          <w:tcPr>
            <w:tcW w:w="1980" w:type="dxa"/>
            <w:tcBorders>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515.13</w:t>
            </w:r>
          </w:p>
        </w:tc>
        <w:tc>
          <w:tcPr>
            <w:tcW w:w="1680" w:type="dxa"/>
            <w:tcBorders>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54.83</w:t>
            </w:r>
          </w:p>
        </w:tc>
      </w:tr>
      <w:tr w:rsidR="00024185">
        <w:trPr>
          <w:trHeight w:hRule="exact" w:val="567"/>
          <w:jc w:val="center"/>
        </w:trPr>
        <w:tc>
          <w:tcPr>
            <w:tcW w:w="5492" w:type="dxa"/>
            <w:tcBorders>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乡村</w:t>
            </w:r>
          </w:p>
        </w:tc>
        <w:tc>
          <w:tcPr>
            <w:tcW w:w="1980" w:type="dxa"/>
            <w:tcBorders>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424.37</w:t>
            </w:r>
          </w:p>
        </w:tc>
        <w:tc>
          <w:tcPr>
            <w:tcW w:w="1680" w:type="dxa"/>
            <w:tcBorders>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45.17</w:t>
            </w:r>
          </w:p>
        </w:tc>
      </w:tr>
      <w:tr w:rsidR="00024185">
        <w:trPr>
          <w:trHeight w:hRule="exact" w:val="567"/>
          <w:jc w:val="center"/>
        </w:trPr>
        <w:tc>
          <w:tcPr>
            <w:tcW w:w="5492"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ind w:firstLineChars="100" w:firstLine="28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 xml:space="preserve">  其中：</w:t>
            </w:r>
            <w:r>
              <w:rPr>
                <w:rFonts w:asciiTheme="minorEastAsia" w:eastAsiaTheme="minorEastAsia" w:hAnsiTheme="minorEastAsia"/>
                <w:snapToGrid w:val="0"/>
                <w:kern w:val="0"/>
                <w:sz w:val="28"/>
                <w:szCs w:val="28"/>
              </w:rPr>
              <w:t>男性</w:t>
            </w:r>
          </w:p>
        </w:tc>
        <w:tc>
          <w:tcPr>
            <w:tcW w:w="1980"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470.70</w:t>
            </w:r>
          </w:p>
        </w:tc>
        <w:tc>
          <w:tcPr>
            <w:tcW w:w="1680" w:type="dxa"/>
            <w:tcBorders>
              <w:top w:val="nil"/>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50.10</w:t>
            </w:r>
          </w:p>
        </w:tc>
      </w:tr>
      <w:tr w:rsidR="00024185">
        <w:trPr>
          <w:trHeight w:hRule="exact" w:val="567"/>
          <w:jc w:val="center"/>
        </w:trPr>
        <w:tc>
          <w:tcPr>
            <w:tcW w:w="5492"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女性</w:t>
            </w:r>
          </w:p>
        </w:tc>
        <w:tc>
          <w:tcPr>
            <w:tcW w:w="1980"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468.80</w:t>
            </w:r>
          </w:p>
        </w:tc>
        <w:tc>
          <w:tcPr>
            <w:tcW w:w="1680" w:type="dxa"/>
            <w:tcBorders>
              <w:top w:val="nil"/>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49.90</w:t>
            </w:r>
          </w:p>
        </w:tc>
      </w:tr>
      <w:tr w:rsidR="00024185">
        <w:trPr>
          <w:trHeight w:hRule="exact" w:val="567"/>
          <w:jc w:val="center"/>
        </w:trPr>
        <w:tc>
          <w:tcPr>
            <w:tcW w:w="5492"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ind w:firstLineChars="200" w:firstLine="56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其中：</w:t>
            </w:r>
            <w:r>
              <w:rPr>
                <w:rFonts w:asciiTheme="minorEastAsia" w:eastAsiaTheme="minorEastAsia" w:hAnsiTheme="minorEastAsia"/>
                <w:snapToGrid w:val="0"/>
                <w:kern w:val="0"/>
                <w:sz w:val="28"/>
                <w:szCs w:val="28"/>
              </w:rPr>
              <w:t>0-15岁（含不满16周岁）</w:t>
            </w:r>
          </w:p>
        </w:tc>
        <w:tc>
          <w:tcPr>
            <w:tcW w:w="1980"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197.10</w:t>
            </w:r>
          </w:p>
        </w:tc>
        <w:tc>
          <w:tcPr>
            <w:tcW w:w="1680" w:type="dxa"/>
            <w:tcBorders>
              <w:top w:val="nil"/>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20.98</w:t>
            </w:r>
          </w:p>
        </w:tc>
      </w:tr>
      <w:tr w:rsidR="00024185">
        <w:trPr>
          <w:trHeight w:hRule="exact" w:val="567"/>
          <w:jc w:val="center"/>
        </w:trPr>
        <w:tc>
          <w:tcPr>
            <w:tcW w:w="5492" w:type="dxa"/>
            <w:tcBorders>
              <w:top w:val="nil"/>
              <w:left w:val="nil"/>
              <w:right w:val="single" w:sz="6" w:space="0" w:color="000000"/>
            </w:tcBorders>
            <w:tcMar>
              <w:top w:w="0" w:type="dxa"/>
              <w:left w:w="105" w:type="dxa"/>
              <w:bottom w:w="0" w:type="dxa"/>
              <w:right w:w="105" w:type="dxa"/>
            </w:tcMar>
            <w:vAlign w:val="center"/>
          </w:tcPr>
          <w:p w:rsidR="00024185" w:rsidRDefault="00707518">
            <w:pPr>
              <w:autoSpaceDN w:val="0"/>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16-59岁（含不满60周岁）</w:t>
            </w:r>
          </w:p>
        </w:tc>
        <w:tc>
          <w:tcPr>
            <w:tcW w:w="1980" w:type="dxa"/>
            <w:tcBorders>
              <w:top w:val="nil"/>
              <w:left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522.70</w:t>
            </w:r>
          </w:p>
        </w:tc>
        <w:tc>
          <w:tcPr>
            <w:tcW w:w="1680" w:type="dxa"/>
            <w:tcBorders>
              <w:top w:val="nil"/>
              <w:left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55.64</w:t>
            </w:r>
          </w:p>
        </w:tc>
      </w:tr>
      <w:tr w:rsidR="00024185">
        <w:trPr>
          <w:trHeight w:hRule="exact" w:val="567"/>
          <w:jc w:val="center"/>
        </w:trPr>
        <w:tc>
          <w:tcPr>
            <w:tcW w:w="5492"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utoSpaceDN w:val="0"/>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60</w:t>
            </w:r>
            <w:r>
              <w:rPr>
                <w:rFonts w:asciiTheme="minorEastAsia" w:eastAsiaTheme="minorEastAsia" w:hAnsiTheme="minorEastAsia" w:hint="eastAsia"/>
                <w:snapToGrid w:val="0"/>
                <w:kern w:val="0"/>
                <w:sz w:val="28"/>
                <w:szCs w:val="28"/>
              </w:rPr>
              <w:t>周</w:t>
            </w:r>
            <w:r>
              <w:rPr>
                <w:rFonts w:asciiTheme="minorEastAsia" w:eastAsiaTheme="minorEastAsia" w:hAnsiTheme="minorEastAsia"/>
                <w:snapToGrid w:val="0"/>
                <w:kern w:val="0"/>
                <w:sz w:val="28"/>
                <w:szCs w:val="28"/>
              </w:rPr>
              <w:t>岁及以上</w:t>
            </w:r>
          </w:p>
        </w:tc>
        <w:tc>
          <w:tcPr>
            <w:tcW w:w="1980" w:type="dxa"/>
            <w:tcBorders>
              <w:top w:val="nil"/>
              <w:left w:val="nil"/>
              <w:bottom w:val="nil"/>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219.70</w:t>
            </w:r>
          </w:p>
        </w:tc>
        <w:tc>
          <w:tcPr>
            <w:tcW w:w="1680" w:type="dxa"/>
            <w:tcBorders>
              <w:top w:val="nil"/>
              <w:left w:val="nil"/>
              <w:bottom w:val="nil"/>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23.38</w:t>
            </w:r>
          </w:p>
        </w:tc>
      </w:tr>
      <w:tr w:rsidR="00024185">
        <w:trPr>
          <w:trHeight w:hRule="exact" w:val="567"/>
          <w:jc w:val="center"/>
        </w:trPr>
        <w:tc>
          <w:tcPr>
            <w:tcW w:w="5492" w:type="dxa"/>
            <w:tcBorders>
              <w:top w:val="nil"/>
              <w:left w:val="nil"/>
              <w:bottom w:val="single" w:sz="8" w:space="0" w:color="000000"/>
              <w:right w:val="single" w:sz="6" w:space="0" w:color="000000"/>
            </w:tcBorders>
            <w:tcMar>
              <w:top w:w="0" w:type="dxa"/>
              <w:left w:w="105" w:type="dxa"/>
              <w:bottom w:w="0" w:type="dxa"/>
              <w:right w:w="105" w:type="dxa"/>
            </w:tcMar>
            <w:vAlign w:val="center"/>
          </w:tcPr>
          <w:p w:rsidR="00024185" w:rsidRDefault="00707518">
            <w:pPr>
              <w:adjustRightInd w:val="0"/>
              <w:snapToGrid w:val="0"/>
              <w:ind w:firstLineChars="700" w:firstLine="196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其中：65</w:t>
            </w:r>
            <w:r>
              <w:rPr>
                <w:rFonts w:asciiTheme="minorEastAsia" w:eastAsiaTheme="minorEastAsia" w:hAnsiTheme="minorEastAsia" w:hint="eastAsia"/>
                <w:snapToGrid w:val="0"/>
                <w:kern w:val="0"/>
                <w:sz w:val="28"/>
                <w:szCs w:val="28"/>
              </w:rPr>
              <w:t>周</w:t>
            </w:r>
            <w:r>
              <w:rPr>
                <w:rFonts w:asciiTheme="minorEastAsia" w:eastAsiaTheme="minorEastAsia" w:hAnsiTheme="minorEastAsia"/>
                <w:snapToGrid w:val="0"/>
                <w:kern w:val="0"/>
                <w:sz w:val="28"/>
                <w:szCs w:val="28"/>
              </w:rPr>
              <w:t>岁及以上</w:t>
            </w:r>
          </w:p>
        </w:tc>
        <w:tc>
          <w:tcPr>
            <w:tcW w:w="1980" w:type="dxa"/>
            <w:tcBorders>
              <w:top w:val="nil"/>
              <w:left w:val="nil"/>
              <w:bottom w:val="single" w:sz="8" w:space="0" w:color="000000"/>
              <w:right w:val="single" w:sz="6" w:space="0" w:color="000000"/>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151.60</w:t>
            </w:r>
          </w:p>
        </w:tc>
        <w:tc>
          <w:tcPr>
            <w:tcW w:w="1680" w:type="dxa"/>
            <w:tcBorders>
              <w:top w:val="nil"/>
              <w:left w:val="nil"/>
              <w:bottom w:val="single" w:sz="8" w:space="0" w:color="000000"/>
              <w:right w:val="nil"/>
            </w:tcBorders>
            <w:tcMar>
              <w:top w:w="0" w:type="dxa"/>
              <w:left w:w="105" w:type="dxa"/>
              <w:bottom w:w="0" w:type="dxa"/>
              <w:right w:w="105" w:type="dxa"/>
            </w:tcMar>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16.14</w:t>
            </w:r>
          </w:p>
        </w:tc>
      </w:tr>
    </w:tbl>
    <w:p w:rsidR="00024185" w:rsidRDefault="00707518">
      <w:pPr>
        <w:spacing w:line="56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全年全市城镇新增就业人员</w:t>
      </w:r>
      <w:r>
        <w:rPr>
          <w:rFonts w:ascii="仿宋_GB2312" w:eastAsia="仿宋_GB2312" w:hint="eastAsia"/>
          <w:color w:val="000000" w:themeColor="text1"/>
          <w:sz w:val="32"/>
          <w:szCs w:val="32"/>
        </w:rPr>
        <w:t>8.08</w:t>
      </w:r>
      <w:r>
        <w:rPr>
          <w:rFonts w:ascii="仿宋_GB2312" w:eastAsia="仿宋_GB2312"/>
          <w:color w:val="000000" w:themeColor="text1"/>
          <w:sz w:val="32"/>
          <w:szCs w:val="32"/>
        </w:rPr>
        <w:t>万人，城镇失业人员再就业</w:t>
      </w:r>
      <w:r>
        <w:rPr>
          <w:rFonts w:ascii="仿宋_GB2312" w:eastAsia="仿宋_GB2312" w:hint="eastAsia"/>
          <w:color w:val="000000" w:themeColor="text1"/>
          <w:sz w:val="32"/>
          <w:szCs w:val="32"/>
        </w:rPr>
        <w:t>2.17</w:t>
      </w:r>
      <w:r>
        <w:rPr>
          <w:rFonts w:ascii="仿宋_GB2312" w:eastAsia="仿宋_GB2312"/>
          <w:color w:val="000000" w:themeColor="text1"/>
          <w:sz w:val="32"/>
          <w:szCs w:val="32"/>
        </w:rPr>
        <w:t>万人，就业困难人员再就业</w:t>
      </w:r>
      <w:r>
        <w:rPr>
          <w:rFonts w:ascii="仿宋_GB2312" w:eastAsia="仿宋_GB2312" w:hint="eastAsia"/>
          <w:color w:val="000000" w:themeColor="text1"/>
          <w:sz w:val="32"/>
          <w:szCs w:val="32"/>
        </w:rPr>
        <w:t>0.75</w:t>
      </w:r>
      <w:r>
        <w:rPr>
          <w:rFonts w:ascii="仿宋_GB2312" w:eastAsia="仿宋_GB2312"/>
          <w:color w:val="000000" w:themeColor="text1"/>
          <w:sz w:val="32"/>
          <w:szCs w:val="32"/>
        </w:rPr>
        <w:t>万人。</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hint="eastAsia"/>
          <w:sz w:val="32"/>
          <w:szCs w:val="32"/>
        </w:rPr>
        <w:t>全年全市居民消费价格比上年下降0.2%。</w:t>
      </w:r>
    </w:p>
    <w:p w:rsidR="00024185" w:rsidRDefault="00707518" w:rsidP="00B96FFE">
      <w:pPr>
        <w:shd w:val="clear" w:color="auto" w:fill="FFFFFF"/>
        <w:spacing w:beforeLines="50" w:before="120" w:line="360" w:lineRule="exact"/>
        <w:jc w:val="center"/>
      </w:pPr>
      <w:r>
        <w:rPr>
          <w:rFonts w:ascii="宋体" w:hAnsi="宋体" w:cs="宋体" w:hint="eastAsia"/>
          <w:b/>
          <w:bCs/>
          <w:kern w:val="0"/>
          <w:sz w:val="32"/>
          <w:szCs w:val="32"/>
        </w:rPr>
        <w:t>图3  2025年南阳市居民消费价格月度涨跌幅度</w:t>
      </w:r>
    </w:p>
    <w:p w:rsidR="00024185" w:rsidRDefault="00707518">
      <w:pPr>
        <w:shd w:val="clear" w:color="auto" w:fill="FFFFFF"/>
        <w:spacing w:line="375" w:lineRule="atLeast"/>
        <w:jc w:val="center"/>
        <w:rPr>
          <w:rFonts w:ascii="宋体" w:hAnsi="宋体" w:cs="宋体"/>
          <w:b/>
          <w:bCs/>
          <w:kern w:val="0"/>
          <w:sz w:val="32"/>
          <w:szCs w:val="32"/>
        </w:rPr>
      </w:pPr>
      <w:r>
        <w:rPr>
          <w:noProof/>
        </w:rPr>
        <w:lastRenderedPageBreak/>
        <w:drawing>
          <wp:inline distT="0" distB="0" distL="114300" distR="114300">
            <wp:extent cx="5196840" cy="2668905"/>
            <wp:effectExtent l="0" t="0" r="0" b="0"/>
            <wp:docPr id="135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24185" w:rsidRDefault="00707518" w:rsidP="00B96FFE">
      <w:pPr>
        <w:shd w:val="clear" w:color="auto" w:fill="FFFFFF"/>
        <w:spacing w:beforeLines="50" w:before="120" w:line="360" w:lineRule="exact"/>
        <w:jc w:val="center"/>
        <w:rPr>
          <w:rFonts w:ascii="宋体" w:hAnsi="宋体" w:cs="宋体"/>
          <w:kern w:val="0"/>
          <w:sz w:val="24"/>
        </w:rPr>
      </w:pPr>
      <w:r>
        <w:rPr>
          <w:rFonts w:ascii="宋体" w:hAnsi="宋体" w:cs="宋体" w:hint="eastAsia"/>
          <w:b/>
          <w:bCs/>
          <w:kern w:val="0"/>
          <w:sz w:val="32"/>
          <w:szCs w:val="32"/>
        </w:rPr>
        <w:t>表2  2025年南阳市居民消费价格指数</w:t>
      </w:r>
    </w:p>
    <w:p w:rsidR="00024185" w:rsidRDefault="00707518">
      <w:pPr>
        <w:shd w:val="clear" w:color="auto" w:fill="FFFFFF"/>
        <w:spacing w:line="375" w:lineRule="atLeast"/>
        <w:jc w:val="center"/>
        <w:rPr>
          <w:rFonts w:ascii="宋体" w:hAnsi="宋体" w:cs="宋体"/>
          <w:kern w:val="0"/>
          <w:sz w:val="18"/>
          <w:szCs w:val="18"/>
        </w:rPr>
      </w:pPr>
      <w:r>
        <w:rPr>
          <w:rFonts w:ascii="宋体" w:hAnsi="宋体" w:cs="宋体" w:hint="eastAsia"/>
          <w:kern w:val="0"/>
          <w:sz w:val="28"/>
          <w:szCs w:val="28"/>
        </w:rPr>
        <w:t>（以上年为</w:t>
      </w:r>
      <w:r>
        <w:rPr>
          <w:rFonts w:ascii="宋体" w:hAnsi="Courier New" w:cs="宋体" w:hint="eastAsia"/>
          <w:kern w:val="0"/>
          <w:sz w:val="28"/>
          <w:szCs w:val="28"/>
        </w:rPr>
        <w:t>100</w:t>
      </w:r>
      <w:r>
        <w:rPr>
          <w:rFonts w:ascii="宋体" w:hAnsi="宋体" w:cs="宋体" w:hint="eastAsia"/>
          <w:kern w:val="0"/>
          <w:sz w:val="28"/>
          <w:szCs w:val="28"/>
        </w:rPr>
        <w:t>）</w:t>
      </w:r>
    </w:p>
    <w:tbl>
      <w:tblPr>
        <w:tblW w:w="0" w:type="auto"/>
        <w:jc w:val="center"/>
        <w:tblLayout w:type="fixed"/>
        <w:tblLook w:val="04A0" w:firstRow="1" w:lastRow="0" w:firstColumn="1" w:lastColumn="0" w:noHBand="0" w:noVBand="1"/>
      </w:tblPr>
      <w:tblGrid>
        <w:gridCol w:w="5951"/>
        <w:gridCol w:w="2037"/>
      </w:tblGrid>
      <w:tr w:rsidR="00024185">
        <w:trPr>
          <w:trHeight w:hRule="exact" w:val="567"/>
          <w:jc w:val="center"/>
        </w:trPr>
        <w:tc>
          <w:tcPr>
            <w:tcW w:w="5951" w:type="dxa"/>
            <w:tcBorders>
              <w:top w:val="single" w:sz="4" w:space="0" w:color="auto"/>
              <w:left w:val="nil"/>
              <w:bottom w:val="single" w:sz="4" w:space="0" w:color="auto"/>
              <w:right w:val="single" w:sz="4" w:space="0" w:color="auto"/>
            </w:tcBorders>
            <w:vAlign w:val="center"/>
          </w:tcPr>
          <w:p w:rsidR="00024185" w:rsidRDefault="00707518">
            <w:pPr>
              <w:spacing w:after="100" w:afterAutospacing="1" w:line="0" w:lineRule="atLeast"/>
              <w:jc w:val="center"/>
              <w:rPr>
                <w:rFonts w:ascii="宋体" w:hAnsi="宋体" w:cs="宋体"/>
                <w:kern w:val="0"/>
                <w:sz w:val="24"/>
              </w:rPr>
            </w:pPr>
            <w:r>
              <w:rPr>
                <w:rFonts w:ascii="宋体" w:hAnsi="宋体" w:cs="宋体" w:hint="eastAsia"/>
                <w:b/>
                <w:bCs/>
                <w:sz w:val="28"/>
                <w:szCs w:val="28"/>
              </w:rPr>
              <w:t>类 别</w:t>
            </w:r>
          </w:p>
        </w:tc>
        <w:tc>
          <w:tcPr>
            <w:tcW w:w="2037" w:type="dxa"/>
            <w:tcBorders>
              <w:top w:val="single" w:sz="4" w:space="0" w:color="auto"/>
              <w:left w:val="nil"/>
              <w:bottom w:val="single" w:sz="4" w:space="0" w:color="auto"/>
              <w:right w:val="nil"/>
            </w:tcBorders>
            <w:vAlign w:val="center"/>
          </w:tcPr>
          <w:p w:rsidR="00024185" w:rsidRDefault="00707518">
            <w:pPr>
              <w:spacing w:after="100" w:afterAutospacing="1" w:line="0" w:lineRule="atLeast"/>
              <w:jc w:val="center"/>
              <w:rPr>
                <w:rFonts w:ascii="宋体" w:hAnsi="宋体" w:cs="宋体"/>
                <w:kern w:val="0"/>
                <w:sz w:val="24"/>
              </w:rPr>
            </w:pPr>
            <w:r>
              <w:rPr>
                <w:rFonts w:ascii="宋体" w:hAnsi="宋体" w:cs="宋体" w:hint="eastAsia"/>
                <w:b/>
                <w:bCs/>
                <w:sz w:val="28"/>
                <w:szCs w:val="28"/>
              </w:rPr>
              <w:t>指 数</w:t>
            </w:r>
          </w:p>
        </w:tc>
      </w:tr>
      <w:tr w:rsidR="00024185">
        <w:trPr>
          <w:trHeight w:hRule="exact" w:val="567"/>
          <w:jc w:val="center"/>
        </w:trPr>
        <w:tc>
          <w:tcPr>
            <w:tcW w:w="5951" w:type="dxa"/>
            <w:tcBorders>
              <w:top w:val="single" w:sz="4" w:space="0" w:color="auto"/>
              <w:left w:val="nil"/>
              <w:right w:val="single" w:sz="4" w:space="0" w:color="auto"/>
            </w:tcBorders>
            <w:vAlign w:val="center"/>
          </w:tcPr>
          <w:p w:rsidR="00024185" w:rsidRDefault="00707518">
            <w:pPr>
              <w:jc w:val="left"/>
              <w:rPr>
                <w:rFonts w:ascii="宋体" w:hAnsi="宋体" w:cs="宋体"/>
                <w:kern w:val="0"/>
                <w:sz w:val="24"/>
              </w:rPr>
            </w:pPr>
            <w:r>
              <w:rPr>
                <w:rFonts w:ascii="宋体" w:hAnsi="宋体" w:cs="宋体" w:hint="eastAsia"/>
                <w:kern w:val="0"/>
                <w:sz w:val="28"/>
                <w:szCs w:val="28"/>
              </w:rPr>
              <w:t>居民消费价格指数</w:t>
            </w:r>
          </w:p>
        </w:tc>
        <w:tc>
          <w:tcPr>
            <w:tcW w:w="2037" w:type="dxa"/>
            <w:tcBorders>
              <w:top w:val="single" w:sz="4" w:space="0" w:color="auto"/>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99.8</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ind w:firstLineChars="100" w:firstLine="280"/>
              <w:jc w:val="left"/>
              <w:rPr>
                <w:rFonts w:ascii="宋体" w:hAnsi="宋体" w:cs="宋体"/>
                <w:kern w:val="0"/>
                <w:sz w:val="24"/>
              </w:rPr>
            </w:pPr>
            <w:r>
              <w:rPr>
                <w:rFonts w:ascii="宋体" w:hAnsi="宋体" w:cs="宋体" w:hint="eastAsia"/>
                <w:kern w:val="0"/>
                <w:sz w:val="28"/>
                <w:szCs w:val="28"/>
              </w:rPr>
              <w:t xml:space="preserve">  </w:t>
            </w:r>
            <w:r>
              <w:rPr>
                <w:rFonts w:ascii="宋体" w:hAnsi="宋体" w:cs="宋体" w:hint="eastAsia"/>
                <w:sz w:val="28"/>
                <w:szCs w:val="28"/>
              </w:rPr>
              <w:t>其中：</w:t>
            </w:r>
            <w:r>
              <w:rPr>
                <w:rFonts w:ascii="宋体" w:hAnsi="宋体" w:cs="宋体" w:hint="eastAsia"/>
                <w:kern w:val="0"/>
                <w:sz w:val="28"/>
                <w:szCs w:val="28"/>
              </w:rPr>
              <w:t>食品烟酒</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98.4</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spacing w:before="100" w:beforeAutospacing="1" w:after="100" w:afterAutospacing="1" w:line="0" w:lineRule="atLeast"/>
              <w:ind w:firstLineChars="250" w:firstLine="700"/>
              <w:jc w:val="left"/>
              <w:rPr>
                <w:rFonts w:ascii="宋体" w:hAnsi="宋体" w:cs="宋体"/>
                <w:kern w:val="0"/>
                <w:sz w:val="24"/>
              </w:rPr>
            </w:pPr>
            <w:r>
              <w:rPr>
                <w:rFonts w:ascii="宋体" w:hAnsi="宋体" w:cs="宋体" w:hint="eastAsia"/>
                <w:sz w:val="28"/>
                <w:szCs w:val="28"/>
              </w:rPr>
              <w:t xml:space="preserve">         其中：粮食</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98.8</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spacing w:before="100" w:beforeAutospacing="1" w:after="100" w:afterAutospacing="1" w:line="0" w:lineRule="atLeast"/>
              <w:ind w:firstLineChars="1000" w:firstLine="2800"/>
              <w:jc w:val="left"/>
              <w:rPr>
                <w:rFonts w:ascii="宋体" w:hAnsi="宋体" w:cs="宋体"/>
                <w:kern w:val="0"/>
                <w:sz w:val="24"/>
              </w:rPr>
            </w:pPr>
            <w:r>
              <w:rPr>
                <w:rFonts w:ascii="宋体" w:hAnsi="宋体" w:cs="宋体" w:hint="eastAsia"/>
                <w:sz w:val="28"/>
                <w:szCs w:val="28"/>
              </w:rPr>
              <w:t>畜肉</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90.3</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spacing w:before="100" w:beforeAutospacing="1" w:after="100" w:afterAutospacing="1" w:line="0" w:lineRule="atLeast"/>
              <w:ind w:firstLineChars="1000" w:firstLine="2800"/>
              <w:jc w:val="left"/>
              <w:rPr>
                <w:rFonts w:ascii="宋体" w:hAnsi="宋体" w:cs="宋体"/>
                <w:sz w:val="28"/>
                <w:szCs w:val="28"/>
              </w:rPr>
            </w:pPr>
            <w:r>
              <w:rPr>
                <w:rFonts w:ascii="宋体" w:hAnsi="宋体" w:cs="宋体" w:hint="eastAsia"/>
                <w:sz w:val="28"/>
                <w:szCs w:val="28"/>
              </w:rPr>
              <w:t>蛋</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88.5</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spacing w:before="100" w:beforeAutospacing="1" w:after="100" w:afterAutospacing="1" w:line="0" w:lineRule="atLeast"/>
              <w:ind w:firstLineChars="1000" w:firstLine="2800"/>
              <w:jc w:val="left"/>
              <w:rPr>
                <w:rFonts w:ascii="宋体" w:hAnsi="宋体" w:cs="宋体"/>
                <w:kern w:val="0"/>
                <w:sz w:val="24"/>
              </w:rPr>
            </w:pPr>
            <w:r>
              <w:rPr>
                <w:rFonts w:ascii="宋体" w:hAnsi="宋体" w:cs="宋体" w:hint="eastAsia"/>
                <w:sz w:val="28"/>
                <w:szCs w:val="28"/>
              </w:rPr>
              <w:t>鲜菜</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97.4</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ind w:firstLineChars="500" w:firstLine="1400"/>
              <w:jc w:val="left"/>
              <w:rPr>
                <w:rFonts w:ascii="宋体" w:hAnsi="宋体" w:cs="宋体"/>
                <w:kern w:val="0"/>
                <w:sz w:val="24"/>
              </w:rPr>
            </w:pPr>
            <w:r>
              <w:rPr>
                <w:rFonts w:ascii="宋体" w:hAnsi="宋体" w:cs="宋体" w:hint="eastAsia"/>
                <w:kern w:val="0"/>
                <w:sz w:val="28"/>
                <w:szCs w:val="28"/>
              </w:rPr>
              <w:t>衣着</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101.2</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ind w:firstLineChars="500" w:firstLine="1400"/>
              <w:jc w:val="left"/>
              <w:rPr>
                <w:rFonts w:ascii="宋体" w:hAnsi="宋体" w:cs="宋体"/>
                <w:kern w:val="0"/>
                <w:sz w:val="24"/>
              </w:rPr>
            </w:pPr>
            <w:r>
              <w:rPr>
                <w:rFonts w:ascii="宋体" w:hAnsi="宋体" w:cs="宋体" w:hint="eastAsia"/>
                <w:kern w:val="0"/>
                <w:sz w:val="28"/>
                <w:szCs w:val="28"/>
              </w:rPr>
              <w:t>居住</w:t>
            </w:r>
          </w:p>
        </w:tc>
        <w:tc>
          <w:tcPr>
            <w:tcW w:w="2037" w:type="dxa"/>
            <w:tcBorders>
              <w:top w:val="nil"/>
              <w:left w:val="nil"/>
              <w:right w:val="nil"/>
            </w:tcBorders>
            <w:vAlign w:val="center"/>
          </w:tcPr>
          <w:p w:rsidR="00024185" w:rsidRDefault="00707518">
            <w:pPr>
              <w:spacing w:before="100" w:beforeAutospacing="1" w:after="100" w:afterAutospacing="1" w:line="0" w:lineRule="atLeast"/>
              <w:ind w:firstLineChars="300" w:firstLine="840"/>
              <w:jc w:val="right"/>
              <w:rPr>
                <w:rFonts w:ascii="宋体" w:hAnsi="宋体" w:cs="宋体"/>
                <w:sz w:val="28"/>
                <w:szCs w:val="28"/>
              </w:rPr>
            </w:pPr>
            <w:r>
              <w:rPr>
                <w:rFonts w:ascii="宋体" w:hAnsi="宋体" w:cs="宋体" w:hint="eastAsia"/>
                <w:sz w:val="28"/>
                <w:szCs w:val="28"/>
              </w:rPr>
              <w:t>99.9</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ind w:firstLineChars="500" w:firstLine="1400"/>
              <w:jc w:val="left"/>
              <w:rPr>
                <w:rFonts w:ascii="宋体" w:hAnsi="宋体" w:cs="宋体"/>
                <w:kern w:val="0"/>
                <w:sz w:val="28"/>
                <w:szCs w:val="28"/>
              </w:rPr>
            </w:pPr>
            <w:r>
              <w:rPr>
                <w:rFonts w:ascii="宋体" w:hAnsi="宋体" w:cs="宋体" w:hint="eastAsia"/>
                <w:kern w:val="0"/>
                <w:sz w:val="28"/>
                <w:szCs w:val="28"/>
              </w:rPr>
              <w:t>交通和通讯</w:t>
            </w:r>
          </w:p>
        </w:tc>
        <w:tc>
          <w:tcPr>
            <w:tcW w:w="2037" w:type="dxa"/>
            <w:tcBorders>
              <w:top w:val="nil"/>
              <w:left w:val="nil"/>
              <w:right w:val="nil"/>
            </w:tcBorders>
            <w:vAlign w:val="center"/>
          </w:tcPr>
          <w:p w:rsidR="00024185" w:rsidRDefault="00707518">
            <w:pPr>
              <w:ind w:firstLineChars="150" w:firstLine="420"/>
              <w:jc w:val="right"/>
              <w:rPr>
                <w:rFonts w:ascii="宋体" w:hAnsi="宋体" w:cs="宋体"/>
                <w:kern w:val="0"/>
                <w:sz w:val="28"/>
                <w:szCs w:val="28"/>
              </w:rPr>
            </w:pPr>
            <w:r>
              <w:rPr>
                <w:rFonts w:ascii="宋体" w:hAnsi="宋体" w:cs="宋体" w:hint="eastAsia"/>
                <w:kern w:val="0"/>
                <w:sz w:val="28"/>
                <w:szCs w:val="28"/>
              </w:rPr>
              <w:t>97.1</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ind w:firstLineChars="500" w:firstLine="1400"/>
              <w:jc w:val="left"/>
              <w:rPr>
                <w:rFonts w:ascii="宋体" w:hAnsi="宋体" w:cs="宋体"/>
                <w:kern w:val="0"/>
                <w:sz w:val="28"/>
                <w:szCs w:val="28"/>
              </w:rPr>
            </w:pPr>
            <w:r>
              <w:rPr>
                <w:rFonts w:ascii="宋体" w:hAnsi="宋体" w:cs="宋体" w:hint="eastAsia"/>
                <w:kern w:val="0"/>
                <w:sz w:val="28"/>
                <w:szCs w:val="28"/>
              </w:rPr>
              <w:t>教育文化和娱乐</w:t>
            </w:r>
          </w:p>
        </w:tc>
        <w:tc>
          <w:tcPr>
            <w:tcW w:w="2037" w:type="dxa"/>
            <w:tcBorders>
              <w:top w:val="nil"/>
              <w:left w:val="nil"/>
              <w:right w:val="nil"/>
            </w:tcBorders>
            <w:vAlign w:val="center"/>
          </w:tcPr>
          <w:p w:rsidR="00024185" w:rsidRDefault="00707518">
            <w:pPr>
              <w:ind w:firstLineChars="150" w:firstLine="420"/>
              <w:jc w:val="right"/>
              <w:rPr>
                <w:rFonts w:ascii="宋体" w:hAnsi="宋体" w:cs="宋体"/>
                <w:kern w:val="0"/>
                <w:sz w:val="28"/>
                <w:szCs w:val="28"/>
              </w:rPr>
            </w:pPr>
            <w:r>
              <w:rPr>
                <w:rFonts w:ascii="宋体" w:hAnsi="宋体" w:cs="宋体" w:hint="eastAsia"/>
                <w:kern w:val="0"/>
                <w:sz w:val="28"/>
                <w:szCs w:val="28"/>
              </w:rPr>
              <w:t>101.0</w:t>
            </w:r>
          </w:p>
        </w:tc>
      </w:tr>
      <w:tr w:rsidR="00024185">
        <w:trPr>
          <w:trHeight w:hRule="exact" w:val="567"/>
          <w:jc w:val="center"/>
        </w:trPr>
        <w:tc>
          <w:tcPr>
            <w:tcW w:w="5951" w:type="dxa"/>
            <w:tcBorders>
              <w:top w:val="nil"/>
              <w:left w:val="nil"/>
              <w:right w:val="single" w:sz="4" w:space="0" w:color="auto"/>
            </w:tcBorders>
            <w:vAlign w:val="center"/>
          </w:tcPr>
          <w:p w:rsidR="00024185" w:rsidRDefault="00707518">
            <w:pPr>
              <w:ind w:firstLineChars="500" w:firstLine="1400"/>
              <w:jc w:val="left"/>
              <w:rPr>
                <w:rFonts w:ascii="宋体" w:hAnsi="宋体" w:cs="宋体"/>
                <w:kern w:val="0"/>
                <w:sz w:val="28"/>
                <w:szCs w:val="28"/>
              </w:rPr>
            </w:pPr>
            <w:r>
              <w:rPr>
                <w:rFonts w:ascii="宋体" w:hAnsi="宋体" w:cs="宋体" w:hint="eastAsia"/>
                <w:kern w:val="0"/>
                <w:sz w:val="28"/>
                <w:szCs w:val="28"/>
              </w:rPr>
              <w:t>医疗保健</w:t>
            </w:r>
          </w:p>
        </w:tc>
        <w:tc>
          <w:tcPr>
            <w:tcW w:w="2037" w:type="dxa"/>
            <w:tcBorders>
              <w:top w:val="nil"/>
              <w:left w:val="nil"/>
              <w:right w:val="nil"/>
            </w:tcBorders>
            <w:vAlign w:val="center"/>
          </w:tcPr>
          <w:p w:rsidR="00024185" w:rsidRDefault="00707518">
            <w:pPr>
              <w:ind w:firstLineChars="150" w:firstLine="420"/>
              <w:jc w:val="right"/>
              <w:rPr>
                <w:rFonts w:ascii="宋体" w:hAnsi="宋体" w:cs="宋体"/>
                <w:kern w:val="0"/>
                <w:sz w:val="28"/>
                <w:szCs w:val="28"/>
              </w:rPr>
            </w:pPr>
            <w:r>
              <w:rPr>
                <w:rFonts w:ascii="宋体" w:hAnsi="宋体" w:cs="宋体" w:hint="eastAsia"/>
                <w:kern w:val="0"/>
                <w:sz w:val="28"/>
                <w:szCs w:val="28"/>
              </w:rPr>
              <w:t>101.2</w:t>
            </w:r>
          </w:p>
        </w:tc>
      </w:tr>
      <w:tr w:rsidR="00024185">
        <w:trPr>
          <w:trHeight w:hRule="exact" w:val="567"/>
          <w:jc w:val="center"/>
        </w:trPr>
        <w:tc>
          <w:tcPr>
            <w:tcW w:w="5951" w:type="dxa"/>
            <w:tcBorders>
              <w:top w:val="nil"/>
              <w:left w:val="nil"/>
              <w:bottom w:val="single" w:sz="4" w:space="0" w:color="auto"/>
              <w:right w:val="single" w:sz="4" w:space="0" w:color="auto"/>
            </w:tcBorders>
            <w:vAlign w:val="center"/>
          </w:tcPr>
          <w:p w:rsidR="00024185" w:rsidRDefault="00707518">
            <w:pPr>
              <w:ind w:firstLineChars="500" w:firstLine="1400"/>
              <w:jc w:val="left"/>
              <w:rPr>
                <w:rFonts w:ascii="宋体" w:hAnsi="宋体" w:cs="宋体"/>
                <w:kern w:val="0"/>
                <w:sz w:val="28"/>
                <w:szCs w:val="28"/>
              </w:rPr>
            </w:pPr>
            <w:r>
              <w:rPr>
                <w:rFonts w:ascii="宋体" w:hAnsi="宋体" w:cs="宋体" w:hint="eastAsia"/>
                <w:kern w:val="0"/>
                <w:sz w:val="28"/>
                <w:szCs w:val="28"/>
              </w:rPr>
              <w:t>其他用品和服务</w:t>
            </w:r>
          </w:p>
        </w:tc>
        <w:tc>
          <w:tcPr>
            <w:tcW w:w="2037" w:type="dxa"/>
            <w:tcBorders>
              <w:top w:val="nil"/>
              <w:left w:val="nil"/>
              <w:bottom w:val="single" w:sz="4" w:space="0" w:color="auto"/>
              <w:right w:val="nil"/>
            </w:tcBorders>
            <w:vAlign w:val="center"/>
          </w:tcPr>
          <w:p w:rsidR="00024185" w:rsidRDefault="00707518">
            <w:pPr>
              <w:ind w:firstLineChars="150" w:firstLine="420"/>
              <w:jc w:val="right"/>
              <w:rPr>
                <w:rFonts w:ascii="宋体" w:hAnsi="宋体" w:cs="宋体"/>
                <w:kern w:val="0"/>
                <w:sz w:val="28"/>
                <w:szCs w:val="28"/>
              </w:rPr>
            </w:pPr>
            <w:r>
              <w:rPr>
                <w:rFonts w:ascii="宋体" w:hAnsi="宋体" w:cs="宋体" w:hint="eastAsia"/>
                <w:kern w:val="0"/>
                <w:sz w:val="28"/>
                <w:szCs w:val="28"/>
              </w:rPr>
              <w:t>110.5</w:t>
            </w:r>
          </w:p>
        </w:tc>
      </w:tr>
    </w:tbl>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全年全市财政总收入3</w:t>
      </w:r>
      <w:r>
        <w:rPr>
          <w:rFonts w:ascii="仿宋_GB2312" w:eastAsia="仿宋_GB2312" w:hint="eastAsia"/>
          <w:sz w:val="32"/>
          <w:szCs w:val="32"/>
        </w:rPr>
        <w:t>64.32</w:t>
      </w:r>
      <w:r>
        <w:rPr>
          <w:rFonts w:ascii="仿宋_GB2312" w:eastAsia="仿宋_GB2312"/>
          <w:sz w:val="32"/>
          <w:szCs w:val="32"/>
        </w:rPr>
        <w:t>亿元，比上年</w:t>
      </w:r>
      <w:r>
        <w:rPr>
          <w:rFonts w:ascii="仿宋_GB2312" w:eastAsia="仿宋_GB2312" w:hint="eastAsia"/>
          <w:sz w:val="32"/>
          <w:szCs w:val="32"/>
        </w:rPr>
        <w:t>增长0.8</w:t>
      </w:r>
      <w:r>
        <w:rPr>
          <w:rFonts w:ascii="仿宋_GB2312" w:eastAsia="仿宋_GB2312"/>
          <w:sz w:val="32"/>
          <w:szCs w:val="32"/>
        </w:rPr>
        <w:t>%。一般公共预算收入22</w:t>
      </w:r>
      <w:r>
        <w:rPr>
          <w:rFonts w:ascii="仿宋_GB2312" w:eastAsia="仿宋_GB2312" w:hint="eastAsia"/>
          <w:sz w:val="32"/>
          <w:szCs w:val="32"/>
        </w:rPr>
        <w:t>8.27</w:t>
      </w:r>
      <w:r>
        <w:rPr>
          <w:rFonts w:ascii="仿宋_GB2312" w:eastAsia="仿宋_GB2312"/>
          <w:sz w:val="32"/>
          <w:szCs w:val="32"/>
        </w:rPr>
        <w:t>亿元，</w:t>
      </w:r>
      <w:r>
        <w:rPr>
          <w:rFonts w:ascii="仿宋_GB2312" w:eastAsia="仿宋_GB2312" w:hint="eastAsia"/>
          <w:sz w:val="32"/>
          <w:szCs w:val="32"/>
        </w:rPr>
        <w:t>增长2.7</w:t>
      </w:r>
      <w:r>
        <w:rPr>
          <w:rFonts w:ascii="仿宋_GB2312" w:eastAsia="仿宋_GB2312"/>
          <w:sz w:val="32"/>
          <w:szCs w:val="32"/>
        </w:rPr>
        <w:t>%。其中税收收入</w:t>
      </w:r>
      <w:r>
        <w:rPr>
          <w:rFonts w:ascii="仿宋_GB2312" w:eastAsia="仿宋_GB2312" w:hint="eastAsia"/>
          <w:sz w:val="32"/>
          <w:szCs w:val="32"/>
        </w:rPr>
        <w:lastRenderedPageBreak/>
        <w:t>154.38</w:t>
      </w:r>
      <w:r>
        <w:rPr>
          <w:rFonts w:ascii="仿宋_GB2312" w:eastAsia="仿宋_GB2312"/>
          <w:sz w:val="32"/>
          <w:szCs w:val="32"/>
        </w:rPr>
        <w:t>亿元，下降</w:t>
      </w:r>
      <w:r>
        <w:rPr>
          <w:rFonts w:ascii="仿宋_GB2312" w:eastAsia="仿宋_GB2312" w:hint="eastAsia"/>
          <w:sz w:val="32"/>
          <w:szCs w:val="32"/>
        </w:rPr>
        <w:t>0.6</w:t>
      </w:r>
      <w:r>
        <w:rPr>
          <w:rFonts w:ascii="仿宋_GB2312" w:eastAsia="仿宋_GB2312"/>
          <w:sz w:val="32"/>
          <w:szCs w:val="32"/>
        </w:rPr>
        <w:t>%，税收占一般公共预算收入的比重为</w:t>
      </w:r>
      <w:r>
        <w:rPr>
          <w:rFonts w:ascii="仿宋_GB2312" w:eastAsia="仿宋_GB2312" w:hint="eastAsia"/>
          <w:sz w:val="32"/>
          <w:szCs w:val="32"/>
        </w:rPr>
        <w:t>67.6</w:t>
      </w:r>
      <w:r>
        <w:rPr>
          <w:rFonts w:ascii="仿宋_GB2312" w:eastAsia="仿宋_GB2312"/>
          <w:sz w:val="32"/>
          <w:szCs w:val="32"/>
        </w:rPr>
        <w:t>%；非税收入</w:t>
      </w:r>
      <w:r>
        <w:rPr>
          <w:rFonts w:ascii="仿宋_GB2312" w:eastAsia="仿宋_GB2312" w:hint="eastAsia"/>
          <w:sz w:val="32"/>
          <w:szCs w:val="32"/>
        </w:rPr>
        <w:t>73.89</w:t>
      </w:r>
      <w:r>
        <w:rPr>
          <w:rFonts w:ascii="仿宋_GB2312" w:eastAsia="仿宋_GB2312"/>
          <w:sz w:val="32"/>
          <w:szCs w:val="32"/>
        </w:rPr>
        <w:t>亿元，</w:t>
      </w:r>
      <w:r>
        <w:rPr>
          <w:rFonts w:ascii="仿宋_GB2312" w:eastAsia="仿宋_GB2312" w:hint="eastAsia"/>
          <w:sz w:val="32"/>
          <w:szCs w:val="32"/>
        </w:rPr>
        <w:t>增长10.4</w:t>
      </w:r>
      <w:r>
        <w:rPr>
          <w:rFonts w:ascii="仿宋_GB2312" w:eastAsia="仿宋_GB2312"/>
          <w:sz w:val="32"/>
          <w:szCs w:val="32"/>
        </w:rPr>
        <w:t>%。一般公共预算支出82</w:t>
      </w:r>
      <w:r>
        <w:rPr>
          <w:rFonts w:ascii="仿宋_GB2312" w:eastAsia="仿宋_GB2312" w:hint="eastAsia"/>
          <w:sz w:val="32"/>
          <w:szCs w:val="32"/>
        </w:rPr>
        <w:t>0.36</w:t>
      </w:r>
      <w:r>
        <w:rPr>
          <w:rFonts w:ascii="仿宋_GB2312" w:eastAsia="仿宋_GB2312"/>
          <w:sz w:val="32"/>
          <w:szCs w:val="32"/>
        </w:rPr>
        <w:t>亿元，增长</w:t>
      </w:r>
      <w:r>
        <w:rPr>
          <w:rFonts w:ascii="仿宋_GB2312" w:eastAsia="仿宋_GB2312" w:hint="eastAsia"/>
          <w:sz w:val="32"/>
          <w:szCs w:val="32"/>
        </w:rPr>
        <w:t>0.04</w:t>
      </w:r>
      <w:r>
        <w:rPr>
          <w:rFonts w:ascii="仿宋_GB2312" w:eastAsia="仿宋_GB2312"/>
          <w:sz w:val="32"/>
          <w:szCs w:val="32"/>
        </w:rPr>
        <w:t>%。其中教育支出增长2.</w:t>
      </w:r>
      <w:r>
        <w:rPr>
          <w:rFonts w:ascii="仿宋_GB2312" w:eastAsia="仿宋_GB2312" w:hint="eastAsia"/>
          <w:sz w:val="32"/>
          <w:szCs w:val="32"/>
        </w:rPr>
        <w:t>0</w:t>
      </w:r>
      <w:r>
        <w:rPr>
          <w:rFonts w:ascii="仿宋_GB2312" w:eastAsia="仿宋_GB2312"/>
          <w:sz w:val="32"/>
          <w:szCs w:val="32"/>
        </w:rPr>
        <w:t>%，社会保障与就业支出</w:t>
      </w:r>
      <w:r>
        <w:rPr>
          <w:rFonts w:ascii="仿宋_GB2312" w:eastAsia="仿宋_GB2312" w:hint="eastAsia"/>
          <w:sz w:val="32"/>
          <w:szCs w:val="32"/>
        </w:rPr>
        <w:t>下降2.7</w:t>
      </w:r>
      <w:r>
        <w:rPr>
          <w:rFonts w:ascii="仿宋_GB2312" w:eastAsia="仿宋_GB2312"/>
          <w:sz w:val="32"/>
          <w:szCs w:val="32"/>
        </w:rPr>
        <w:t>%，卫生健康支出</w:t>
      </w:r>
      <w:r>
        <w:rPr>
          <w:rFonts w:ascii="仿宋_GB2312" w:eastAsia="仿宋_GB2312" w:hint="eastAsia"/>
          <w:sz w:val="32"/>
          <w:szCs w:val="32"/>
        </w:rPr>
        <w:t>增长0.9</w:t>
      </w:r>
      <w:r>
        <w:rPr>
          <w:rFonts w:ascii="仿宋_GB2312" w:eastAsia="仿宋_GB2312"/>
          <w:sz w:val="32"/>
          <w:szCs w:val="32"/>
        </w:rPr>
        <w:t>%，科学技术支出增长1</w:t>
      </w:r>
      <w:r>
        <w:rPr>
          <w:rFonts w:ascii="仿宋_GB2312" w:eastAsia="仿宋_GB2312" w:hint="eastAsia"/>
          <w:sz w:val="32"/>
          <w:szCs w:val="32"/>
        </w:rPr>
        <w:t>3</w:t>
      </w:r>
      <w:r>
        <w:rPr>
          <w:rFonts w:ascii="仿宋_GB2312" w:eastAsia="仿宋_GB2312"/>
          <w:sz w:val="32"/>
          <w:szCs w:val="32"/>
        </w:rPr>
        <w:t>.2%。</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二、农业</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全年全市粮食作物</w:t>
      </w:r>
      <w:bookmarkStart w:id="3" w:name="OLE_LINK5"/>
      <w:bookmarkEnd w:id="3"/>
      <w:r>
        <w:rPr>
          <w:rFonts w:ascii="仿宋_GB2312" w:eastAsia="仿宋_GB2312"/>
          <w:sz w:val="32"/>
          <w:szCs w:val="32"/>
        </w:rPr>
        <w:t>播种面积1306.</w:t>
      </w:r>
      <w:r>
        <w:rPr>
          <w:rFonts w:ascii="仿宋_GB2312" w:eastAsia="仿宋_GB2312" w:hint="eastAsia"/>
          <w:sz w:val="32"/>
          <w:szCs w:val="32"/>
        </w:rPr>
        <w:t>08</w:t>
      </w:r>
      <w:r>
        <w:rPr>
          <w:rFonts w:ascii="仿宋_GB2312" w:eastAsia="仿宋_GB2312"/>
          <w:sz w:val="32"/>
          <w:szCs w:val="32"/>
        </w:rPr>
        <w:t>千公顷，比上年减少</w:t>
      </w:r>
      <w:r>
        <w:rPr>
          <w:rFonts w:ascii="仿宋_GB2312" w:eastAsia="仿宋_GB2312" w:hint="eastAsia"/>
          <w:sz w:val="32"/>
          <w:szCs w:val="32"/>
        </w:rPr>
        <w:t>0.28</w:t>
      </w:r>
      <w:r>
        <w:rPr>
          <w:rFonts w:ascii="仿宋_GB2312" w:eastAsia="仿宋_GB2312"/>
          <w:sz w:val="32"/>
          <w:szCs w:val="32"/>
        </w:rPr>
        <w:t>千公顷。其中，夏粮播种面积728.</w:t>
      </w:r>
      <w:r>
        <w:rPr>
          <w:rFonts w:ascii="仿宋_GB2312" w:eastAsia="仿宋_GB2312" w:hint="eastAsia"/>
          <w:sz w:val="32"/>
          <w:szCs w:val="32"/>
        </w:rPr>
        <w:t>99</w:t>
      </w:r>
      <w:r>
        <w:rPr>
          <w:rFonts w:ascii="仿宋_GB2312" w:eastAsia="仿宋_GB2312"/>
          <w:sz w:val="32"/>
          <w:szCs w:val="32"/>
        </w:rPr>
        <w:t>千公顷，</w:t>
      </w:r>
      <w:r>
        <w:rPr>
          <w:rFonts w:ascii="仿宋_GB2312" w:eastAsia="仿宋_GB2312" w:hint="eastAsia"/>
          <w:sz w:val="32"/>
          <w:szCs w:val="32"/>
        </w:rPr>
        <w:t>增加0.78</w:t>
      </w:r>
      <w:r>
        <w:rPr>
          <w:rFonts w:ascii="仿宋_GB2312" w:eastAsia="仿宋_GB2312"/>
          <w:sz w:val="32"/>
          <w:szCs w:val="32"/>
        </w:rPr>
        <w:t>千公顷；秋粮播种面积5</w:t>
      </w:r>
      <w:r>
        <w:rPr>
          <w:rFonts w:ascii="仿宋_GB2312" w:eastAsia="仿宋_GB2312" w:hint="eastAsia"/>
          <w:sz w:val="32"/>
          <w:szCs w:val="32"/>
        </w:rPr>
        <w:t>77.09</w:t>
      </w:r>
      <w:r>
        <w:rPr>
          <w:rFonts w:ascii="仿宋_GB2312" w:eastAsia="仿宋_GB2312"/>
          <w:sz w:val="32"/>
          <w:szCs w:val="32"/>
        </w:rPr>
        <w:t>千公顷，减少</w:t>
      </w:r>
      <w:r>
        <w:rPr>
          <w:rFonts w:ascii="仿宋_GB2312" w:eastAsia="仿宋_GB2312" w:hint="eastAsia"/>
          <w:sz w:val="32"/>
          <w:szCs w:val="32"/>
        </w:rPr>
        <w:t>1.06</w:t>
      </w:r>
      <w:r>
        <w:rPr>
          <w:rFonts w:ascii="仿宋_GB2312" w:eastAsia="仿宋_GB2312"/>
          <w:sz w:val="32"/>
          <w:szCs w:val="32"/>
        </w:rPr>
        <w:t>千公顷。小麦播种面积72</w:t>
      </w:r>
      <w:r>
        <w:rPr>
          <w:rFonts w:ascii="仿宋_GB2312" w:eastAsia="仿宋_GB2312" w:hint="eastAsia"/>
          <w:sz w:val="32"/>
          <w:szCs w:val="32"/>
        </w:rPr>
        <w:t>8.31</w:t>
      </w:r>
      <w:r>
        <w:rPr>
          <w:rFonts w:ascii="仿宋_GB2312" w:eastAsia="仿宋_GB2312"/>
          <w:sz w:val="32"/>
          <w:szCs w:val="32"/>
        </w:rPr>
        <w:t>千公顷，</w:t>
      </w:r>
      <w:r>
        <w:rPr>
          <w:rFonts w:ascii="仿宋_GB2312" w:eastAsia="仿宋_GB2312" w:hint="eastAsia"/>
          <w:sz w:val="32"/>
          <w:szCs w:val="32"/>
        </w:rPr>
        <w:t>增加0.96</w:t>
      </w:r>
      <w:r>
        <w:rPr>
          <w:rFonts w:ascii="仿宋_GB2312" w:eastAsia="仿宋_GB2312"/>
          <w:sz w:val="32"/>
          <w:szCs w:val="32"/>
        </w:rPr>
        <w:t>千公顷；玉米播种面积46</w:t>
      </w:r>
      <w:r>
        <w:rPr>
          <w:rFonts w:ascii="仿宋_GB2312" w:eastAsia="仿宋_GB2312" w:hint="eastAsia"/>
          <w:sz w:val="32"/>
          <w:szCs w:val="32"/>
        </w:rPr>
        <w:t>5.91</w:t>
      </w:r>
      <w:r>
        <w:rPr>
          <w:rFonts w:ascii="仿宋_GB2312" w:eastAsia="仿宋_GB2312"/>
          <w:sz w:val="32"/>
          <w:szCs w:val="32"/>
        </w:rPr>
        <w:t>千公顷，减少</w:t>
      </w:r>
      <w:r>
        <w:rPr>
          <w:rFonts w:ascii="仿宋_GB2312" w:eastAsia="仿宋_GB2312" w:hint="eastAsia"/>
          <w:sz w:val="32"/>
          <w:szCs w:val="32"/>
        </w:rPr>
        <w:t>2.91</w:t>
      </w:r>
      <w:r>
        <w:rPr>
          <w:rFonts w:ascii="仿宋_GB2312" w:eastAsia="仿宋_GB2312"/>
          <w:sz w:val="32"/>
          <w:szCs w:val="32"/>
        </w:rPr>
        <w:t>千公顷；棉花播种面积0.</w:t>
      </w:r>
      <w:r>
        <w:rPr>
          <w:rFonts w:ascii="仿宋_GB2312" w:eastAsia="仿宋_GB2312" w:hint="eastAsia"/>
          <w:sz w:val="32"/>
          <w:szCs w:val="32"/>
        </w:rPr>
        <w:t>01</w:t>
      </w:r>
      <w:r>
        <w:rPr>
          <w:rFonts w:ascii="仿宋_GB2312" w:eastAsia="仿宋_GB2312"/>
          <w:sz w:val="32"/>
          <w:szCs w:val="32"/>
        </w:rPr>
        <w:t>千公顷，减少0.</w:t>
      </w:r>
      <w:r>
        <w:rPr>
          <w:rFonts w:ascii="仿宋_GB2312" w:eastAsia="仿宋_GB2312" w:hint="eastAsia"/>
          <w:sz w:val="32"/>
          <w:szCs w:val="32"/>
        </w:rPr>
        <w:t>11</w:t>
      </w:r>
      <w:r>
        <w:rPr>
          <w:rFonts w:ascii="仿宋_GB2312" w:eastAsia="仿宋_GB2312"/>
          <w:sz w:val="32"/>
          <w:szCs w:val="32"/>
        </w:rPr>
        <w:t>千公顷；油料播种面积40</w:t>
      </w:r>
      <w:r>
        <w:rPr>
          <w:rFonts w:ascii="仿宋_GB2312" w:eastAsia="仿宋_GB2312" w:hint="eastAsia"/>
          <w:sz w:val="32"/>
          <w:szCs w:val="32"/>
        </w:rPr>
        <w:t>4.85</w:t>
      </w:r>
      <w:r>
        <w:rPr>
          <w:rFonts w:ascii="仿宋_GB2312" w:eastAsia="仿宋_GB2312"/>
          <w:sz w:val="32"/>
          <w:szCs w:val="32"/>
        </w:rPr>
        <w:t>千公顷，增加</w:t>
      </w:r>
      <w:r>
        <w:rPr>
          <w:rFonts w:ascii="仿宋_GB2312" w:eastAsia="仿宋_GB2312" w:hint="eastAsia"/>
          <w:sz w:val="32"/>
          <w:szCs w:val="32"/>
        </w:rPr>
        <w:t>2.88</w:t>
      </w:r>
      <w:r>
        <w:rPr>
          <w:rFonts w:ascii="仿宋_GB2312" w:eastAsia="仿宋_GB2312"/>
          <w:sz w:val="32"/>
          <w:szCs w:val="32"/>
        </w:rPr>
        <w:t>千公顷；蔬菜播种面积26</w:t>
      </w:r>
      <w:r>
        <w:rPr>
          <w:rFonts w:ascii="仿宋_GB2312" w:eastAsia="仿宋_GB2312" w:hint="eastAsia"/>
          <w:sz w:val="32"/>
          <w:szCs w:val="32"/>
        </w:rPr>
        <w:t>7.38</w:t>
      </w:r>
      <w:r>
        <w:rPr>
          <w:rFonts w:ascii="仿宋_GB2312" w:eastAsia="仿宋_GB2312"/>
          <w:sz w:val="32"/>
          <w:szCs w:val="32"/>
        </w:rPr>
        <w:t>千公顷，增加</w:t>
      </w:r>
      <w:r>
        <w:rPr>
          <w:rFonts w:ascii="仿宋_GB2312" w:eastAsia="仿宋_GB2312" w:hint="eastAsia"/>
          <w:sz w:val="32"/>
          <w:szCs w:val="32"/>
        </w:rPr>
        <w:t>1.88</w:t>
      </w:r>
      <w:r>
        <w:rPr>
          <w:rFonts w:ascii="仿宋_GB2312" w:eastAsia="仿宋_GB2312"/>
          <w:sz w:val="32"/>
          <w:szCs w:val="32"/>
        </w:rPr>
        <w:t>千公顷。</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全年全市粮食产量</w:t>
      </w:r>
      <w:r>
        <w:rPr>
          <w:rFonts w:ascii="仿宋_GB2312" w:eastAsia="仿宋_GB2312" w:hint="eastAsia"/>
          <w:sz w:val="32"/>
          <w:szCs w:val="32"/>
        </w:rPr>
        <w:t>670.35</w:t>
      </w:r>
      <w:r>
        <w:rPr>
          <w:rFonts w:ascii="仿宋_GB2312" w:eastAsia="仿宋_GB2312"/>
          <w:sz w:val="32"/>
          <w:szCs w:val="32"/>
        </w:rPr>
        <w:t>万吨，比上年</w:t>
      </w:r>
      <w:r>
        <w:rPr>
          <w:rFonts w:ascii="仿宋_GB2312" w:eastAsia="仿宋_GB2312" w:hint="eastAsia"/>
          <w:sz w:val="32"/>
          <w:szCs w:val="32"/>
        </w:rPr>
        <w:t>增</w:t>
      </w:r>
      <w:r>
        <w:rPr>
          <w:rFonts w:ascii="仿宋_GB2312" w:eastAsia="仿宋_GB2312"/>
          <w:sz w:val="32"/>
          <w:szCs w:val="32"/>
        </w:rPr>
        <w:t>产</w:t>
      </w:r>
      <w:r>
        <w:rPr>
          <w:rFonts w:ascii="仿宋_GB2312" w:eastAsia="仿宋_GB2312" w:hint="eastAsia"/>
          <w:sz w:val="32"/>
          <w:szCs w:val="32"/>
        </w:rPr>
        <w:t>0.3</w:t>
      </w:r>
      <w:r>
        <w:rPr>
          <w:rFonts w:ascii="仿宋_GB2312" w:eastAsia="仿宋_GB2312"/>
          <w:sz w:val="32"/>
          <w:szCs w:val="32"/>
        </w:rPr>
        <w:t>%。其中，夏粮产量</w:t>
      </w:r>
      <w:r>
        <w:rPr>
          <w:rFonts w:ascii="仿宋_GB2312" w:eastAsia="仿宋_GB2312" w:hint="eastAsia"/>
          <w:sz w:val="32"/>
          <w:szCs w:val="32"/>
        </w:rPr>
        <w:t>407.64</w:t>
      </w:r>
      <w:r>
        <w:rPr>
          <w:rFonts w:ascii="仿宋_GB2312" w:eastAsia="仿宋_GB2312"/>
          <w:sz w:val="32"/>
          <w:szCs w:val="32"/>
        </w:rPr>
        <w:t>万吨，</w:t>
      </w:r>
      <w:r>
        <w:rPr>
          <w:rFonts w:ascii="仿宋_GB2312" w:eastAsia="仿宋_GB2312" w:hint="eastAsia"/>
          <w:sz w:val="32"/>
          <w:szCs w:val="32"/>
        </w:rPr>
        <w:t>减</w:t>
      </w:r>
      <w:r>
        <w:rPr>
          <w:rFonts w:ascii="仿宋_GB2312" w:eastAsia="仿宋_GB2312"/>
          <w:sz w:val="32"/>
          <w:szCs w:val="32"/>
        </w:rPr>
        <w:t>产</w:t>
      </w:r>
      <w:r>
        <w:rPr>
          <w:rFonts w:ascii="仿宋_GB2312" w:eastAsia="仿宋_GB2312" w:hint="eastAsia"/>
          <w:sz w:val="32"/>
          <w:szCs w:val="32"/>
        </w:rPr>
        <w:t>3.8</w:t>
      </w:r>
      <w:r>
        <w:rPr>
          <w:rFonts w:ascii="仿宋_GB2312" w:eastAsia="仿宋_GB2312"/>
          <w:sz w:val="32"/>
          <w:szCs w:val="32"/>
        </w:rPr>
        <w:t>%；秋粮产量</w:t>
      </w:r>
      <w:r>
        <w:rPr>
          <w:rFonts w:ascii="仿宋_GB2312" w:eastAsia="仿宋_GB2312" w:hint="eastAsia"/>
          <w:sz w:val="32"/>
          <w:szCs w:val="32"/>
        </w:rPr>
        <w:t>262.71</w:t>
      </w:r>
      <w:r>
        <w:rPr>
          <w:rFonts w:ascii="仿宋_GB2312" w:eastAsia="仿宋_GB2312"/>
          <w:sz w:val="32"/>
          <w:szCs w:val="32"/>
        </w:rPr>
        <w:t>万吨，</w:t>
      </w:r>
      <w:r>
        <w:rPr>
          <w:rFonts w:ascii="仿宋_GB2312" w:eastAsia="仿宋_GB2312" w:hint="eastAsia"/>
          <w:sz w:val="32"/>
          <w:szCs w:val="32"/>
        </w:rPr>
        <w:t>增</w:t>
      </w:r>
      <w:r>
        <w:rPr>
          <w:rFonts w:ascii="仿宋_GB2312" w:eastAsia="仿宋_GB2312"/>
          <w:sz w:val="32"/>
          <w:szCs w:val="32"/>
        </w:rPr>
        <w:t>产</w:t>
      </w:r>
      <w:r>
        <w:rPr>
          <w:rFonts w:ascii="仿宋_GB2312" w:eastAsia="仿宋_GB2312" w:hint="eastAsia"/>
          <w:sz w:val="32"/>
          <w:szCs w:val="32"/>
        </w:rPr>
        <w:t>7.6</w:t>
      </w:r>
      <w:r>
        <w:rPr>
          <w:rFonts w:ascii="仿宋_GB2312" w:eastAsia="仿宋_GB2312"/>
          <w:sz w:val="32"/>
          <w:szCs w:val="32"/>
        </w:rPr>
        <w:t>%。小麦产量4</w:t>
      </w:r>
      <w:r>
        <w:rPr>
          <w:rFonts w:ascii="仿宋_GB2312" w:eastAsia="仿宋_GB2312" w:hint="eastAsia"/>
          <w:sz w:val="32"/>
          <w:szCs w:val="32"/>
        </w:rPr>
        <w:t>07.51</w:t>
      </w:r>
      <w:r>
        <w:rPr>
          <w:rFonts w:ascii="仿宋_GB2312" w:eastAsia="仿宋_GB2312"/>
          <w:sz w:val="32"/>
          <w:szCs w:val="32"/>
        </w:rPr>
        <w:t>万吨，</w:t>
      </w:r>
      <w:r>
        <w:rPr>
          <w:rFonts w:ascii="仿宋_GB2312" w:eastAsia="仿宋_GB2312" w:hint="eastAsia"/>
          <w:sz w:val="32"/>
          <w:szCs w:val="32"/>
        </w:rPr>
        <w:t>减</w:t>
      </w:r>
      <w:r>
        <w:rPr>
          <w:rFonts w:ascii="仿宋_GB2312" w:eastAsia="仿宋_GB2312"/>
          <w:sz w:val="32"/>
          <w:szCs w:val="32"/>
        </w:rPr>
        <w:t>产</w:t>
      </w:r>
      <w:r>
        <w:rPr>
          <w:rFonts w:ascii="仿宋_GB2312" w:eastAsia="仿宋_GB2312" w:hint="eastAsia"/>
          <w:sz w:val="32"/>
          <w:szCs w:val="32"/>
        </w:rPr>
        <w:t>3.8</w:t>
      </w:r>
      <w:r>
        <w:rPr>
          <w:rFonts w:ascii="仿宋_GB2312" w:eastAsia="仿宋_GB2312"/>
          <w:sz w:val="32"/>
          <w:szCs w:val="32"/>
        </w:rPr>
        <w:t>%；玉米产量</w:t>
      </w:r>
      <w:r>
        <w:rPr>
          <w:rFonts w:ascii="仿宋_GB2312" w:eastAsia="仿宋_GB2312" w:hint="eastAsia"/>
          <w:sz w:val="32"/>
          <w:szCs w:val="32"/>
        </w:rPr>
        <w:t>214.24</w:t>
      </w:r>
      <w:r>
        <w:rPr>
          <w:rFonts w:ascii="仿宋_GB2312" w:eastAsia="仿宋_GB2312"/>
          <w:sz w:val="32"/>
          <w:szCs w:val="32"/>
        </w:rPr>
        <w:t>万吨，</w:t>
      </w:r>
      <w:r>
        <w:rPr>
          <w:rFonts w:ascii="仿宋_GB2312" w:eastAsia="仿宋_GB2312" w:hint="eastAsia"/>
          <w:sz w:val="32"/>
          <w:szCs w:val="32"/>
        </w:rPr>
        <w:t>增</w:t>
      </w:r>
      <w:r>
        <w:rPr>
          <w:rFonts w:ascii="仿宋_GB2312" w:eastAsia="仿宋_GB2312"/>
          <w:sz w:val="32"/>
          <w:szCs w:val="32"/>
        </w:rPr>
        <w:t>产</w:t>
      </w:r>
      <w:r>
        <w:rPr>
          <w:rFonts w:ascii="仿宋_GB2312" w:eastAsia="仿宋_GB2312" w:hint="eastAsia"/>
          <w:sz w:val="32"/>
          <w:szCs w:val="32"/>
        </w:rPr>
        <w:t>8.3</w:t>
      </w:r>
      <w:r>
        <w:rPr>
          <w:rFonts w:ascii="仿宋_GB2312" w:eastAsia="仿宋_GB2312"/>
          <w:sz w:val="32"/>
          <w:szCs w:val="32"/>
        </w:rPr>
        <w:t>%。</w:t>
      </w:r>
    </w:p>
    <w:p w:rsidR="00024185" w:rsidRDefault="00707518">
      <w:pPr>
        <w:spacing w:line="560" w:lineRule="exact"/>
        <w:jc w:val="center"/>
        <w:rPr>
          <w:rFonts w:ascii="宋体" w:hAnsi="宋体" w:cs="宋体"/>
          <w:b/>
          <w:bCs/>
          <w:kern w:val="0"/>
          <w:sz w:val="32"/>
          <w:szCs w:val="32"/>
        </w:rPr>
      </w:pPr>
      <w:r>
        <w:rPr>
          <w:rFonts w:ascii="宋体" w:hAnsi="宋体" w:cs="宋体"/>
          <w:b/>
          <w:bCs/>
          <w:kern w:val="0"/>
          <w:sz w:val="32"/>
          <w:szCs w:val="32"/>
        </w:rPr>
        <w:t>图</w:t>
      </w:r>
      <w:r>
        <w:rPr>
          <w:rFonts w:ascii="宋体" w:hAnsi="宋体" w:cs="宋体" w:hint="eastAsia"/>
          <w:b/>
          <w:bCs/>
          <w:kern w:val="0"/>
          <w:sz w:val="32"/>
          <w:szCs w:val="32"/>
        </w:rPr>
        <w:t>4</w:t>
      </w:r>
      <w:r>
        <w:rPr>
          <w:rFonts w:ascii="宋体" w:hAnsi="宋体" w:cs="宋体"/>
          <w:b/>
          <w:bCs/>
          <w:kern w:val="0"/>
          <w:sz w:val="32"/>
          <w:szCs w:val="32"/>
        </w:rPr>
        <w:t xml:space="preserve">  202</w:t>
      </w:r>
      <w:r>
        <w:rPr>
          <w:rFonts w:ascii="宋体" w:hAnsi="宋体" w:cs="宋体" w:hint="eastAsia"/>
          <w:b/>
          <w:bCs/>
          <w:kern w:val="0"/>
          <w:sz w:val="32"/>
          <w:szCs w:val="32"/>
        </w:rPr>
        <w:t>1</w:t>
      </w:r>
      <w:r>
        <w:rPr>
          <w:rFonts w:ascii="宋体" w:hAnsi="宋体" w:cs="宋体"/>
          <w:b/>
          <w:bCs/>
          <w:kern w:val="0"/>
          <w:sz w:val="32"/>
          <w:szCs w:val="32"/>
        </w:rPr>
        <w:t>-202</w:t>
      </w:r>
      <w:r>
        <w:rPr>
          <w:rFonts w:ascii="宋体" w:hAnsi="宋体" w:cs="宋体" w:hint="eastAsia"/>
          <w:b/>
          <w:bCs/>
          <w:kern w:val="0"/>
          <w:sz w:val="32"/>
          <w:szCs w:val="32"/>
        </w:rPr>
        <w:t>5</w:t>
      </w:r>
      <w:r>
        <w:rPr>
          <w:rFonts w:ascii="宋体" w:hAnsi="宋体" w:cs="宋体"/>
          <w:b/>
          <w:bCs/>
          <w:kern w:val="0"/>
          <w:sz w:val="32"/>
          <w:szCs w:val="32"/>
        </w:rPr>
        <w:t>年南阳市粮食产量</w:t>
      </w:r>
    </w:p>
    <w:p w:rsidR="00024185" w:rsidRDefault="00024185">
      <w:pPr>
        <w:jc w:val="center"/>
      </w:pPr>
    </w:p>
    <w:p w:rsidR="00024185" w:rsidRDefault="00707518">
      <w:pPr>
        <w:jc w:val="center"/>
      </w:pPr>
      <w:r>
        <w:rPr>
          <w:noProof/>
        </w:rPr>
        <w:lastRenderedPageBreak/>
        <w:drawing>
          <wp:inline distT="0" distB="0" distL="114300" distR="114300">
            <wp:extent cx="5105400" cy="2747010"/>
            <wp:effectExtent l="0" t="0" r="0" b="0"/>
            <wp:docPr id="137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全年全市棉花产量</w:t>
      </w:r>
      <w:r>
        <w:rPr>
          <w:rFonts w:ascii="仿宋_GB2312" w:eastAsia="仿宋_GB2312" w:hint="eastAsia"/>
          <w:sz w:val="32"/>
          <w:szCs w:val="32"/>
        </w:rPr>
        <w:t>11.97</w:t>
      </w:r>
      <w:r>
        <w:rPr>
          <w:rFonts w:ascii="仿宋_GB2312" w:eastAsia="仿宋_GB2312"/>
          <w:sz w:val="32"/>
          <w:szCs w:val="32"/>
        </w:rPr>
        <w:t>吨，比上年减产</w:t>
      </w:r>
      <w:r>
        <w:rPr>
          <w:rFonts w:ascii="仿宋_GB2312" w:eastAsia="仿宋_GB2312" w:hint="eastAsia"/>
          <w:sz w:val="32"/>
          <w:szCs w:val="32"/>
        </w:rPr>
        <w:t>92.2</w:t>
      </w:r>
      <w:r>
        <w:rPr>
          <w:rFonts w:ascii="仿宋_GB2312" w:eastAsia="仿宋_GB2312"/>
          <w:sz w:val="32"/>
          <w:szCs w:val="32"/>
        </w:rPr>
        <w:t>%。油料产量18</w:t>
      </w:r>
      <w:r>
        <w:rPr>
          <w:rFonts w:ascii="仿宋_GB2312" w:eastAsia="仿宋_GB2312" w:hint="eastAsia"/>
          <w:sz w:val="32"/>
          <w:szCs w:val="32"/>
        </w:rPr>
        <w:t>4.97</w:t>
      </w:r>
      <w:r>
        <w:rPr>
          <w:rFonts w:ascii="仿宋_GB2312" w:eastAsia="仿宋_GB2312"/>
          <w:sz w:val="32"/>
          <w:szCs w:val="32"/>
        </w:rPr>
        <w:t>万吨，增产</w:t>
      </w:r>
      <w:r>
        <w:rPr>
          <w:rFonts w:ascii="仿宋_GB2312" w:eastAsia="仿宋_GB2312" w:hint="eastAsia"/>
          <w:sz w:val="32"/>
          <w:szCs w:val="32"/>
        </w:rPr>
        <w:t>1.6</w:t>
      </w:r>
      <w:r>
        <w:rPr>
          <w:rFonts w:ascii="仿宋_GB2312" w:eastAsia="仿宋_GB2312"/>
          <w:sz w:val="32"/>
          <w:szCs w:val="32"/>
        </w:rPr>
        <w:t>%。蔬菜产量1</w:t>
      </w:r>
      <w:r>
        <w:rPr>
          <w:rFonts w:ascii="仿宋_GB2312" w:eastAsia="仿宋_GB2312" w:hint="eastAsia"/>
          <w:sz w:val="32"/>
          <w:szCs w:val="32"/>
        </w:rPr>
        <w:t>311.30</w:t>
      </w:r>
      <w:r>
        <w:rPr>
          <w:rFonts w:ascii="仿宋_GB2312" w:eastAsia="仿宋_GB2312"/>
          <w:sz w:val="32"/>
          <w:szCs w:val="32"/>
        </w:rPr>
        <w:t>万吨，增产</w:t>
      </w:r>
      <w:r>
        <w:rPr>
          <w:rFonts w:ascii="仿宋_GB2312" w:eastAsia="仿宋_GB2312" w:hint="eastAsia"/>
          <w:sz w:val="32"/>
          <w:szCs w:val="32"/>
        </w:rPr>
        <w:t>2.3</w:t>
      </w:r>
      <w:r>
        <w:rPr>
          <w:rFonts w:ascii="仿宋_GB2312" w:eastAsia="仿宋_GB2312"/>
          <w:sz w:val="32"/>
          <w:szCs w:val="32"/>
        </w:rPr>
        <w:t>%。水果产量</w:t>
      </w:r>
      <w:r>
        <w:rPr>
          <w:rFonts w:ascii="仿宋_GB2312" w:eastAsia="仿宋_GB2312" w:hint="eastAsia"/>
          <w:sz w:val="32"/>
          <w:szCs w:val="32"/>
        </w:rPr>
        <w:t>153.65</w:t>
      </w:r>
      <w:r>
        <w:rPr>
          <w:rFonts w:ascii="仿宋_GB2312" w:eastAsia="仿宋_GB2312"/>
          <w:sz w:val="32"/>
          <w:szCs w:val="32"/>
        </w:rPr>
        <w:t>万吨，增产</w:t>
      </w:r>
      <w:r>
        <w:rPr>
          <w:rFonts w:ascii="仿宋_GB2312" w:eastAsia="仿宋_GB2312" w:hint="eastAsia"/>
          <w:sz w:val="32"/>
          <w:szCs w:val="32"/>
        </w:rPr>
        <w:t>3.5</w:t>
      </w:r>
      <w:r>
        <w:rPr>
          <w:rFonts w:ascii="仿宋_GB2312" w:eastAsia="仿宋_GB2312"/>
          <w:sz w:val="32"/>
          <w:szCs w:val="32"/>
        </w:rPr>
        <w:t>%。</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全年全市猪牛羊禽肉总产量</w:t>
      </w:r>
      <w:r>
        <w:rPr>
          <w:rFonts w:ascii="仿宋_GB2312" w:eastAsia="仿宋_GB2312" w:hint="eastAsia"/>
          <w:sz w:val="32"/>
          <w:szCs w:val="32"/>
        </w:rPr>
        <w:t>92.13</w:t>
      </w:r>
      <w:r>
        <w:rPr>
          <w:rFonts w:ascii="仿宋_GB2312" w:eastAsia="仿宋_GB2312"/>
          <w:sz w:val="32"/>
          <w:szCs w:val="32"/>
        </w:rPr>
        <w:t>万吨，比上年增长</w:t>
      </w:r>
      <w:r>
        <w:rPr>
          <w:rFonts w:ascii="仿宋_GB2312" w:eastAsia="仿宋_GB2312" w:hint="eastAsia"/>
          <w:sz w:val="32"/>
          <w:szCs w:val="32"/>
        </w:rPr>
        <w:t>9.8</w:t>
      </w:r>
      <w:r>
        <w:rPr>
          <w:rFonts w:ascii="仿宋_GB2312" w:eastAsia="仿宋_GB2312"/>
          <w:sz w:val="32"/>
          <w:szCs w:val="32"/>
        </w:rPr>
        <w:t>%。其中，猪肉产量</w:t>
      </w:r>
      <w:r>
        <w:rPr>
          <w:rFonts w:ascii="仿宋_GB2312" w:eastAsia="仿宋_GB2312" w:hint="eastAsia"/>
          <w:sz w:val="32"/>
          <w:szCs w:val="32"/>
        </w:rPr>
        <w:t>74.40</w:t>
      </w:r>
      <w:r>
        <w:rPr>
          <w:rFonts w:ascii="仿宋_GB2312" w:eastAsia="仿宋_GB2312"/>
          <w:sz w:val="32"/>
          <w:szCs w:val="32"/>
        </w:rPr>
        <w:t>万吨，增长</w:t>
      </w:r>
      <w:r>
        <w:rPr>
          <w:rFonts w:ascii="仿宋_GB2312" w:eastAsia="仿宋_GB2312" w:hint="eastAsia"/>
          <w:sz w:val="32"/>
          <w:szCs w:val="32"/>
        </w:rPr>
        <w:t>12.0</w:t>
      </w:r>
      <w:r>
        <w:rPr>
          <w:rFonts w:ascii="仿宋_GB2312" w:eastAsia="仿宋_GB2312"/>
          <w:sz w:val="32"/>
          <w:szCs w:val="32"/>
        </w:rPr>
        <w:t>%；牛肉产量8.</w:t>
      </w:r>
      <w:r>
        <w:rPr>
          <w:rFonts w:ascii="仿宋_GB2312" w:eastAsia="仿宋_GB2312" w:hint="eastAsia"/>
          <w:sz w:val="32"/>
          <w:szCs w:val="32"/>
        </w:rPr>
        <w:t>36</w:t>
      </w:r>
      <w:r>
        <w:rPr>
          <w:rFonts w:ascii="仿宋_GB2312" w:eastAsia="仿宋_GB2312"/>
          <w:sz w:val="32"/>
          <w:szCs w:val="32"/>
        </w:rPr>
        <w:t>万吨，增长</w:t>
      </w:r>
      <w:r>
        <w:rPr>
          <w:rFonts w:ascii="仿宋_GB2312" w:eastAsia="仿宋_GB2312" w:hint="eastAsia"/>
          <w:sz w:val="32"/>
          <w:szCs w:val="32"/>
        </w:rPr>
        <w:t>3.0</w:t>
      </w:r>
      <w:r>
        <w:rPr>
          <w:rFonts w:ascii="仿宋_GB2312" w:eastAsia="仿宋_GB2312"/>
          <w:sz w:val="32"/>
          <w:szCs w:val="32"/>
        </w:rPr>
        <w:t>%；羊肉产量3.</w:t>
      </w:r>
      <w:r>
        <w:rPr>
          <w:rFonts w:ascii="仿宋_GB2312" w:eastAsia="仿宋_GB2312" w:hint="eastAsia"/>
          <w:sz w:val="32"/>
          <w:szCs w:val="32"/>
        </w:rPr>
        <w:t>02</w:t>
      </w:r>
      <w:r>
        <w:rPr>
          <w:rFonts w:ascii="仿宋_GB2312" w:eastAsia="仿宋_GB2312"/>
          <w:sz w:val="32"/>
          <w:szCs w:val="32"/>
        </w:rPr>
        <w:t>万吨，</w:t>
      </w:r>
      <w:r>
        <w:rPr>
          <w:rFonts w:ascii="仿宋_GB2312" w:eastAsia="仿宋_GB2312" w:hint="eastAsia"/>
          <w:sz w:val="32"/>
          <w:szCs w:val="32"/>
        </w:rPr>
        <w:t>下降15.1</w:t>
      </w:r>
      <w:r>
        <w:rPr>
          <w:rFonts w:ascii="仿宋_GB2312" w:eastAsia="仿宋_GB2312"/>
          <w:sz w:val="32"/>
          <w:szCs w:val="32"/>
        </w:rPr>
        <w:t>%；禽肉产量</w:t>
      </w:r>
      <w:r>
        <w:rPr>
          <w:rFonts w:ascii="仿宋_GB2312" w:eastAsia="仿宋_GB2312" w:hint="eastAsia"/>
          <w:sz w:val="32"/>
          <w:szCs w:val="32"/>
        </w:rPr>
        <w:t>6.35</w:t>
      </w:r>
      <w:r>
        <w:rPr>
          <w:rFonts w:ascii="仿宋_GB2312" w:eastAsia="仿宋_GB2312"/>
          <w:sz w:val="32"/>
          <w:szCs w:val="32"/>
        </w:rPr>
        <w:t>万吨，增长</w:t>
      </w:r>
      <w:r>
        <w:rPr>
          <w:rFonts w:ascii="仿宋_GB2312" w:eastAsia="仿宋_GB2312" w:hint="eastAsia"/>
          <w:sz w:val="32"/>
          <w:szCs w:val="32"/>
        </w:rPr>
        <w:t>9.8</w:t>
      </w:r>
      <w:r>
        <w:rPr>
          <w:rFonts w:ascii="仿宋_GB2312" w:eastAsia="仿宋_GB2312"/>
          <w:sz w:val="32"/>
          <w:szCs w:val="32"/>
        </w:rPr>
        <w:t>%。禽蛋总产量</w:t>
      </w:r>
      <w:r>
        <w:rPr>
          <w:rFonts w:ascii="仿宋_GB2312" w:eastAsia="仿宋_GB2312" w:hint="eastAsia"/>
          <w:sz w:val="32"/>
          <w:szCs w:val="32"/>
        </w:rPr>
        <w:t>34.46</w:t>
      </w:r>
      <w:r>
        <w:rPr>
          <w:rFonts w:ascii="仿宋_GB2312" w:eastAsia="仿宋_GB2312"/>
          <w:sz w:val="32"/>
          <w:szCs w:val="32"/>
        </w:rPr>
        <w:t>万吨，下降</w:t>
      </w:r>
      <w:r>
        <w:rPr>
          <w:rFonts w:ascii="仿宋_GB2312" w:eastAsia="仿宋_GB2312" w:hint="eastAsia"/>
          <w:sz w:val="32"/>
          <w:szCs w:val="32"/>
        </w:rPr>
        <w:t>6.1</w:t>
      </w:r>
      <w:r>
        <w:rPr>
          <w:rFonts w:ascii="仿宋_GB2312" w:eastAsia="仿宋_GB2312"/>
          <w:sz w:val="32"/>
          <w:szCs w:val="32"/>
        </w:rPr>
        <w:t>%。牛奶总产量</w:t>
      </w:r>
      <w:r>
        <w:rPr>
          <w:rFonts w:ascii="仿宋_GB2312" w:eastAsia="仿宋_GB2312" w:hint="eastAsia"/>
          <w:sz w:val="32"/>
          <w:szCs w:val="32"/>
        </w:rPr>
        <w:t>21.74</w:t>
      </w:r>
      <w:r>
        <w:rPr>
          <w:rFonts w:ascii="仿宋_GB2312" w:eastAsia="仿宋_GB2312"/>
          <w:sz w:val="32"/>
          <w:szCs w:val="32"/>
        </w:rPr>
        <w:t>万吨，下降</w:t>
      </w:r>
      <w:r>
        <w:rPr>
          <w:rFonts w:ascii="仿宋_GB2312" w:eastAsia="仿宋_GB2312" w:hint="eastAsia"/>
          <w:sz w:val="32"/>
          <w:szCs w:val="32"/>
        </w:rPr>
        <w:t>7.0</w:t>
      </w:r>
      <w:r>
        <w:rPr>
          <w:rFonts w:ascii="仿宋_GB2312" w:eastAsia="仿宋_GB2312"/>
          <w:sz w:val="32"/>
          <w:szCs w:val="32"/>
        </w:rPr>
        <w:t>%。年末生猪存栏</w:t>
      </w:r>
      <w:r>
        <w:rPr>
          <w:rFonts w:ascii="仿宋_GB2312" w:eastAsia="仿宋_GB2312" w:hint="eastAsia"/>
          <w:sz w:val="32"/>
          <w:szCs w:val="32"/>
        </w:rPr>
        <w:t>657.07</w:t>
      </w:r>
      <w:r>
        <w:rPr>
          <w:rFonts w:ascii="仿宋_GB2312" w:eastAsia="仿宋_GB2312"/>
          <w:sz w:val="32"/>
          <w:szCs w:val="32"/>
        </w:rPr>
        <w:t>万头，增长</w:t>
      </w:r>
      <w:r>
        <w:rPr>
          <w:rFonts w:ascii="仿宋_GB2312" w:eastAsia="仿宋_GB2312" w:hint="eastAsia"/>
          <w:sz w:val="32"/>
          <w:szCs w:val="32"/>
        </w:rPr>
        <w:t>3.7</w:t>
      </w:r>
      <w:r>
        <w:rPr>
          <w:rFonts w:ascii="仿宋_GB2312" w:eastAsia="仿宋_GB2312"/>
          <w:sz w:val="32"/>
          <w:szCs w:val="32"/>
        </w:rPr>
        <w:t>%；全年生猪出栏</w:t>
      </w:r>
      <w:r>
        <w:rPr>
          <w:rFonts w:ascii="仿宋_GB2312" w:eastAsia="仿宋_GB2312" w:hint="eastAsia"/>
          <w:sz w:val="32"/>
          <w:szCs w:val="32"/>
        </w:rPr>
        <w:t>929.04</w:t>
      </w:r>
      <w:r>
        <w:rPr>
          <w:rFonts w:ascii="仿宋_GB2312" w:eastAsia="仿宋_GB2312"/>
          <w:sz w:val="32"/>
          <w:szCs w:val="32"/>
        </w:rPr>
        <w:t>万头，增长</w:t>
      </w:r>
      <w:r>
        <w:rPr>
          <w:rFonts w:ascii="仿宋_GB2312" w:eastAsia="仿宋_GB2312" w:hint="eastAsia"/>
          <w:sz w:val="32"/>
          <w:szCs w:val="32"/>
        </w:rPr>
        <w:t>8.5</w:t>
      </w:r>
      <w:r>
        <w:rPr>
          <w:rFonts w:ascii="仿宋_GB2312" w:eastAsia="仿宋_GB2312"/>
          <w:sz w:val="32"/>
          <w:szCs w:val="32"/>
        </w:rPr>
        <w:t>%。牛存栏</w:t>
      </w:r>
      <w:r>
        <w:rPr>
          <w:rFonts w:ascii="仿宋_GB2312" w:eastAsia="仿宋_GB2312" w:hint="eastAsia"/>
          <w:sz w:val="32"/>
          <w:szCs w:val="32"/>
        </w:rPr>
        <w:t>53.95</w:t>
      </w:r>
      <w:r>
        <w:rPr>
          <w:rFonts w:ascii="仿宋_GB2312" w:eastAsia="仿宋_GB2312"/>
          <w:sz w:val="32"/>
          <w:szCs w:val="32"/>
        </w:rPr>
        <w:t>万头，下降</w:t>
      </w:r>
      <w:r>
        <w:rPr>
          <w:rFonts w:ascii="仿宋_GB2312" w:eastAsia="仿宋_GB2312" w:hint="eastAsia"/>
          <w:sz w:val="32"/>
          <w:szCs w:val="32"/>
        </w:rPr>
        <w:t>9.8</w:t>
      </w:r>
      <w:r>
        <w:rPr>
          <w:rFonts w:ascii="仿宋_GB2312" w:eastAsia="仿宋_GB2312"/>
          <w:sz w:val="32"/>
          <w:szCs w:val="32"/>
        </w:rPr>
        <w:t>%；牛出栏</w:t>
      </w:r>
      <w:r>
        <w:rPr>
          <w:rFonts w:ascii="仿宋_GB2312" w:eastAsia="仿宋_GB2312" w:hint="eastAsia"/>
          <w:sz w:val="32"/>
          <w:szCs w:val="32"/>
        </w:rPr>
        <w:t>51.63</w:t>
      </w:r>
      <w:r>
        <w:rPr>
          <w:rFonts w:ascii="仿宋_GB2312" w:eastAsia="仿宋_GB2312"/>
          <w:sz w:val="32"/>
          <w:szCs w:val="32"/>
        </w:rPr>
        <w:t>万头，</w:t>
      </w:r>
      <w:r>
        <w:rPr>
          <w:rFonts w:ascii="仿宋_GB2312" w:eastAsia="仿宋_GB2312" w:hint="eastAsia"/>
          <w:sz w:val="32"/>
          <w:szCs w:val="32"/>
        </w:rPr>
        <w:t>增长2.2</w:t>
      </w:r>
      <w:r>
        <w:rPr>
          <w:rFonts w:ascii="仿宋_GB2312" w:eastAsia="仿宋_GB2312"/>
          <w:sz w:val="32"/>
          <w:szCs w:val="32"/>
        </w:rPr>
        <w:t>%。羊存栏</w:t>
      </w:r>
      <w:r>
        <w:rPr>
          <w:rFonts w:ascii="仿宋_GB2312" w:eastAsia="仿宋_GB2312" w:hint="eastAsia"/>
          <w:sz w:val="32"/>
          <w:szCs w:val="32"/>
        </w:rPr>
        <w:t>213.03</w:t>
      </w:r>
      <w:r>
        <w:rPr>
          <w:rFonts w:ascii="仿宋_GB2312" w:eastAsia="仿宋_GB2312"/>
          <w:sz w:val="32"/>
          <w:szCs w:val="32"/>
        </w:rPr>
        <w:t>万头，下降</w:t>
      </w:r>
      <w:r>
        <w:rPr>
          <w:rFonts w:ascii="仿宋_GB2312" w:eastAsia="仿宋_GB2312" w:hint="eastAsia"/>
          <w:sz w:val="32"/>
          <w:szCs w:val="32"/>
        </w:rPr>
        <w:t>14.7</w:t>
      </w:r>
      <w:r>
        <w:rPr>
          <w:rFonts w:ascii="仿宋_GB2312" w:eastAsia="仿宋_GB2312"/>
          <w:sz w:val="32"/>
          <w:szCs w:val="32"/>
        </w:rPr>
        <w:t>%；羊出栏2</w:t>
      </w:r>
      <w:r>
        <w:rPr>
          <w:rFonts w:ascii="仿宋_GB2312" w:eastAsia="仿宋_GB2312" w:hint="eastAsia"/>
          <w:sz w:val="32"/>
          <w:szCs w:val="32"/>
        </w:rPr>
        <w:t>01.08</w:t>
      </w:r>
      <w:r>
        <w:rPr>
          <w:rFonts w:ascii="仿宋_GB2312" w:eastAsia="仿宋_GB2312"/>
          <w:sz w:val="32"/>
          <w:szCs w:val="32"/>
        </w:rPr>
        <w:t>万头，下降</w:t>
      </w:r>
      <w:r>
        <w:rPr>
          <w:rFonts w:ascii="仿宋_GB2312" w:eastAsia="仿宋_GB2312" w:hint="eastAsia"/>
          <w:sz w:val="32"/>
          <w:szCs w:val="32"/>
        </w:rPr>
        <w:t>17.0</w:t>
      </w:r>
      <w:r>
        <w:rPr>
          <w:rFonts w:ascii="仿宋_GB2312" w:eastAsia="仿宋_GB2312"/>
          <w:sz w:val="32"/>
          <w:szCs w:val="32"/>
        </w:rPr>
        <w:t>%。</w:t>
      </w:r>
    </w:p>
    <w:p w:rsidR="00024185" w:rsidRDefault="00707518">
      <w:pPr>
        <w:spacing w:line="560" w:lineRule="exact"/>
        <w:jc w:val="center"/>
        <w:rPr>
          <w:rFonts w:ascii="宋体" w:hAnsi="宋体" w:cs="宋体"/>
          <w:b/>
          <w:bCs/>
          <w:kern w:val="0"/>
          <w:sz w:val="32"/>
          <w:szCs w:val="32"/>
        </w:rPr>
      </w:pPr>
      <w:r>
        <w:rPr>
          <w:rFonts w:ascii="宋体" w:hAnsi="宋体" w:cs="宋体"/>
          <w:b/>
          <w:bCs/>
          <w:kern w:val="0"/>
          <w:sz w:val="32"/>
          <w:szCs w:val="32"/>
        </w:rPr>
        <w:t>表</w:t>
      </w:r>
      <w:r>
        <w:rPr>
          <w:rFonts w:ascii="宋体" w:hAnsi="宋体" w:cs="宋体" w:hint="eastAsia"/>
          <w:b/>
          <w:bCs/>
          <w:kern w:val="0"/>
          <w:sz w:val="32"/>
          <w:szCs w:val="32"/>
        </w:rPr>
        <w:t>3</w:t>
      </w:r>
      <w:r>
        <w:rPr>
          <w:rFonts w:ascii="宋体" w:hAnsi="宋体" w:cs="宋体"/>
          <w:b/>
          <w:bCs/>
          <w:kern w:val="0"/>
          <w:sz w:val="32"/>
          <w:szCs w:val="32"/>
        </w:rPr>
        <w:t xml:space="preserve">  202</w:t>
      </w:r>
      <w:r>
        <w:rPr>
          <w:rFonts w:ascii="宋体" w:hAnsi="宋体" w:cs="宋体" w:hint="eastAsia"/>
          <w:b/>
          <w:bCs/>
          <w:kern w:val="0"/>
          <w:sz w:val="32"/>
          <w:szCs w:val="32"/>
        </w:rPr>
        <w:t>5</w:t>
      </w:r>
      <w:r>
        <w:rPr>
          <w:rFonts w:ascii="宋体" w:hAnsi="宋体" w:cs="宋体"/>
          <w:b/>
          <w:bCs/>
          <w:kern w:val="0"/>
          <w:sz w:val="32"/>
          <w:szCs w:val="32"/>
        </w:rPr>
        <w:t>年南阳市主要农产品产量</w:t>
      </w:r>
    </w:p>
    <w:tbl>
      <w:tblPr>
        <w:tblW w:w="0" w:type="auto"/>
        <w:jc w:val="center"/>
        <w:tblLayout w:type="fixed"/>
        <w:tblCellMar>
          <w:left w:w="57" w:type="dxa"/>
          <w:right w:w="57" w:type="dxa"/>
        </w:tblCellMar>
        <w:tblLook w:val="04A0" w:firstRow="1" w:lastRow="0" w:firstColumn="1" w:lastColumn="0" w:noHBand="0" w:noVBand="1"/>
      </w:tblPr>
      <w:tblGrid>
        <w:gridCol w:w="3483"/>
        <w:gridCol w:w="2606"/>
        <w:gridCol w:w="2250"/>
      </w:tblGrid>
      <w:tr w:rsidR="00024185">
        <w:trPr>
          <w:trHeight w:val="567"/>
          <w:jc w:val="center"/>
        </w:trPr>
        <w:tc>
          <w:tcPr>
            <w:tcW w:w="3483" w:type="dxa"/>
            <w:tcBorders>
              <w:top w:val="single" w:sz="8" w:space="0" w:color="000000"/>
              <w:left w:val="nil"/>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产品名称</w:t>
            </w:r>
          </w:p>
        </w:tc>
        <w:tc>
          <w:tcPr>
            <w:tcW w:w="2606" w:type="dxa"/>
            <w:tcBorders>
              <w:top w:val="single" w:sz="8" w:space="0" w:color="000000"/>
              <w:left w:val="single" w:sz="6" w:space="0" w:color="000000"/>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产 量(万吨)</w:t>
            </w:r>
          </w:p>
        </w:tc>
        <w:tc>
          <w:tcPr>
            <w:tcW w:w="2250" w:type="dxa"/>
            <w:tcBorders>
              <w:top w:val="single" w:sz="8" w:space="0" w:color="000000"/>
              <w:left w:val="single" w:sz="6" w:space="0" w:color="000000"/>
              <w:bottom w:val="single" w:sz="6" w:space="0" w:color="000000"/>
              <w:right w:val="nil"/>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比上年增长（%）</w:t>
            </w:r>
          </w:p>
        </w:tc>
      </w:tr>
      <w:tr w:rsidR="00024185">
        <w:trPr>
          <w:trHeight w:val="567"/>
          <w:jc w:val="center"/>
        </w:trPr>
        <w:tc>
          <w:tcPr>
            <w:tcW w:w="3483" w:type="dxa"/>
            <w:tcBorders>
              <w:top w:val="single" w:sz="6" w:space="0" w:color="000000"/>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粮食</w:t>
            </w:r>
          </w:p>
        </w:tc>
        <w:tc>
          <w:tcPr>
            <w:tcW w:w="2606" w:type="dxa"/>
            <w:tcBorders>
              <w:top w:val="single" w:sz="6" w:space="0" w:color="000000"/>
              <w:left w:val="single" w:sz="6" w:space="0" w:color="000000"/>
              <w:bottom w:val="nil"/>
              <w:right w:val="single" w:sz="6" w:space="0" w:color="000000"/>
            </w:tcBorders>
            <w:vAlign w:val="center"/>
          </w:tcPr>
          <w:p w:rsidR="00024185" w:rsidRDefault="00707518">
            <w:pPr>
              <w:jc w:val="right"/>
              <w:rPr>
                <w:rFonts w:ascii="宋体" w:hAnsi="宋体" w:cs="宋体"/>
                <w:sz w:val="28"/>
                <w:szCs w:val="28"/>
              </w:rPr>
            </w:pPr>
            <w:r>
              <w:rPr>
                <w:rFonts w:ascii="宋体" w:hAnsi="宋体" w:hint="eastAsia"/>
                <w:sz w:val="28"/>
                <w:szCs w:val="28"/>
              </w:rPr>
              <w:t>670.35</w:t>
            </w:r>
          </w:p>
        </w:tc>
        <w:tc>
          <w:tcPr>
            <w:tcW w:w="2250" w:type="dxa"/>
            <w:tcBorders>
              <w:top w:val="single" w:sz="6" w:space="0" w:color="000000"/>
              <w:left w:val="single" w:sz="6" w:space="0" w:color="000000"/>
              <w:bottom w:val="nil"/>
              <w:right w:val="nil"/>
            </w:tcBorders>
            <w:vAlign w:val="center"/>
          </w:tcPr>
          <w:p w:rsidR="00024185" w:rsidRDefault="00707518">
            <w:pPr>
              <w:jc w:val="right"/>
              <w:rPr>
                <w:rFonts w:ascii="宋体" w:hAnsi="宋体" w:cs="宋体"/>
                <w:sz w:val="28"/>
                <w:szCs w:val="28"/>
              </w:rPr>
            </w:pPr>
            <w:r>
              <w:rPr>
                <w:rFonts w:ascii="宋体" w:hAnsi="宋体" w:hint="eastAsia"/>
                <w:sz w:val="28"/>
                <w:szCs w:val="28"/>
              </w:rPr>
              <w:t>0.3</w:t>
            </w:r>
          </w:p>
        </w:tc>
      </w:tr>
      <w:tr w:rsidR="00024185">
        <w:trPr>
          <w:trHeight w:val="567"/>
          <w:jc w:val="center"/>
        </w:trPr>
        <w:tc>
          <w:tcPr>
            <w:tcW w:w="3483" w:type="dxa"/>
            <w:tcBorders>
              <w:top w:val="nil"/>
              <w:left w:val="nil"/>
              <w:bottom w:val="nil"/>
              <w:right w:val="single" w:sz="6" w:space="0" w:color="000000"/>
            </w:tcBorders>
            <w:vAlign w:val="center"/>
          </w:tcPr>
          <w:p w:rsidR="00024185" w:rsidRDefault="00707518">
            <w:pPr>
              <w:adjustRightInd w:val="0"/>
              <w:snapToGrid w:val="0"/>
              <w:ind w:firstLineChars="200" w:firstLine="56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其中：</w:t>
            </w:r>
            <w:r>
              <w:rPr>
                <w:rFonts w:asciiTheme="minorEastAsia" w:eastAsiaTheme="minorEastAsia" w:hAnsiTheme="minorEastAsia"/>
                <w:snapToGrid w:val="0"/>
                <w:kern w:val="0"/>
                <w:sz w:val="28"/>
                <w:szCs w:val="28"/>
              </w:rPr>
              <w:t>夏粮</w:t>
            </w:r>
          </w:p>
        </w:tc>
        <w:tc>
          <w:tcPr>
            <w:tcW w:w="2606" w:type="dxa"/>
            <w:tcBorders>
              <w:top w:val="nil"/>
              <w:left w:val="single" w:sz="6" w:space="0" w:color="000000"/>
              <w:bottom w:val="nil"/>
              <w:right w:val="single" w:sz="6" w:space="0" w:color="000000"/>
            </w:tcBorders>
            <w:vAlign w:val="center"/>
          </w:tcPr>
          <w:p w:rsidR="00024185" w:rsidRDefault="00707518">
            <w:pPr>
              <w:jc w:val="right"/>
              <w:rPr>
                <w:rFonts w:ascii="宋体" w:hAnsi="宋体" w:cs="宋体"/>
                <w:sz w:val="28"/>
                <w:szCs w:val="28"/>
              </w:rPr>
            </w:pPr>
            <w:r>
              <w:rPr>
                <w:rFonts w:ascii="宋体" w:hAnsi="宋体" w:hint="eastAsia"/>
                <w:sz w:val="28"/>
                <w:szCs w:val="28"/>
              </w:rPr>
              <w:t>407.64</w:t>
            </w:r>
          </w:p>
        </w:tc>
        <w:tc>
          <w:tcPr>
            <w:tcW w:w="2250" w:type="dxa"/>
            <w:tcBorders>
              <w:left w:val="single" w:sz="6" w:space="0" w:color="000000"/>
            </w:tcBorders>
            <w:vAlign w:val="center"/>
          </w:tcPr>
          <w:p w:rsidR="00024185" w:rsidRDefault="00707518">
            <w:pPr>
              <w:jc w:val="right"/>
              <w:rPr>
                <w:rFonts w:ascii="宋体" w:hAnsi="宋体" w:cs="宋体"/>
                <w:sz w:val="28"/>
                <w:szCs w:val="28"/>
              </w:rPr>
            </w:pPr>
            <w:r>
              <w:rPr>
                <w:rFonts w:ascii="宋体" w:hAnsi="宋体" w:hint="eastAsia"/>
                <w:sz w:val="28"/>
                <w:szCs w:val="28"/>
              </w:rPr>
              <w:t>-3.8</w:t>
            </w:r>
          </w:p>
        </w:tc>
      </w:tr>
      <w:tr w:rsidR="00024185">
        <w:trPr>
          <w:trHeight w:val="567"/>
          <w:jc w:val="center"/>
        </w:trPr>
        <w:tc>
          <w:tcPr>
            <w:tcW w:w="3483"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秋粮</w:t>
            </w:r>
          </w:p>
        </w:tc>
        <w:tc>
          <w:tcPr>
            <w:tcW w:w="2606" w:type="dxa"/>
            <w:tcBorders>
              <w:top w:val="nil"/>
              <w:left w:val="single" w:sz="6" w:space="0" w:color="000000"/>
              <w:bottom w:val="nil"/>
              <w:right w:val="single" w:sz="6" w:space="0" w:color="000000"/>
            </w:tcBorders>
            <w:vAlign w:val="center"/>
          </w:tcPr>
          <w:p w:rsidR="00024185" w:rsidRDefault="00707518">
            <w:pPr>
              <w:jc w:val="right"/>
              <w:rPr>
                <w:rFonts w:ascii="宋体" w:hAnsi="宋体"/>
                <w:sz w:val="28"/>
                <w:szCs w:val="28"/>
              </w:rPr>
            </w:pPr>
            <w:r>
              <w:rPr>
                <w:rFonts w:ascii="宋体" w:hAnsi="宋体" w:hint="eastAsia"/>
                <w:sz w:val="28"/>
                <w:szCs w:val="28"/>
              </w:rPr>
              <w:t>262.71</w:t>
            </w:r>
          </w:p>
        </w:tc>
        <w:tc>
          <w:tcPr>
            <w:tcW w:w="2250" w:type="dxa"/>
            <w:tcBorders>
              <w:left w:val="single" w:sz="6" w:space="0" w:color="000000"/>
            </w:tcBorders>
            <w:vAlign w:val="center"/>
          </w:tcPr>
          <w:p w:rsidR="00024185" w:rsidRDefault="00707518">
            <w:pPr>
              <w:jc w:val="right"/>
              <w:rPr>
                <w:rFonts w:ascii="宋体" w:hAnsi="宋体"/>
                <w:sz w:val="28"/>
                <w:szCs w:val="28"/>
              </w:rPr>
            </w:pPr>
            <w:r>
              <w:rPr>
                <w:rFonts w:ascii="宋体" w:hAnsi="宋体" w:hint="eastAsia"/>
                <w:sz w:val="28"/>
                <w:szCs w:val="28"/>
              </w:rPr>
              <w:t>7.6</w:t>
            </w:r>
          </w:p>
        </w:tc>
      </w:tr>
      <w:tr w:rsidR="00024185">
        <w:trPr>
          <w:trHeight w:val="567"/>
          <w:jc w:val="center"/>
        </w:trPr>
        <w:tc>
          <w:tcPr>
            <w:tcW w:w="3483"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lastRenderedPageBreak/>
              <w:t>油料</w:t>
            </w:r>
          </w:p>
        </w:tc>
        <w:tc>
          <w:tcPr>
            <w:tcW w:w="2606" w:type="dxa"/>
            <w:tcBorders>
              <w:top w:val="nil"/>
              <w:left w:val="single" w:sz="6" w:space="0" w:color="000000"/>
              <w:bottom w:val="nil"/>
              <w:right w:val="single" w:sz="6" w:space="0" w:color="000000"/>
            </w:tcBorders>
            <w:vAlign w:val="center"/>
          </w:tcPr>
          <w:p w:rsidR="00024185" w:rsidRDefault="00707518">
            <w:pPr>
              <w:jc w:val="right"/>
              <w:rPr>
                <w:rFonts w:ascii="宋体" w:hAnsi="宋体" w:cs="宋体"/>
                <w:sz w:val="28"/>
                <w:szCs w:val="28"/>
              </w:rPr>
            </w:pPr>
            <w:r>
              <w:rPr>
                <w:rFonts w:ascii="宋体" w:hAnsi="宋体" w:hint="eastAsia"/>
                <w:sz w:val="28"/>
                <w:szCs w:val="28"/>
              </w:rPr>
              <w:t>184.97</w:t>
            </w:r>
          </w:p>
        </w:tc>
        <w:tc>
          <w:tcPr>
            <w:tcW w:w="2250" w:type="dxa"/>
            <w:tcBorders>
              <w:left w:val="single" w:sz="6" w:space="0" w:color="000000"/>
            </w:tcBorders>
            <w:vAlign w:val="center"/>
          </w:tcPr>
          <w:p w:rsidR="00024185" w:rsidRDefault="00707518">
            <w:pPr>
              <w:jc w:val="right"/>
              <w:rPr>
                <w:rFonts w:ascii="宋体" w:hAnsi="宋体" w:cs="宋体"/>
                <w:sz w:val="28"/>
                <w:szCs w:val="28"/>
              </w:rPr>
            </w:pPr>
            <w:r>
              <w:rPr>
                <w:rFonts w:ascii="宋体" w:hAnsi="宋体" w:hint="eastAsia"/>
                <w:sz w:val="28"/>
                <w:szCs w:val="28"/>
              </w:rPr>
              <w:t>0.8</w:t>
            </w:r>
          </w:p>
        </w:tc>
      </w:tr>
      <w:tr w:rsidR="00024185">
        <w:trPr>
          <w:trHeight w:val="567"/>
          <w:jc w:val="center"/>
        </w:trPr>
        <w:tc>
          <w:tcPr>
            <w:tcW w:w="3483"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蔬菜</w:t>
            </w:r>
          </w:p>
        </w:tc>
        <w:tc>
          <w:tcPr>
            <w:tcW w:w="2606" w:type="dxa"/>
            <w:tcBorders>
              <w:top w:val="nil"/>
              <w:left w:val="single" w:sz="6" w:space="0" w:color="000000"/>
              <w:bottom w:val="nil"/>
              <w:right w:val="single" w:sz="6" w:space="0" w:color="000000"/>
            </w:tcBorders>
            <w:vAlign w:val="center"/>
          </w:tcPr>
          <w:p w:rsidR="00024185" w:rsidRDefault="00707518">
            <w:pPr>
              <w:jc w:val="right"/>
              <w:rPr>
                <w:rFonts w:ascii="宋体" w:hAnsi="宋体"/>
                <w:sz w:val="28"/>
                <w:szCs w:val="28"/>
              </w:rPr>
            </w:pPr>
            <w:r>
              <w:rPr>
                <w:rFonts w:ascii="宋体" w:hAnsi="宋体" w:hint="eastAsia"/>
                <w:sz w:val="28"/>
                <w:szCs w:val="28"/>
              </w:rPr>
              <w:t>1311.30</w:t>
            </w:r>
          </w:p>
        </w:tc>
        <w:tc>
          <w:tcPr>
            <w:tcW w:w="2250" w:type="dxa"/>
            <w:tcBorders>
              <w:top w:val="nil"/>
              <w:left w:val="single" w:sz="6" w:space="0" w:color="000000"/>
              <w:bottom w:val="nil"/>
              <w:right w:val="nil"/>
            </w:tcBorders>
            <w:vAlign w:val="center"/>
          </w:tcPr>
          <w:p w:rsidR="00024185" w:rsidRDefault="00707518">
            <w:pPr>
              <w:jc w:val="right"/>
              <w:rPr>
                <w:rFonts w:ascii="宋体" w:hAnsi="宋体"/>
                <w:sz w:val="28"/>
                <w:szCs w:val="28"/>
              </w:rPr>
            </w:pPr>
            <w:r>
              <w:rPr>
                <w:rFonts w:ascii="宋体" w:hAnsi="宋体" w:hint="eastAsia"/>
                <w:sz w:val="28"/>
                <w:szCs w:val="28"/>
              </w:rPr>
              <w:t>2.3</w:t>
            </w:r>
          </w:p>
        </w:tc>
      </w:tr>
      <w:tr w:rsidR="00024185">
        <w:trPr>
          <w:trHeight w:val="567"/>
          <w:jc w:val="center"/>
        </w:trPr>
        <w:tc>
          <w:tcPr>
            <w:tcW w:w="3483" w:type="dxa"/>
            <w:tcBorders>
              <w:top w:val="nil"/>
              <w:left w:val="nil"/>
              <w:bottom w:val="single" w:sz="8" w:space="0" w:color="000000"/>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水果</w:t>
            </w:r>
          </w:p>
        </w:tc>
        <w:tc>
          <w:tcPr>
            <w:tcW w:w="2606" w:type="dxa"/>
            <w:tcBorders>
              <w:top w:val="nil"/>
              <w:left w:val="single" w:sz="6" w:space="0" w:color="000000"/>
              <w:bottom w:val="single" w:sz="8" w:space="0" w:color="000000"/>
              <w:right w:val="single" w:sz="6" w:space="0" w:color="000000"/>
            </w:tcBorders>
            <w:vAlign w:val="center"/>
          </w:tcPr>
          <w:p w:rsidR="00024185" w:rsidRDefault="00707518">
            <w:pPr>
              <w:jc w:val="right"/>
              <w:rPr>
                <w:rFonts w:ascii="宋体" w:hAnsi="宋体"/>
                <w:sz w:val="28"/>
                <w:szCs w:val="28"/>
              </w:rPr>
            </w:pPr>
            <w:r>
              <w:rPr>
                <w:rFonts w:ascii="宋体" w:hAnsi="宋体" w:hint="eastAsia"/>
                <w:sz w:val="28"/>
                <w:szCs w:val="28"/>
              </w:rPr>
              <w:t>153.65</w:t>
            </w:r>
          </w:p>
        </w:tc>
        <w:tc>
          <w:tcPr>
            <w:tcW w:w="2250" w:type="dxa"/>
            <w:tcBorders>
              <w:top w:val="nil"/>
              <w:left w:val="single" w:sz="6" w:space="0" w:color="000000"/>
              <w:bottom w:val="single" w:sz="8" w:space="0" w:color="000000"/>
              <w:right w:val="nil"/>
            </w:tcBorders>
            <w:vAlign w:val="center"/>
          </w:tcPr>
          <w:p w:rsidR="00024185" w:rsidRDefault="00707518">
            <w:pPr>
              <w:jc w:val="right"/>
              <w:rPr>
                <w:rFonts w:ascii="宋体" w:hAnsi="宋体"/>
                <w:sz w:val="28"/>
                <w:szCs w:val="28"/>
              </w:rPr>
            </w:pPr>
            <w:r>
              <w:rPr>
                <w:rFonts w:ascii="宋体" w:hAnsi="宋体" w:hint="eastAsia"/>
                <w:sz w:val="28"/>
                <w:szCs w:val="28"/>
              </w:rPr>
              <w:t>3.5</w:t>
            </w:r>
          </w:p>
        </w:tc>
      </w:tr>
    </w:tbl>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年末全市农业机械总动力153</w:t>
      </w:r>
      <w:r>
        <w:rPr>
          <w:rFonts w:ascii="仿宋_GB2312" w:eastAsia="仿宋_GB2312" w:hint="eastAsia"/>
          <w:sz w:val="32"/>
          <w:szCs w:val="32"/>
        </w:rPr>
        <w:t>9.16</w:t>
      </w:r>
      <w:r>
        <w:rPr>
          <w:rFonts w:ascii="仿宋_GB2312" w:eastAsia="仿宋_GB2312"/>
          <w:sz w:val="32"/>
          <w:szCs w:val="32"/>
        </w:rPr>
        <w:t>万千瓦，比上年增长0.</w:t>
      </w:r>
      <w:r>
        <w:rPr>
          <w:rFonts w:ascii="仿宋_GB2312" w:eastAsia="仿宋_GB2312" w:hint="eastAsia"/>
          <w:sz w:val="32"/>
          <w:szCs w:val="32"/>
        </w:rPr>
        <w:t>3</w:t>
      </w:r>
      <w:r>
        <w:rPr>
          <w:rFonts w:ascii="仿宋_GB2312" w:eastAsia="仿宋_GB2312"/>
          <w:sz w:val="32"/>
          <w:szCs w:val="32"/>
        </w:rPr>
        <w:t>%；农用拖拉机</w:t>
      </w:r>
      <w:r>
        <w:rPr>
          <w:rFonts w:ascii="仿宋_GB2312" w:eastAsia="仿宋_GB2312" w:hint="eastAsia"/>
          <w:sz w:val="32"/>
          <w:szCs w:val="32"/>
        </w:rPr>
        <w:t>62.21</w:t>
      </w:r>
      <w:r>
        <w:rPr>
          <w:rFonts w:ascii="仿宋_GB2312" w:eastAsia="仿宋_GB2312"/>
          <w:sz w:val="32"/>
          <w:szCs w:val="32"/>
        </w:rPr>
        <w:t>万台。</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三、工业和建筑业</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全年全市全部工业增加值</w:t>
      </w:r>
      <w:r>
        <w:rPr>
          <w:rFonts w:ascii="仿宋_GB2312" w:eastAsia="仿宋_GB2312" w:hint="eastAsia"/>
          <w:sz w:val="32"/>
          <w:szCs w:val="32"/>
        </w:rPr>
        <w:t>1301.28</w:t>
      </w:r>
      <w:r>
        <w:rPr>
          <w:rFonts w:ascii="仿宋_GB2312" w:eastAsia="仿宋_GB2312"/>
          <w:sz w:val="32"/>
          <w:szCs w:val="32"/>
        </w:rPr>
        <w:t>亿元，比上年增长</w:t>
      </w:r>
      <w:r>
        <w:rPr>
          <w:rFonts w:ascii="仿宋_GB2312" w:eastAsia="仿宋_GB2312" w:hint="eastAsia"/>
          <w:sz w:val="32"/>
          <w:szCs w:val="32"/>
        </w:rPr>
        <w:t>7</w:t>
      </w:r>
      <w:r>
        <w:rPr>
          <w:rFonts w:ascii="仿宋_GB2312" w:eastAsia="仿宋_GB2312"/>
          <w:sz w:val="32"/>
          <w:szCs w:val="32"/>
        </w:rPr>
        <w:t>.2%。规模以上工业增加值比上年增长</w:t>
      </w:r>
      <w:r>
        <w:rPr>
          <w:rFonts w:ascii="仿宋_GB2312" w:eastAsia="仿宋_GB2312" w:hint="eastAsia"/>
          <w:sz w:val="32"/>
          <w:szCs w:val="32"/>
        </w:rPr>
        <w:t>8.2</w:t>
      </w:r>
      <w:r>
        <w:rPr>
          <w:rFonts w:ascii="仿宋_GB2312" w:eastAsia="仿宋_GB2312"/>
          <w:sz w:val="32"/>
          <w:szCs w:val="32"/>
        </w:rPr>
        <w:t>%。在规模以上工业中，分轻重工业看，轻工业增加值</w:t>
      </w:r>
      <w:r>
        <w:rPr>
          <w:rFonts w:ascii="仿宋_GB2312" w:eastAsia="仿宋_GB2312" w:hint="eastAsia"/>
          <w:sz w:val="32"/>
          <w:szCs w:val="32"/>
        </w:rPr>
        <w:t>增长13.2</w:t>
      </w:r>
      <w:r>
        <w:rPr>
          <w:rFonts w:ascii="仿宋_GB2312" w:eastAsia="仿宋_GB2312"/>
          <w:sz w:val="32"/>
          <w:szCs w:val="32"/>
        </w:rPr>
        <w:t>%，重工业增加值增长</w:t>
      </w:r>
      <w:r>
        <w:rPr>
          <w:rFonts w:ascii="仿宋_GB2312" w:eastAsia="仿宋_GB2312" w:hint="eastAsia"/>
          <w:sz w:val="32"/>
          <w:szCs w:val="32"/>
        </w:rPr>
        <w:t>6.4</w:t>
      </w:r>
      <w:r>
        <w:rPr>
          <w:rFonts w:ascii="仿宋_GB2312" w:eastAsia="仿宋_GB2312"/>
          <w:sz w:val="32"/>
          <w:szCs w:val="32"/>
        </w:rPr>
        <w:t>%。分经济类型看，国有控股企业增长</w:t>
      </w:r>
      <w:r>
        <w:rPr>
          <w:rFonts w:ascii="仿宋_GB2312" w:eastAsia="仿宋_GB2312" w:hint="eastAsia"/>
          <w:sz w:val="32"/>
          <w:szCs w:val="32"/>
        </w:rPr>
        <w:t>5.9</w:t>
      </w:r>
      <w:r>
        <w:rPr>
          <w:rFonts w:ascii="仿宋_GB2312" w:eastAsia="仿宋_GB2312"/>
          <w:sz w:val="32"/>
          <w:szCs w:val="32"/>
        </w:rPr>
        <w:t>%；股份制企业增长</w:t>
      </w:r>
      <w:r>
        <w:rPr>
          <w:rFonts w:ascii="仿宋_GB2312" w:eastAsia="仿宋_GB2312" w:hint="eastAsia"/>
          <w:sz w:val="32"/>
          <w:szCs w:val="32"/>
        </w:rPr>
        <w:t>8.8</w:t>
      </w:r>
      <w:r>
        <w:rPr>
          <w:rFonts w:ascii="仿宋_GB2312" w:eastAsia="仿宋_GB2312"/>
          <w:sz w:val="32"/>
          <w:szCs w:val="32"/>
        </w:rPr>
        <w:t>%，外商</w:t>
      </w:r>
      <w:r>
        <w:rPr>
          <w:rFonts w:ascii="仿宋_GB2312" w:eastAsia="仿宋_GB2312" w:hint="eastAsia"/>
          <w:sz w:val="32"/>
          <w:szCs w:val="32"/>
        </w:rPr>
        <w:t>及</w:t>
      </w:r>
      <w:r>
        <w:rPr>
          <w:rFonts w:ascii="仿宋_GB2312" w:eastAsia="仿宋_GB2312"/>
          <w:sz w:val="32"/>
          <w:szCs w:val="32"/>
        </w:rPr>
        <w:t>港澳台商投资企业增长</w:t>
      </w:r>
      <w:r>
        <w:rPr>
          <w:rFonts w:ascii="仿宋_GB2312" w:eastAsia="仿宋_GB2312" w:hint="eastAsia"/>
          <w:sz w:val="32"/>
          <w:szCs w:val="32"/>
        </w:rPr>
        <w:t>6.2</w:t>
      </w:r>
      <w:r>
        <w:rPr>
          <w:rFonts w:ascii="仿宋_GB2312" w:eastAsia="仿宋_GB2312"/>
          <w:sz w:val="32"/>
          <w:szCs w:val="32"/>
        </w:rPr>
        <w:t>%；私营企业增长</w:t>
      </w:r>
      <w:r>
        <w:rPr>
          <w:rFonts w:ascii="仿宋_GB2312" w:eastAsia="仿宋_GB2312" w:hint="eastAsia"/>
          <w:sz w:val="32"/>
          <w:szCs w:val="32"/>
        </w:rPr>
        <w:t>13.8</w:t>
      </w:r>
      <w:r>
        <w:rPr>
          <w:rFonts w:ascii="仿宋_GB2312" w:eastAsia="仿宋_GB2312"/>
          <w:sz w:val="32"/>
          <w:szCs w:val="32"/>
        </w:rPr>
        <w:t>%。分行业大类看，非金属矿物制品业增长</w:t>
      </w:r>
      <w:r>
        <w:rPr>
          <w:rFonts w:ascii="仿宋_GB2312" w:eastAsia="仿宋_GB2312" w:hint="eastAsia"/>
          <w:sz w:val="32"/>
          <w:szCs w:val="32"/>
        </w:rPr>
        <w:t>5.2</w:t>
      </w:r>
      <w:r>
        <w:rPr>
          <w:rFonts w:ascii="仿宋_GB2312" w:eastAsia="仿宋_GB2312"/>
          <w:sz w:val="32"/>
          <w:szCs w:val="32"/>
        </w:rPr>
        <w:t>%，电力、热力生产和供应业</w:t>
      </w:r>
      <w:r>
        <w:rPr>
          <w:rFonts w:ascii="仿宋_GB2312" w:eastAsia="仿宋_GB2312" w:hint="eastAsia"/>
          <w:sz w:val="32"/>
          <w:szCs w:val="32"/>
        </w:rPr>
        <w:t>下降1.5</w:t>
      </w:r>
      <w:r>
        <w:rPr>
          <w:rFonts w:ascii="仿宋_GB2312" w:eastAsia="仿宋_GB2312"/>
          <w:sz w:val="32"/>
          <w:szCs w:val="32"/>
        </w:rPr>
        <w:t>%，化学原料和化学制品制造业增长</w:t>
      </w:r>
      <w:r>
        <w:rPr>
          <w:rFonts w:ascii="仿宋_GB2312" w:eastAsia="仿宋_GB2312" w:hint="eastAsia"/>
          <w:sz w:val="32"/>
          <w:szCs w:val="32"/>
        </w:rPr>
        <w:t>6.0</w:t>
      </w:r>
      <w:r>
        <w:rPr>
          <w:rFonts w:ascii="仿宋_GB2312" w:eastAsia="仿宋_GB2312"/>
          <w:sz w:val="32"/>
          <w:szCs w:val="32"/>
        </w:rPr>
        <w:t>%，汽车制造业增长</w:t>
      </w:r>
      <w:r>
        <w:rPr>
          <w:rFonts w:ascii="仿宋_GB2312" w:eastAsia="仿宋_GB2312" w:hint="eastAsia"/>
          <w:sz w:val="32"/>
          <w:szCs w:val="32"/>
        </w:rPr>
        <w:t>19.9</w:t>
      </w:r>
      <w:r>
        <w:rPr>
          <w:rFonts w:ascii="仿宋_GB2312" w:eastAsia="仿宋_GB2312"/>
          <w:sz w:val="32"/>
          <w:szCs w:val="32"/>
        </w:rPr>
        <w:t>%，烟草制品业增长</w:t>
      </w:r>
      <w:r>
        <w:rPr>
          <w:rFonts w:ascii="仿宋_GB2312" w:eastAsia="仿宋_GB2312" w:hint="eastAsia"/>
          <w:sz w:val="32"/>
          <w:szCs w:val="32"/>
        </w:rPr>
        <w:t>4.0</w:t>
      </w:r>
      <w:r>
        <w:rPr>
          <w:rFonts w:ascii="仿宋_GB2312" w:eastAsia="仿宋_GB2312"/>
          <w:sz w:val="32"/>
          <w:szCs w:val="32"/>
        </w:rPr>
        <w:t>%，医药制造业增长</w:t>
      </w:r>
      <w:r>
        <w:rPr>
          <w:rFonts w:ascii="仿宋_GB2312" w:eastAsia="仿宋_GB2312" w:hint="eastAsia"/>
          <w:sz w:val="32"/>
          <w:szCs w:val="32"/>
        </w:rPr>
        <w:t>22.9</w:t>
      </w:r>
      <w:r>
        <w:rPr>
          <w:rFonts w:ascii="仿宋_GB2312" w:eastAsia="仿宋_GB2312"/>
          <w:sz w:val="32"/>
          <w:szCs w:val="32"/>
        </w:rPr>
        <w:t>%，农副食品加工业</w:t>
      </w:r>
      <w:r>
        <w:rPr>
          <w:rFonts w:ascii="仿宋_GB2312" w:eastAsia="仿宋_GB2312" w:hint="eastAsia"/>
          <w:sz w:val="32"/>
          <w:szCs w:val="32"/>
        </w:rPr>
        <w:t>增长21.3</w:t>
      </w:r>
      <w:r>
        <w:rPr>
          <w:rFonts w:ascii="仿宋_GB2312" w:eastAsia="仿宋_GB2312"/>
          <w:sz w:val="32"/>
          <w:szCs w:val="32"/>
        </w:rPr>
        <w:t>%，电气机械和器材制造业增长</w:t>
      </w:r>
      <w:r>
        <w:rPr>
          <w:rFonts w:ascii="仿宋_GB2312" w:eastAsia="仿宋_GB2312" w:hint="eastAsia"/>
          <w:sz w:val="32"/>
          <w:szCs w:val="32"/>
        </w:rPr>
        <w:t>30.0</w:t>
      </w:r>
      <w:r>
        <w:rPr>
          <w:rFonts w:ascii="仿宋_GB2312" w:eastAsia="仿宋_GB2312"/>
          <w:sz w:val="32"/>
          <w:szCs w:val="32"/>
        </w:rPr>
        <w:t>%。</w:t>
      </w:r>
      <w:r>
        <w:rPr>
          <w:rFonts w:ascii="仿宋_GB2312" w:eastAsia="仿宋_GB2312" w:hint="eastAsia"/>
          <w:sz w:val="32"/>
          <w:szCs w:val="32"/>
        </w:rPr>
        <w:t>高新技术产业增加值增长</w:t>
      </w:r>
      <w:r>
        <w:rPr>
          <w:rFonts w:eastAsia="仿宋_GB2312"/>
          <w:sz w:val="32"/>
          <w:szCs w:val="32"/>
        </w:rPr>
        <w:t>13.5%</w:t>
      </w:r>
      <w:r>
        <w:rPr>
          <w:rFonts w:ascii="仿宋_GB2312" w:eastAsia="仿宋_GB2312" w:hint="eastAsia"/>
          <w:sz w:val="32"/>
          <w:szCs w:val="32"/>
        </w:rPr>
        <w:t>；战略性新兴产业增加值增长</w:t>
      </w:r>
      <w:r>
        <w:rPr>
          <w:rFonts w:eastAsia="仿宋_GB2312"/>
          <w:sz w:val="32"/>
          <w:szCs w:val="32"/>
        </w:rPr>
        <w:t>16.3%</w:t>
      </w:r>
      <w:r>
        <w:rPr>
          <w:rFonts w:eastAsia="仿宋_GB2312" w:hint="eastAsia"/>
          <w:sz w:val="32"/>
          <w:szCs w:val="32"/>
        </w:rPr>
        <w:t>。</w:t>
      </w:r>
    </w:p>
    <w:p w:rsidR="00024185" w:rsidRDefault="00707518">
      <w:pPr>
        <w:spacing w:line="560" w:lineRule="exact"/>
        <w:jc w:val="center"/>
        <w:rPr>
          <w:rFonts w:ascii="宋体" w:hAnsi="宋体" w:cs="宋体"/>
          <w:b/>
          <w:bCs/>
          <w:spacing w:val="-6"/>
          <w:kern w:val="0"/>
          <w:sz w:val="32"/>
          <w:szCs w:val="32"/>
        </w:rPr>
      </w:pPr>
      <w:r>
        <w:rPr>
          <w:rFonts w:ascii="宋体" w:hAnsi="宋体" w:cs="宋体"/>
          <w:b/>
          <w:bCs/>
          <w:spacing w:val="-6"/>
          <w:kern w:val="0"/>
          <w:sz w:val="32"/>
          <w:szCs w:val="32"/>
        </w:rPr>
        <w:t>表</w:t>
      </w:r>
      <w:r>
        <w:rPr>
          <w:rFonts w:ascii="宋体" w:hAnsi="宋体" w:cs="宋体" w:hint="eastAsia"/>
          <w:b/>
          <w:bCs/>
          <w:spacing w:val="-6"/>
          <w:kern w:val="0"/>
          <w:sz w:val="32"/>
          <w:szCs w:val="32"/>
        </w:rPr>
        <w:t>4</w:t>
      </w:r>
      <w:r>
        <w:rPr>
          <w:rFonts w:ascii="宋体" w:hAnsi="宋体" w:cs="宋体"/>
          <w:b/>
          <w:bCs/>
          <w:spacing w:val="-6"/>
          <w:kern w:val="0"/>
          <w:sz w:val="32"/>
          <w:szCs w:val="32"/>
        </w:rPr>
        <w:t xml:space="preserve"> 202</w:t>
      </w:r>
      <w:r>
        <w:rPr>
          <w:rFonts w:ascii="宋体" w:hAnsi="宋体" w:cs="宋体" w:hint="eastAsia"/>
          <w:b/>
          <w:bCs/>
          <w:spacing w:val="-6"/>
          <w:kern w:val="0"/>
          <w:sz w:val="32"/>
          <w:szCs w:val="32"/>
        </w:rPr>
        <w:t>5</w:t>
      </w:r>
      <w:r>
        <w:rPr>
          <w:rFonts w:ascii="宋体" w:hAnsi="宋体" w:cs="宋体"/>
          <w:b/>
          <w:bCs/>
          <w:spacing w:val="-6"/>
          <w:kern w:val="0"/>
          <w:sz w:val="32"/>
          <w:szCs w:val="32"/>
        </w:rPr>
        <w:t>年南阳市规模以上工业主要产品产量及其增长速度</w:t>
      </w:r>
    </w:p>
    <w:tbl>
      <w:tblPr>
        <w:tblW w:w="0" w:type="auto"/>
        <w:jc w:val="center"/>
        <w:tblLayout w:type="fixed"/>
        <w:tblCellMar>
          <w:left w:w="57" w:type="dxa"/>
          <w:right w:w="57" w:type="dxa"/>
        </w:tblCellMar>
        <w:tblLook w:val="04A0" w:firstRow="1" w:lastRow="0" w:firstColumn="1" w:lastColumn="0" w:noHBand="0" w:noVBand="1"/>
      </w:tblPr>
      <w:tblGrid>
        <w:gridCol w:w="2289"/>
        <w:gridCol w:w="1910"/>
        <w:gridCol w:w="2179"/>
        <w:gridCol w:w="2001"/>
      </w:tblGrid>
      <w:tr w:rsidR="00024185">
        <w:trPr>
          <w:trHeight w:val="567"/>
          <w:jc w:val="center"/>
        </w:trPr>
        <w:tc>
          <w:tcPr>
            <w:tcW w:w="2289" w:type="dxa"/>
            <w:tcBorders>
              <w:top w:val="single" w:sz="8" w:space="0" w:color="000000"/>
              <w:left w:val="nil"/>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产品名称</w:t>
            </w:r>
          </w:p>
        </w:tc>
        <w:tc>
          <w:tcPr>
            <w:tcW w:w="1910" w:type="dxa"/>
            <w:tcBorders>
              <w:top w:val="single" w:sz="8" w:space="0" w:color="000000"/>
              <w:left w:val="single" w:sz="6" w:space="0" w:color="000000"/>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单 位</w:t>
            </w:r>
          </w:p>
        </w:tc>
        <w:tc>
          <w:tcPr>
            <w:tcW w:w="2179" w:type="dxa"/>
            <w:tcBorders>
              <w:top w:val="single" w:sz="8" w:space="0" w:color="000000"/>
              <w:left w:val="single" w:sz="6" w:space="0" w:color="000000"/>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产 量</w:t>
            </w:r>
          </w:p>
        </w:tc>
        <w:tc>
          <w:tcPr>
            <w:tcW w:w="2001" w:type="dxa"/>
            <w:tcBorders>
              <w:top w:val="single" w:sz="8" w:space="0" w:color="000000"/>
              <w:left w:val="single" w:sz="6" w:space="0" w:color="000000"/>
              <w:bottom w:val="single" w:sz="6" w:space="0" w:color="000000"/>
              <w:right w:val="nil"/>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比上年增长(%)</w:t>
            </w:r>
          </w:p>
        </w:tc>
      </w:tr>
      <w:tr w:rsidR="00024185">
        <w:trPr>
          <w:trHeight w:val="567"/>
          <w:jc w:val="center"/>
        </w:trPr>
        <w:tc>
          <w:tcPr>
            <w:tcW w:w="2289" w:type="dxa"/>
            <w:tcBorders>
              <w:top w:val="single" w:sz="6" w:space="0" w:color="000000"/>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饲料</w:t>
            </w:r>
          </w:p>
        </w:tc>
        <w:tc>
          <w:tcPr>
            <w:tcW w:w="1910" w:type="dxa"/>
            <w:tcBorders>
              <w:top w:val="single" w:sz="6" w:space="0" w:color="000000"/>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single" w:sz="6" w:space="0" w:color="000000"/>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209.9</w:t>
            </w:r>
          </w:p>
        </w:tc>
        <w:tc>
          <w:tcPr>
            <w:tcW w:w="2001" w:type="dxa"/>
            <w:tcBorders>
              <w:top w:val="single" w:sz="6" w:space="0" w:color="000000"/>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47.3</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鲜、冷藏肉</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51.8</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55.9</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纸制品</w:t>
            </w:r>
          </w:p>
        </w:tc>
        <w:tc>
          <w:tcPr>
            <w:tcW w:w="1910" w:type="dxa"/>
            <w:tcBorders>
              <w:top w:val="nil"/>
              <w:left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7.4</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53.1</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涂料</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69.2</w:t>
            </w:r>
          </w:p>
        </w:tc>
        <w:tc>
          <w:tcPr>
            <w:tcW w:w="2001" w:type="dxa"/>
            <w:tcBorders>
              <w:top w:val="nil"/>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29.6</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化学试剂</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0.8</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10.3</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lastRenderedPageBreak/>
              <w:t>商品混凝土</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万立方米</w:t>
            </w:r>
            <w:proofErr w:type="gramEnd"/>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917.3</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-4.9</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耐火材料制品</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306.7</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w:t>
            </w:r>
            <w:r>
              <w:rPr>
                <w:rFonts w:asciiTheme="minorEastAsia" w:eastAsiaTheme="minorEastAsia" w:hAnsiTheme="minorEastAsia" w:hint="eastAsia"/>
                <w:snapToGrid w:val="0"/>
                <w:kern w:val="0"/>
                <w:sz w:val="28"/>
                <w:szCs w:val="28"/>
              </w:rPr>
              <w:t>3.4</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生铁</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158.0</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w:t>
            </w:r>
            <w:r>
              <w:rPr>
                <w:rFonts w:asciiTheme="minorEastAsia" w:eastAsiaTheme="minorEastAsia" w:hAnsiTheme="minorEastAsia" w:hint="eastAsia"/>
                <w:snapToGrid w:val="0"/>
                <w:kern w:val="0"/>
                <w:sz w:val="28"/>
                <w:szCs w:val="28"/>
              </w:rPr>
              <w:t>8.8</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钢材</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200.6</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-26.7</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黄金</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千克</w:t>
            </w:r>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2308.0</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29.6</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发电机组</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万千瓦</w:t>
            </w:r>
            <w:proofErr w:type="gramEnd"/>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34.6</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-18.6</w:t>
            </w:r>
          </w:p>
        </w:tc>
      </w:tr>
      <w:tr w:rsidR="00024185">
        <w:trPr>
          <w:trHeight w:val="567"/>
          <w:jc w:val="center"/>
        </w:trPr>
        <w:tc>
          <w:tcPr>
            <w:tcW w:w="2289"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变压器</w:t>
            </w:r>
          </w:p>
        </w:tc>
        <w:tc>
          <w:tcPr>
            <w:tcW w:w="1910"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hint="eastAsia"/>
                <w:snapToGrid w:val="0"/>
                <w:kern w:val="0"/>
                <w:sz w:val="28"/>
                <w:szCs w:val="28"/>
              </w:rPr>
              <w:t>兆</w:t>
            </w:r>
            <w:r>
              <w:rPr>
                <w:rFonts w:asciiTheme="minorEastAsia" w:eastAsiaTheme="minorEastAsia" w:hAnsiTheme="minorEastAsia"/>
                <w:snapToGrid w:val="0"/>
                <w:kern w:val="0"/>
                <w:sz w:val="28"/>
                <w:szCs w:val="28"/>
              </w:rPr>
              <w:t>伏安</w:t>
            </w:r>
            <w:proofErr w:type="gramEnd"/>
          </w:p>
        </w:tc>
        <w:tc>
          <w:tcPr>
            <w:tcW w:w="2179"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2375.18</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-7.3</w:t>
            </w:r>
          </w:p>
        </w:tc>
      </w:tr>
      <w:tr w:rsidR="00024185">
        <w:trPr>
          <w:trHeight w:val="567"/>
          <w:jc w:val="center"/>
        </w:trPr>
        <w:tc>
          <w:tcPr>
            <w:tcW w:w="2289" w:type="dxa"/>
            <w:tcBorders>
              <w:top w:val="nil"/>
              <w:left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光电子器件</w:t>
            </w:r>
          </w:p>
        </w:tc>
        <w:tc>
          <w:tcPr>
            <w:tcW w:w="1910" w:type="dxa"/>
            <w:tcBorders>
              <w:top w:val="nil"/>
              <w:left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万只</w:t>
            </w:r>
          </w:p>
        </w:tc>
        <w:tc>
          <w:tcPr>
            <w:tcW w:w="2179" w:type="dxa"/>
            <w:tcBorders>
              <w:top w:val="nil"/>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60778.0</w:t>
            </w:r>
          </w:p>
        </w:tc>
        <w:tc>
          <w:tcPr>
            <w:tcW w:w="2001"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7.3</w:t>
            </w:r>
          </w:p>
        </w:tc>
      </w:tr>
      <w:tr w:rsidR="00024185">
        <w:trPr>
          <w:trHeight w:val="567"/>
          <w:jc w:val="center"/>
        </w:trPr>
        <w:tc>
          <w:tcPr>
            <w:tcW w:w="2289" w:type="dxa"/>
            <w:tcBorders>
              <w:top w:val="nil"/>
              <w:left w:val="nil"/>
              <w:bottom w:val="single" w:sz="8" w:space="0" w:color="000000"/>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自来水生产量</w:t>
            </w:r>
          </w:p>
        </w:tc>
        <w:tc>
          <w:tcPr>
            <w:tcW w:w="1910" w:type="dxa"/>
            <w:tcBorders>
              <w:top w:val="nil"/>
              <w:left w:val="single" w:sz="6" w:space="0" w:color="000000"/>
              <w:bottom w:val="single" w:sz="8"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万立方米</w:t>
            </w:r>
            <w:proofErr w:type="gramEnd"/>
          </w:p>
        </w:tc>
        <w:tc>
          <w:tcPr>
            <w:tcW w:w="2179" w:type="dxa"/>
            <w:tcBorders>
              <w:top w:val="nil"/>
              <w:left w:val="single" w:sz="6" w:space="0" w:color="000000"/>
              <w:bottom w:val="single" w:sz="8"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17531.1</w:t>
            </w:r>
          </w:p>
        </w:tc>
        <w:tc>
          <w:tcPr>
            <w:tcW w:w="2001" w:type="dxa"/>
            <w:tcBorders>
              <w:left w:val="single" w:sz="6" w:space="0" w:color="000000"/>
              <w:bottom w:val="single" w:sz="8"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6.4</w:t>
            </w:r>
          </w:p>
        </w:tc>
      </w:tr>
    </w:tbl>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全年全市规模以上工业企业营业收入比上年增长</w:t>
      </w:r>
      <w:r>
        <w:rPr>
          <w:rFonts w:ascii="仿宋_GB2312" w:eastAsia="仿宋_GB2312" w:hint="eastAsia"/>
          <w:sz w:val="32"/>
          <w:szCs w:val="32"/>
        </w:rPr>
        <w:t>3.7</w:t>
      </w:r>
      <w:r>
        <w:rPr>
          <w:rFonts w:ascii="仿宋_GB2312" w:eastAsia="仿宋_GB2312"/>
          <w:sz w:val="32"/>
          <w:szCs w:val="32"/>
        </w:rPr>
        <w:t>%，利润总额</w:t>
      </w:r>
      <w:r>
        <w:rPr>
          <w:rFonts w:ascii="仿宋_GB2312" w:eastAsia="仿宋_GB2312" w:hint="eastAsia"/>
          <w:sz w:val="32"/>
          <w:szCs w:val="32"/>
        </w:rPr>
        <w:t>下降6.9</w:t>
      </w:r>
      <w:r>
        <w:rPr>
          <w:rFonts w:ascii="仿宋_GB2312" w:eastAsia="仿宋_GB2312"/>
          <w:sz w:val="32"/>
          <w:szCs w:val="32"/>
        </w:rPr>
        <w:t>%。分经济类型看，国有控股企业</w:t>
      </w:r>
      <w:r>
        <w:rPr>
          <w:rFonts w:ascii="仿宋_GB2312" w:eastAsia="仿宋_GB2312" w:hint="eastAsia"/>
          <w:sz w:val="32"/>
          <w:szCs w:val="32"/>
        </w:rPr>
        <w:t>利润比上年增长23.9%</w:t>
      </w:r>
      <w:r>
        <w:rPr>
          <w:rFonts w:ascii="仿宋_GB2312" w:eastAsia="仿宋_GB2312"/>
          <w:sz w:val="32"/>
          <w:szCs w:val="32"/>
        </w:rPr>
        <w:t>，集体企业利润</w:t>
      </w:r>
      <w:r>
        <w:rPr>
          <w:rFonts w:ascii="仿宋_GB2312" w:eastAsia="仿宋_GB2312" w:hint="eastAsia"/>
          <w:sz w:val="32"/>
          <w:szCs w:val="32"/>
        </w:rPr>
        <w:t>增长25.0</w:t>
      </w:r>
      <w:r>
        <w:rPr>
          <w:rFonts w:ascii="仿宋_GB2312" w:eastAsia="仿宋_GB2312"/>
          <w:sz w:val="32"/>
          <w:szCs w:val="32"/>
        </w:rPr>
        <w:t>%，股份制企业利润</w:t>
      </w:r>
      <w:r>
        <w:rPr>
          <w:rFonts w:ascii="仿宋_GB2312" w:eastAsia="仿宋_GB2312" w:hint="eastAsia"/>
          <w:sz w:val="32"/>
          <w:szCs w:val="32"/>
        </w:rPr>
        <w:t>下降9.6</w:t>
      </w:r>
      <w:r>
        <w:rPr>
          <w:rFonts w:ascii="仿宋_GB2312" w:eastAsia="仿宋_GB2312"/>
          <w:sz w:val="32"/>
          <w:szCs w:val="32"/>
        </w:rPr>
        <w:t>%，外商及港澳台商投资企业利润增长</w:t>
      </w:r>
      <w:r>
        <w:rPr>
          <w:rFonts w:ascii="仿宋_GB2312" w:eastAsia="仿宋_GB2312" w:hint="eastAsia"/>
          <w:sz w:val="32"/>
          <w:szCs w:val="32"/>
        </w:rPr>
        <w:t>13.5</w:t>
      </w:r>
      <w:r>
        <w:rPr>
          <w:rFonts w:ascii="仿宋_GB2312" w:eastAsia="仿宋_GB2312"/>
          <w:sz w:val="32"/>
          <w:szCs w:val="32"/>
        </w:rPr>
        <w:t>%。</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hint="eastAsia"/>
          <w:sz w:val="32"/>
          <w:szCs w:val="32"/>
        </w:rPr>
        <w:t>年末全市发电装机容量1479.15万千瓦，比上年末增长12.7%。其中，火电装机容量455.85万千瓦，下降0.04%；水电装机容量144.35万千瓦，与上年末持平；并网风电装机容量253.41万千瓦，增长12.2%；并网太阳能发电装机容量607.73万千瓦，增长27.8%。</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全年全市建筑业增加值比上年增长</w:t>
      </w:r>
      <w:r>
        <w:rPr>
          <w:rFonts w:ascii="仿宋_GB2312" w:eastAsia="仿宋_GB2312" w:hint="eastAsia"/>
          <w:sz w:val="32"/>
          <w:szCs w:val="32"/>
        </w:rPr>
        <w:t>0.5</w:t>
      </w:r>
      <w:r>
        <w:rPr>
          <w:rFonts w:ascii="仿宋_GB2312" w:eastAsia="仿宋_GB2312"/>
          <w:sz w:val="32"/>
          <w:szCs w:val="32"/>
        </w:rPr>
        <w:t>%。全市共有资质内建筑业企业</w:t>
      </w:r>
      <w:r>
        <w:rPr>
          <w:rFonts w:ascii="仿宋_GB2312" w:eastAsia="仿宋_GB2312" w:hint="eastAsia"/>
          <w:sz w:val="32"/>
          <w:szCs w:val="32"/>
        </w:rPr>
        <w:t>860</w:t>
      </w:r>
      <w:r>
        <w:rPr>
          <w:rFonts w:ascii="仿宋_GB2312" w:eastAsia="仿宋_GB2312"/>
          <w:sz w:val="32"/>
          <w:szCs w:val="32"/>
        </w:rPr>
        <w:t>家，比上年增长</w:t>
      </w:r>
      <w:r>
        <w:rPr>
          <w:rFonts w:ascii="仿宋_GB2312" w:eastAsia="仿宋_GB2312" w:hint="eastAsia"/>
          <w:sz w:val="32"/>
          <w:szCs w:val="32"/>
        </w:rPr>
        <w:t>5</w:t>
      </w:r>
      <w:r>
        <w:rPr>
          <w:rFonts w:ascii="仿宋_GB2312" w:eastAsia="仿宋_GB2312"/>
          <w:sz w:val="32"/>
          <w:szCs w:val="32"/>
        </w:rPr>
        <w:t>.4%；完成建筑业总产值增长</w:t>
      </w:r>
      <w:r>
        <w:rPr>
          <w:rFonts w:ascii="仿宋_GB2312" w:eastAsia="仿宋_GB2312" w:hint="eastAsia"/>
          <w:sz w:val="32"/>
          <w:szCs w:val="32"/>
        </w:rPr>
        <w:t>2.9</w:t>
      </w:r>
      <w:r>
        <w:rPr>
          <w:rFonts w:ascii="仿宋_GB2312" w:eastAsia="仿宋_GB2312"/>
          <w:sz w:val="32"/>
          <w:szCs w:val="32"/>
        </w:rPr>
        <w:t>%。</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四、固定资产投资</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全年全市固定资产投资（不含农户）比上年增长</w:t>
      </w:r>
      <w:r>
        <w:rPr>
          <w:rFonts w:ascii="仿宋_GB2312" w:eastAsia="仿宋_GB2312" w:hint="eastAsia"/>
          <w:sz w:val="32"/>
          <w:szCs w:val="32"/>
        </w:rPr>
        <w:t>5.5</w:t>
      </w:r>
      <w:r>
        <w:rPr>
          <w:rFonts w:ascii="仿宋_GB2312" w:eastAsia="仿宋_GB2312"/>
          <w:sz w:val="32"/>
          <w:szCs w:val="32"/>
        </w:rPr>
        <w:t>%。其中，第一产业投资下降</w:t>
      </w:r>
      <w:r>
        <w:rPr>
          <w:rFonts w:ascii="仿宋_GB2312" w:eastAsia="仿宋_GB2312" w:hint="eastAsia"/>
          <w:sz w:val="32"/>
          <w:szCs w:val="32"/>
        </w:rPr>
        <w:t>12.8</w:t>
      </w:r>
      <w:r>
        <w:rPr>
          <w:rFonts w:ascii="仿宋_GB2312" w:eastAsia="仿宋_GB2312"/>
          <w:sz w:val="32"/>
          <w:szCs w:val="32"/>
        </w:rPr>
        <w:t>%，占固定资产投资比重为</w:t>
      </w:r>
      <w:r>
        <w:rPr>
          <w:rFonts w:ascii="仿宋_GB2312" w:eastAsia="仿宋_GB2312" w:hint="eastAsia"/>
          <w:sz w:val="32"/>
          <w:szCs w:val="32"/>
        </w:rPr>
        <w:t>2.2</w:t>
      </w:r>
      <w:r>
        <w:rPr>
          <w:rFonts w:ascii="仿宋_GB2312" w:eastAsia="仿宋_GB2312"/>
          <w:sz w:val="32"/>
          <w:szCs w:val="32"/>
        </w:rPr>
        <w:t>%；</w:t>
      </w:r>
      <w:r>
        <w:rPr>
          <w:rFonts w:ascii="仿宋_GB2312" w:eastAsia="仿宋_GB2312"/>
          <w:sz w:val="32"/>
          <w:szCs w:val="32"/>
        </w:rPr>
        <w:lastRenderedPageBreak/>
        <w:t>第二产业投资增长</w:t>
      </w:r>
      <w:r>
        <w:rPr>
          <w:rFonts w:ascii="仿宋_GB2312" w:eastAsia="仿宋_GB2312" w:hint="eastAsia"/>
          <w:sz w:val="32"/>
          <w:szCs w:val="32"/>
        </w:rPr>
        <w:t>16.1</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占固定资产投资比重为</w:t>
      </w:r>
      <w:r>
        <w:rPr>
          <w:rFonts w:ascii="仿宋_GB2312" w:eastAsia="仿宋_GB2312" w:hint="eastAsia"/>
          <w:sz w:val="32"/>
          <w:szCs w:val="32"/>
        </w:rPr>
        <w:t>60.1</w:t>
      </w:r>
      <w:r>
        <w:rPr>
          <w:rFonts w:ascii="仿宋_GB2312" w:eastAsia="仿宋_GB2312"/>
          <w:sz w:val="32"/>
          <w:szCs w:val="32"/>
        </w:rPr>
        <w:t>%；第三产业投资下降</w:t>
      </w:r>
      <w:r>
        <w:rPr>
          <w:rFonts w:ascii="仿宋_GB2312" w:eastAsia="仿宋_GB2312" w:hint="eastAsia"/>
          <w:sz w:val="32"/>
          <w:szCs w:val="32"/>
        </w:rPr>
        <w:t>7.0</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占固定资产投资比重为</w:t>
      </w:r>
      <w:r>
        <w:rPr>
          <w:rFonts w:ascii="仿宋_GB2312" w:eastAsia="仿宋_GB2312" w:hint="eastAsia"/>
          <w:sz w:val="32"/>
          <w:szCs w:val="32"/>
        </w:rPr>
        <w:t>37.7</w:t>
      </w:r>
      <w:r>
        <w:rPr>
          <w:rFonts w:ascii="仿宋_GB2312" w:eastAsia="仿宋_GB2312"/>
          <w:sz w:val="32"/>
          <w:szCs w:val="32"/>
        </w:rPr>
        <w:t>%。</w:t>
      </w:r>
      <w:r>
        <w:rPr>
          <w:rFonts w:ascii="仿宋_GB2312" w:eastAsia="仿宋_GB2312" w:hint="eastAsia"/>
          <w:sz w:val="32"/>
          <w:szCs w:val="32"/>
        </w:rPr>
        <w:t>基础设施投资下降2.2%，</w:t>
      </w:r>
      <w:r>
        <w:rPr>
          <w:rFonts w:ascii="仿宋_GB2312" w:eastAsia="仿宋_GB2312"/>
          <w:sz w:val="32"/>
          <w:szCs w:val="32"/>
        </w:rPr>
        <w:t>民间投资增长</w:t>
      </w:r>
      <w:r>
        <w:rPr>
          <w:rFonts w:ascii="仿宋_GB2312" w:eastAsia="仿宋_GB2312" w:hint="eastAsia"/>
          <w:sz w:val="32"/>
          <w:szCs w:val="32"/>
        </w:rPr>
        <w:t>6.9</w:t>
      </w:r>
      <w:r>
        <w:rPr>
          <w:rFonts w:ascii="仿宋_GB2312" w:eastAsia="仿宋_GB2312"/>
          <w:sz w:val="32"/>
          <w:szCs w:val="32"/>
        </w:rPr>
        <w:t>%，工业投资增长</w:t>
      </w:r>
      <w:r>
        <w:rPr>
          <w:rFonts w:ascii="仿宋_GB2312" w:eastAsia="仿宋_GB2312" w:hint="eastAsia"/>
          <w:sz w:val="32"/>
          <w:szCs w:val="32"/>
        </w:rPr>
        <w:t>16.2</w:t>
      </w:r>
      <w:r>
        <w:rPr>
          <w:rFonts w:ascii="仿宋_GB2312" w:eastAsia="仿宋_GB2312"/>
          <w:sz w:val="32"/>
          <w:szCs w:val="32"/>
        </w:rPr>
        <w:t>%</w:t>
      </w:r>
      <w:r>
        <w:rPr>
          <w:rFonts w:ascii="仿宋_GB2312" w:eastAsia="仿宋_GB2312" w:hint="eastAsia"/>
          <w:sz w:val="32"/>
          <w:szCs w:val="32"/>
        </w:rPr>
        <w:t>。</w:t>
      </w:r>
    </w:p>
    <w:p w:rsidR="00024185" w:rsidRDefault="00707518">
      <w:pPr>
        <w:spacing w:line="560" w:lineRule="exact"/>
        <w:jc w:val="center"/>
        <w:rPr>
          <w:rFonts w:ascii="宋体" w:hAnsi="宋体" w:cs="宋体"/>
          <w:b/>
          <w:bCs/>
          <w:kern w:val="0"/>
          <w:sz w:val="32"/>
          <w:szCs w:val="32"/>
        </w:rPr>
      </w:pPr>
      <w:r>
        <w:rPr>
          <w:rFonts w:ascii="宋体" w:hAnsi="宋体" w:cs="宋体"/>
          <w:b/>
          <w:bCs/>
          <w:kern w:val="0"/>
          <w:sz w:val="32"/>
          <w:szCs w:val="32"/>
        </w:rPr>
        <w:t>表</w:t>
      </w:r>
      <w:r>
        <w:rPr>
          <w:rFonts w:ascii="宋体" w:hAnsi="宋体" w:cs="宋体" w:hint="eastAsia"/>
          <w:b/>
          <w:bCs/>
          <w:kern w:val="0"/>
          <w:sz w:val="32"/>
          <w:szCs w:val="32"/>
        </w:rPr>
        <w:t>5</w:t>
      </w:r>
      <w:r>
        <w:rPr>
          <w:rFonts w:ascii="宋体" w:hAnsi="宋体" w:cs="宋体"/>
          <w:b/>
          <w:bCs/>
          <w:kern w:val="0"/>
          <w:sz w:val="32"/>
          <w:szCs w:val="32"/>
        </w:rPr>
        <w:t xml:space="preserve">  202</w:t>
      </w:r>
      <w:r>
        <w:rPr>
          <w:rFonts w:ascii="宋体" w:hAnsi="宋体" w:cs="宋体" w:hint="eastAsia"/>
          <w:b/>
          <w:bCs/>
          <w:kern w:val="0"/>
          <w:sz w:val="32"/>
          <w:szCs w:val="32"/>
        </w:rPr>
        <w:t>5</w:t>
      </w:r>
      <w:r>
        <w:rPr>
          <w:rFonts w:ascii="宋体" w:hAnsi="宋体" w:cs="宋体"/>
          <w:b/>
          <w:bCs/>
          <w:kern w:val="0"/>
          <w:sz w:val="32"/>
          <w:szCs w:val="32"/>
        </w:rPr>
        <w:t>年南阳市分行业固定资产投资增长速度</w:t>
      </w:r>
    </w:p>
    <w:tbl>
      <w:tblPr>
        <w:tblW w:w="0" w:type="auto"/>
        <w:jc w:val="center"/>
        <w:tblLayout w:type="fixed"/>
        <w:tblCellMar>
          <w:left w:w="57" w:type="dxa"/>
          <w:right w:w="57" w:type="dxa"/>
        </w:tblCellMar>
        <w:tblLook w:val="04A0" w:firstRow="1" w:lastRow="0" w:firstColumn="1" w:lastColumn="0" w:noHBand="0" w:noVBand="1"/>
      </w:tblPr>
      <w:tblGrid>
        <w:gridCol w:w="5627"/>
        <w:gridCol w:w="2747"/>
      </w:tblGrid>
      <w:tr w:rsidR="00024185">
        <w:trPr>
          <w:trHeight w:val="567"/>
          <w:jc w:val="center"/>
        </w:trPr>
        <w:tc>
          <w:tcPr>
            <w:tcW w:w="5627" w:type="dxa"/>
            <w:tcBorders>
              <w:top w:val="single" w:sz="8" w:space="0" w:color="000000"/>
              <w:left w:val="nil"/>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 xml:space="preserve">行 </w:t>
            </w:r>
            <w:r>
              <w:rPr>
                <w:rFonts w:asciiTheme="minorEastAsia" w:eastAsiaTheme="minorEastAsia" w:hAnsiTheme="minorEastAsia" w:hint="eastAsia"/>
                <w:b/>
                <w:bCs/>
                <w:snapToGrid w:val="0"/>
                <w:kern w:val="0"/>
                <w:sz w:val="28"/>
                <w:szCs w:val="28"/>
              </w:rPr>
              <w:t xml:space="preserve">    </w:t>
            </w:r>
            <w:r>
              <w:rPr>
                <w:rFonts w:asciiTheme="minorEastAsia" w:eastAsiaTheme="minorEastAsia" w:hAnsiTheme="minorEastAsia"/>
                <w:b/>
                <w:bCs/>
                <w:snapToGrid w:val="0"/>
                <w:kern w:val="0"/>
                <w:sz w:val="28"/>
                <w:szCs w:val="28"/>
              </w:rPr>
              <w:t>业</w:t>
            </w:r>
          </w:p>
        </w:tc>
        <w:tc>
          <w:tcPr>
            <w:tcW w:w="2747" w:type="dxa"/>
            <w:tcBorders>
              <w:top w:val="single" w:sz="8" w:space="0" w:color="000000"/>
              <w:left w:val="single" w:sz="6" w:space="0" w:color="000000"/>
              <w:bottom w:val="single" w:sz="6" w:space="0" w:color="000000"/>
              <w:right w:val="nil"/>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比上年增长（%）</w:t>
            </w:r>
          </w:p>
        </w:tc>
      </w:tr>
      <w:tr w:rsidR="00024185">
        <w:trPr>
          <w:trHeight w:val="567"/>
          <w:jc w:val="center"/>
        </w:trPr>
        <w:tc>
          <w:tcPr>
            <w:tcW w:w="5627" w:type="dxa"/>
            <w:tcBorders>
              <w:top w:val="single" w:sz="6" w:space="0" w:color="000000"/>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全市</w:t>
            </w:r>
          </w:p>
        </w:tc>
        <w:tc>
          <w:tcPr>
            <w:tcW w:w="2747" w:type="dxa"/>
            <w:tcBorders>
              <w:top w:val="single" w:sz="6" w:space="0" w:color="000000"/>
              <w:left w:val="single" w:sz="6" w:space="0" w:color="000000"/>
              <w:bottom w:val="nil"/>
              <w:right w:val="nil"/>
            </w:tcBorders>
            <w:vAlign w:val="center"/>
          </w:tcPr>
          <w:p w:rsidR="00024185" w:rsidRDefault="00707518">
            <w:pPr>
              <w:jc w:val="right"/>
              <w:rPr>
                <w:rFonts w:ascii="宋体" w:hAnsi="宋体" w:cs="宋体"/>
                <w:sz w:val="28"/>
                <w:szCs w:val="28"/>
              </w:rPr>
            </w:pPr>
            <w:r>
              <w:rPr>
                <w:rFonts w:ascii="宋体" w:hAnsi="宋体" w:hint="eastAsia"/>
                <w:sz w:val="28"/>
                <w:szCs w:val="28"/>
              </w:rPr>
              <w:t>5.5</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农林牧渔业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-11.4</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工业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16.2</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ind w:firstLineChars="200" w:firstLine="56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其中：</w:t>
            </w:r>
            <w:r>
              <w:rPr>
                <w:rFonts w:asciiTheme="minorEastAsia" w:eastAsiaTheme="minorEastAsia" w:hAnsiTheme="minorEastAsia"/>
                <w:snapToGrid w:val="0"/>
                <w:kern w:val="0"/>
                <w:sz w:val="28"/>
                <w:szCs w:val="28"/>
              </w:rPr>
              <w:t>采矿业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-6.8</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制造业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15.6</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电力、燃气及水的生产和供应业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29.8</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批发和零售业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-31.3</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交通运输、仓储和邮政业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-8.6</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住宿和餐饮业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59.6</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信息传输、计算机服务和软件业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26.4</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房地产业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-17.9</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租赁和商务服务业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3.6</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科学研究和技术服务业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-11.4</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水利、环境和公共设施管理业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4.9</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居民服务、修理和其他服务业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46.3</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教育</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-28.3</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卫生和社会工作</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20.0</w:t>
            </w:r>
          </w:p>
        </w:tc>
      </w:tr>
      <w:tr w:rsidR="00024185">
        <w:trPr>
          <w:trHeight w:val="567"/>
          <w:jc w:val="center"/>
        </w:trPr>
        <w:tc>
          <w:tcPr>
            <w:tcW w:w="5627"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文化、体育和娱乐业</w:t>
            </w:r>
          </w:p>
        </w:tc>
        <w:tc>
          <w:tcPr>
            <w:tcW w:w="2747" w:type="dxa"/>
            <w:tcBorders>
              <w:top w:val="nil"/>
              <w:left w:val="single" w:sz="6" w:space="0" w:color="000000"/>
              <w:bottom w:val="nil"/>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-8.1</w:t>
            </w:r>
          </w:p>
        </w:tc>
      </w:tr>
      <w:tr w:rsidR="00024185">
        <w:trPr>
          <w:trHeight w:val="567"/>
          <w:jc w:val="center"/>
        </w:trPr>
        <w:tc>
          <w:tcPr>
            <w:tcW w:w="5627" w:type="dxa"/>
            <w:tcBorders>
              <w:top w:val="nil"/>
              <w:left w:val="nil"/>
              <w:bottom w:val="single" w:sz="8" w:space="0" w:color="000000"/>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公共管理、社会保障和社会组织</w:t>
            </w:r>
          </w:p>
        </w:tc>
        <w:tc>
          <w:tcPr>
            <w:tcW w:w="2747" w:type="dxa"/>
            <w:tcBorders>
              <w:top w:val="nil"/>
              <w:left w:val="single" w:sz="6" w:space="0" w:color="000000"/>
              <w:bottom w:val="single" w:sz="8" w:space="0" w:color="000000"/>
              <w:right w:val="nil"/>
            </w:tcBorders>
            <w:vAlign w:val="center"/>
          </w:tcPr>
          <w:p w:rsidR="00024185" w:rsidRDefault="00707518">
            <w:pPr>
              <w:jc w:val="right"/>
              <w:rPr>
                <w:rFonts w:ascii="宋体" w:hAnsi="宋体" w:cs="宋体"/>
                <w:color w:val="000000"/>
                <w:sz w:val="28"/>
                <w:szCs w:val="28"/>
              </w:rPr>
            </w:pPr>
            <w:r>
              <w:rPr>
                <w:rFonts w:ascii="宋体" w:hAnsi="宋体" w:hint="eastAsia"/>
                <w:color w:val="000000"/>
                <w:sz w:val="28"/>
                <w:szCs w:val="28"/>
              </w:rPr>
              <w:t>39.4</w:t>
            </w:r>
          </w:p>
        </w:tc>
      </w:tr>
    </w:tbl>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lastRenderedPageBreak/>
        <w:t>全年全市房地产开发投资比上年下降</w:t>
      </w:r>
      <w:r>
        <w:rPr>
          <w:rFonts w:ascii="仿宋_GB2312" w:eastAsia="仿宋_GB2312" w:hint="eastAsia"/>
          <w:sz w:val="32"/>
          <w:szCs w:val="32"/>
        </w:rPr>
        <w:t>23.1</w:t>
      </w:r>
      <w:r>
        <w:rPr>
          <w:rFonts w:ascii="仿宋_GB2312" w:eastAsia="仿宋_GB2312"/>
          <w:sz w:val="32"/>
          <w:szCs w:val="32"/>
        </w:rPr>
        <w:t>%，其中住宅投资下降</w:t>
      </w:r>
      <w:r>
        <w:rPr>
          <w:rFonts w:ascii="仿宋_GB2312" w:eastAsia="仿宋_GB2312" w:hint="eastAsia"/>
          <w:sz w:val="32"/>
          <w:szCs w:val="32"/>
        </w:rPr>
        <w:t>24.2</w:t>
      </w:r>
      <w:r>
        <w:rPr>
          <w:rFonts w:ascii="仿宋_GB2312" w:eastAsia="仿宋_GB2312"/>
          <w:sz w:val="32"/>
          <w:szCs w:val="32"/>
        </w:rPr>
        <w:t>%。商品房施工面积下降</w:t>
      </w:r>
      <w:r>
        <w:rPr>
          <w:rFonts w:ascii="仿宋_GB2312" w:eastAsia="仿宋_GB2312" w:hint="eastAsia"/>
          <w:sz w:val="32"/>
          <w:szCs w:val="32"/>
        </w:rPr>
        <w:t>2.6</w:t>
      </w:r>
      <w:r>
        <w:rPr>
          <w:rFonts w:ascii="仿宋_GB2312" w:eastAsia="仿宋_GB2312"/>
          <w:sz w:val="32"/>
          <w:szCs w:val="32"/>
        </w:rPr>
        <w:t>%，其中住宅下降</w:t>
      </w:r>
      <w:r>
        <w:rPr>
          <w:rFonts w:ascii="仿宋_GB2312" w:eastAsia="仿宋_GB2312" w:hint="eastAsia"/>
          <w:sz w:val="32"/>
          <w:szCs w:val="32"/>
        </w:rPr>
        <w:t>1.2</w:t>
      </w:r>
      <w:r>
        <w:rPr>
          <w:rFonts w:ascii="仿宋_GB2312" w:eastAsia="仿宋_GB2312"/>
          <w:sz w:val="32"/>
          <w:szCs w:val="32"/>
        </w:rPr>
        <w:t>%。商品房竣工面积下降</w:t>
      </w:r>
      <w:r>
        <w:rPr>
          <w:rFonts w:ascii="仿宋_GB2312" w:eastAsia="仿宋_GB2312" w:hint="eastAsia"/>
          <w:sz w:val="32"/>
          <w:szCs w:val="32"/>
        </w:rPr>
        <w:t>5.8</w:t>
      </w:r>
      <w:r>
        <w:rPr>
          <w:rFonts w:ascii="仿宋_GB2312" w:eastAsia="仿宋_GB2312"/>
          <w:sz w:val="32"/>
          <w:szCs w:val="32"/>
        </w:rPr>
        <w:t>%，其中住宅下降</w:t>
      </w:r>
      <w:r>
        <w:rPr>
          <w:rFonts w:ascii="仿宋_GB2312" w:eastAsia="仿宋_GB2312" w:hint="eastAsia"/>
          <w:sz w:val="32"/>
          <w:szCs w:val="32"/>
        </w:rPr>
        <w:t>0.3</w:t>
      </w:r>
      <w:r>
        <w:rPr>
          <w:rFonts w:ascii="仿宋_GB2312" w:eastAsia="仿宋_GB2312"/>
          <w:sz w:val="32"/>
          <w:szCs w:val="32"/>
        </w:rPr>
        <w:t>%。商品房销售面积下降</w:t>
      </w:r>
      <w:r>
        <w:rPr>
          <w:rFonts w:ascii="仿宋_GB2312" w:eastAsia="仿宋_GB2312" w:hint="eastAsia"/>
          <w:sz w:val="32"/>
          <w:szCs w:val="32"/>
        </w:rPr>
        <w:t>1.6</w:t>
      </w:r>
      <w:r>
        <w:rPr>
          <w:rFonts w:ascii="仿宋_GB2312" w:eastAsia="仿宋_GB2312"/>
          <w:sz w:val="32"/>
          <w:szCs w:val="32"/>
        </w:rPr>
        <w:t>%，其中住宅下降</w:t>
      </w:r>
      <w:r>
        <w:rPr>
          <w:rFonts w:ascii="仿宋_GB2312" w:eastAsia="仿宋_GB2312" w:hint="eastAsia"/>
          <w:sz w:val="32"/>
          <w:szCs w:val="32"/>
        </w:rPr>
        <w:t>1.8</w:t>
      </w:r>
      <w:r>
        <w:rPr>
          <w:rFonts w:ascii="仿宋_GB2312" w:eastAsia="仿宋_GB2312"/>
          <w:sz w:val="32"/>
          <w:szCs w:val="32"/>
        </w:rPr>
        <w:t>%。商品房销售额下降</w:t>
      </w:r>
      <w:r>
        <w:rPr>
          <w:rFonts w:ascii="仿宋_GB2312" w:eastAsia="仿宋_GB2312" w:hint="eastAsia"/>
          <w:sz w:val="32"/>
          <w:szCs w:val="32"/>
        </w:rPr>
        <w:t>4.2</w:t>
      </w:r>
      <w:r>
        <w:rPr>
          <w:rFonts w:ascii="仿宋_GB2312" w:eastAsia="仿宋_GB2312"/>
          <w:sz w:val="32"/>
          <w:szCs w:val="32"/>
        </w:rPr>
        <w:t>%，其中住宅下降</w:t>
      </w:r>
      <w:r>
        <w:rPr>
          <w:rFonts w:ascii="仿宋_GB2312" w:eastAsia="仿宋_GB2312" w:hint="eastAsia"/>
          <w:sz w:val="32"/>
          <w:szCs w:val="32"/>
        </w:rPr>
        <w:t>4.6</w:t>
      </w:r>
      <w:r>
        <w:rPr>
          <w:rFonts w:ascii="仿宋_GB2312" w:eastAsia="仿宋_GB2312"/>
          <w:sz w:val="32"/>
          <w:szCs w:val="32"/>
        </w:rPr>
        <w:t>%。</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五、国内贸易</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全年全市社会消费品零售总额</w:t>
      </w:r>
      <w:r>
        <w:rPr>
          <w:rFonts w:ascii="仿宋_GB2312" w:eastAsia="仿宋_GB2312" w:hint="eastAsia"/>
          <w:sz w:val="32"/>
          <w:szCs w:val="32"/>
        </w:rPr>
        <w:t>2599.76</w:t>
      </w:r>
      <w:r>
        <w:rPr>
          <w:rFonts w:ascii="仿宋_GB2312" w:eastAsia="仿宋_GB2312"/>
          <w:sz w:val="32"/>
          <w:szCs w:val="32"/>
        </w:rPr>
        <w:t>亿元，比上年增长</w:t>
      </w:r>
      <w:r>
        <w:rPr>
          <w:rFonts w:ascii="仿宋_GB2312" w:eastAsia="仿宋_GB2312" w:hint="eastAsia"/>
          <w:sz w:val="32"/>
          <w:szCs w:val="32"/>
        </w:rPr>
        <w:t>5.8</w:t>
      </w:r>
      <w:r>
        <w:rPr>
          <w:rFonts w:ascii="仿宋_GB2312" w:eastAsia="仿宋_GB2312"/>
          <w:sz w:val="32"/>
          <w:szCs w:val="32"/>
        </w:rPr>
        <w:t>%。分城乡看，城镇消费品零售总额</w:t>
      </w:r>
      <w:r>
        <w:rPr>
          <w:rFonts w:ascii="仿宋_GB2312" w:eastAsia="仿宋_GB2312" w:hint="eastAsia"/>
          <w:sz w:val="32"/>
          <w:szCs w:val="32"/>
        </w:rPr>
        <w:t>2000.42</w:t>
      </w:r>
      <w:r>
        <w:rPr>
          <w:rFonts w:ascii="仿宋_GB2312" w:eastAsia="仿宋_GB2312"/>
          <w:sz w:val="32"/>
          <w:szCs w:val="32"/>
        </w:rPr>
        <w:t>亿元，增长6.</w:t>
      </w:r>
      <w:r>
        <w:rPr>
          <w:rFonts w:ascii="仿宋_GB2312" w:eastAsia="仿宋_GB2312" w:hint="eastAsia"/>
          <w:sz w:val="32"/>
          <w:szCs w:val="32"/>
        </w:rPr>
        <w:t>3</w:t>
      </w:r>
      <w:r>
        <w:rPr>
          <w:rFonts w:ascii="仿宋_GB2312" w:eastAsia="仿宋_GB2312"/>
          <w:sz w:val="32"/>
          <w:szCs w:val="32"/>
        </w:rPr>
        <w:t>%；乡村消费品零售总额</w:t>
      </w:r>
      <w:r>
        <w:rPr>
          <w:rFonts w:ascii="仿宋_GB2312" w:eastAsia="仿宋_GB2312" w:hint="eastAsia"/>
          <w:sz w:val="32"/>
          <w:szCs w:val="32"/>
        </w:rPr>
        <w:t>599.34</w:t>
      </w:r>
      <w:r>
        <w:rPr>
          <w:rFonts w:ascii="仿宋_GB2312" w:eastAsia="仿宋_GB2312"/>
          <w:sz w:val="32"/>
          <w:szCs w:val="32"/>
        </w:rPr>
        <w:t>亿元，增长</w:t>
      </w:r>
      <w:r>
        <w:rPr>
          <w:rFonts w:ascii="仿宋_GB2312" w:eastAsia="仿宋_GB2312" w:hint="eastAsia"/>
          <w:sz w:val="32"/>
          <w:szCs w:val="32"/>
        </w:rPr>
        <w:t>4.1</w:t>
      </w:r>
      <w:r>
        <w:rPr>
          <w:rFonts w:ascii="仿宋_GB2312" w:eastAsia="仿宋_GB2312"/>
          <w:sz w:val="32"/>
          <w:szCs w:val="32"/>
        </w:rPr>
        <w:t>%。分行业看，批发业</w:t>
      </w:r>
      <w:r>
        <w:rPr>
          <w:rFonts w:ascii="仿宋_GB2312" w:eastAsia="仿宋_GB2312" w:hint="eastAsia"/>
          <w:sz w:val="32"/>
          <w:szCs w:val="32"/>
        </w:rPr>
        <w:t>266.27</w:t>
      </w:r>
      <w:r>
        <w:rPr>
          <w:rFonts w:ascii="仿宋_GB2312" w:eastAsia="仿宋_GB2312"/>
          <w:sz w:val="32"/>
          <w:szCs w:val="32"/>
        </w:rPr>
        <w:t>亿元，增长</w:t>
      </w:r>
      <w:r>
        <w:rPr>
          <w:rFonts w:ascii="仿宋_GB2312" w:eastAsia="仿宋_GB2312" w:hint="eastAsia"/>
          <w:sz w:val="32"/>
          <w:szCs w:val="32"/>
        </w:rPr>
        <w:t>4.3</w:t>
      </w:r>
      <w:r>
        <w:rPr>
          <w:rFonts w:ascii="仿宋_GB2312" w:eastAsia="仿宋_GB2312"/>
          <w:sz w:val="32"/>
          <w:szCs w:val="32"/>
        </w:rPr>
        <w:t>%；零售业</w:t>
      </w:r>
      <w:r>
        <w:rPr>
          <w:rFonts w:ascii="仿宋_GB2312" w:eastAsia="仿宋_GB2312" w:hint="eastAsia"/>
          <w:sz w:val="32"/>
          <w:szCs w:val="32"/>
        </w:rPr>
        <w:t>1884.28</w:t>
      </w:r>
      <w:r>
        <w:rPr>
          <w:rFonts w:ascii="仿宋_GB2312" w:eastAsia="仿宋_GB2312"/>
          <w:sz w:val="32"/>
          <w:szCs w:val="32"/>
        </w:rPr>
        <w:t>亿元，增长</w:t>
      </w:r>
      <w:r>
        <w:rPr>
          <w:rFonts w:ascii="仿宋_GB2312" w:eastAsia="仿宋_GB2312" w:hint="eastAsia"/>
          <w:sz w:val="32"/>
          <w:szCs w:val="32"/>
        </w:rPr>
        <w:t>5.8</w:t>
      </w:r>
      <w:r>
        <w:rPr>
          <w:rFonts w:ascii="仿宋_GB2312" w:eastAsia="仿宋_GB2312"/>
          <w:sz w:val="32"/>
          <w:szCs w:val="32"/>
        </w:rPr>
        <w:t>%；住宿业</w:t>
      </w:r>
      <w:r>
        <w:rPr>
          <w:rFonts w:ascii="仿宋_GB2312" w:eastAsia="仿宋_GB2312" w:hint="eastAsia"/>
          <w:sz w:val="32"/>
          <w:szCs w:val="32"/>
        </w:rPr>
        <w:t>20.92</w:t>
      </w:r>
      <w:r>
        <w:rPr>
          <w:rFonts w:ascii="仿宋_GB2312" w:eastAsia="仿宋_GB2312"/>
          <w:sz w:val="32"/>
          <w:szCs w:val="32"/>
        </w:rPr>
        <w:t>亿元，增长</w:t>
      </w:r>
      <w:r>
        <w:rPr>
          <w:rFonts w:ascii="仿宋_GB2312" w:eastAsia="仿宋_GB2312" w:hint="eastAsia"/>
          <w:sz w:val="32"/>
          <w:szCs w:val="32"/>
        </w:rPr>
        <w:t>6.1</w:t>
      </w:r>
      <w:r>
        <w:rPr>
          <w:rFonts w:ascii="仿宋_GB2312" w:eastAsia="仿宋_GB2312"/>
          <w:sz w:val="32"/>
          <w:szCs w:val="32"/>
        </w:rPr>
        <w:t>%；餐饮业</w:t>
      </w:r>
      <w:r>
        <w:rPr>
          <w:rFonts w:ascii="仿宋_GB2312" w:eastAsia="仿宋_GB2312" w:hint="eastAsia"/>
          <w:sz w:val="32"/>
          <w:szCs w:val="32"/>
        </w:rPr>
        <w:t>428.28</w:t>
      </w:r>
      <w:r>
        <w:rPr>
          <w:rFonts w:ascii="仿宋_GB2312" w:eastAsia="仿宋_GB2312"/>
          <w:sz w:val="32"/>
          <w:szCs w:val="32"/>
        </w:rPr>
        <w:t>亿元，增长</w:t>
      </w:r>
      <w:r>
        <w:rPr>
          <w:rFonts w:ascii="仿宋_GB2312" w:eastAsia="仿宋_GB2312" w:hint="eastAsia"/>
          <w:sz w:val="32"/>
          <w:szCs w:val="32"/>
        </w:rPr>
        <w:t>6.7</w:t>
      </w:r>
      <w:r>
        <w:rPr>
          <w:rFonts w:ascii="仿宋_GB2312" w:eastAsia="仿宋_GB2312"/>
          <w:sz w:val="32"/>
          <w:szCs w:val="32"/>
        </w:rPr>
        <w:t>%。</w:t>
      </w:r>
    </w:p>
    <w:p w:rsidR="00024185" w:rsidRDefault="00707518">
      <w:pPr>
        <w:spacing w:line="560" w:lineRule="exact"/>
        <w:jc w:val="center"/>
        <w:rPr>
          <w:rFonts w:ascii="宋体" w:hAnsi="宋体" w:cs="宋体"/>
          <w:b/>
          <w:bCs/>
          <w:spacing w:val="-6"/>
          <w:kern w:val="0"/>
          <w:sz w:val="32"/>
          <w:szCs w:val="32"/>
        </w:rPr>
      </w:pPr>
      <w:r>
        <w:rPr>
          <w:rFonts w:ascii="宋体" w:hAnsi="宋体" w:cs="宋体"/>
          <w:b/>
          <w:bCs/>
          <w:spacing w:val="-6"/>
          <w:kern w:val="0"/>
          <w:sz w:val="32"/>
          <w:szCs w:val="32"/>
        </w:rPr>
        <w:t>图</w:t>
      </w:r>
      <w:r>
        <w:rPr>
          <w:rFonts w:ascii="宋体" w:hAnsi="宋体" w:cs="宋体" w:hint="eastAsia"/>
          <w:b/>
          <w:bCs/>
          <w:spacing w:val="-6"/>
          <w:kern w:val="0"/>
          <w:sz w:val="32"/>
          <w:szCs w:val="32"/>
        </w:rPr>
        <w:t>5</w:t>
      </w:r>
      <w:r>
        <w:rPr>
          <w:rFonts w:ascii="宋体" w:hAnsi="宋体" w:cs="宋体"/>
          <w:b/>
          <w:bCs/>
          <w:spacing w:val="-6"/>
          <w:kern w:val="0"/>
          <w:sz w:val="32"/>
          <w:szCs w:val="32"/>
        </w:rPr>
        <w:t xml:space="preserve">  202</w:t>
      </w:r>
      <w:r>
        <w:rPr>
          <w:rFonts w:ascii="宋体" w:hAnsi="宋体" w:cs="宋体" w:hint="eastAsia"/>
          <w:b/>
          <w:bCs/>
          <w:spacing w:val="-6"/>
          <w:kern w:val="0"/>
          <w:sz w:val="32"/>
          <w:szCs w:val="32"/>
        </w:rPr>
        <w:t>1</w:t>
      </w:r>
      <w:r>
        <w:rPr>
          <w:rFonts w:ascii="宋体" w:hAnsi="宋体" w:cs="宋体"/>
          <w:b/>
          <w:bCs/>
          <w:spacing w:val="-6"/>
          <w:kern w:val="0"/>
          <w:sz w:val="32"/>
          <w:szCs w:val="32"/>
        </w:rPr>
        <w:t>-202</w:t>
      </w:r>
      <w:r>
        <w:rPr>
          <w:rFonts w:ascii="宋体" w:hAnsi="宋体" w:cs="宋体" w:hint="eastAsia"/>
          <w:b/>
          <w:bCs/>
          <w:spacing w:val="-6"/>
          <w:kern w:val="0"/>
          <w:sz w:val="32"/>
          <w:szCs w:val="32"/>
        </w:rPr>
        <w:t>5</w:t>
      </w:r>
      <w:r>
        <w:rPr>
          <w:rFonts w:ascii="宋体" w:hAnsi="宋体" w:cs="宋体"/>
          <w:b/>
          <w:bCs/>
          <w:spacing w:val="-6"/>
          <w:kern w:val="0"/>
          <w:sz w:val="32"/>
          <w:szCs w:val="32"/>
        </w:rPr>
        <w:t>年南阳市社会消费品零售总额及其增长速度</w:t>
      </w:r>
    </w:p>
    <w:p w:rsidR="00024185" w:rsidRDefault="00707518">
      <w:pPr>
        <w:jc w:val="center"/>
      </w:pPr>
      <w:r>
        <w:rPr>
          <w:noProof/>
        </w:rPr>
        <w:drawing>
          <wp:inline distT="0" distB="0" distL="114300" distR="114300">
            <wp:extent cx="5128895" cy="2672080"/>
            <wp:effectExtent l="0" t="0" r="0" b="0"/>
            <wp:docPr id="137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全年全市限额以上批发和零售业商品零售额中，粮油、食品类增长</w:t>
      </w:r>
      <w:r>
        <w:rPr>
          <w:rFonts w:ascii="仿宋_GB2312" w:eastAsia="仿宋_GB2312" w:hint="eastAsia"/>
          <w:sz w:val="32"/>
          <w:szCs w:val="32"/>
        </w:rPr>
        <w:t>12.5</w:t>
      </w:r>
      <w:r>
        <w:rPr>
          <w:rFonts w:ascii="仿宋_GB2312" w:eastAsia="仿宋_GB2312"/>
          <w:sz w:val="32"/>
          <w:szCs w:val="32"/>
        </w:rPr>
        <w:t>%，饮料类增长2</w:t>
      </w:r>
      <w:r>
        <w:rPr>
          <w:rFonts w:ascii="仿宋_GB2312" w:eastAsia="仿宋_GB2312" w:hint="eastAsia"/>
          <w:sz w:val="32"/>
          <w:szCs w:val="32"/>
        </w:rPr>
        <w:t>1.3</w:t>
      </w:r>
      <w:r>
        <w:rPr>
          <w:rFonts w:ascii="仿宋_GB2312" w:eastAsia="仿宋_GB2312"/>
          <w:sz w:val="32"/>
          <w:szCs w:val="32"/>
        </w:rPr>
        <w:t>%，烟酒类增长1</w:t>
      </w:r>
      <w:r>
        <w:rPr>
          <w:rFonts w:ascii="仿宋_GB2312" w:eastAsia="仿宋_GB2312" w:hint="eastAsia"/>
          <w:sz w:val="32"/>
          <w:szCs w:val="32"/>
        </w:rPr>
        <w:t>2.9</w:t>
      </w:r>
      <w:r>
        <w:rPr>
          <w:rFonts w:ascii="仿宋_GB2312" w:eastAsia="仿宋_GB2312"/>
          <w:sz w:val="32"/>
          <w:szCs w:val="32"/>
        </w:rPr>
        <w:t>%，服装、鞋帽、针纺织品类增长</w:t>
      </w:r>
      <w:r>
        <w:rPr>
          <w:rFonts w:ascii="仿宋_GB2312" w:eastAsia="仿宋_GB2312" w:hint="eastAsia"/>
          <w:sz w:val="32"/>
          <w:szCs w:val="32"/>
        </w:rPr>
        <w:t>13.5</w:t>
      </w:r>
      <w:r>
        <w:rPr>
          <w:rFonts w:ascii="仿宋_GB2312" w:eastAsia="仿宋_GB2312"/>
          <w:sz w:val="32"/>
          <w:szCs w:val="32"/>
        </w:rPr>
        <w:t>%，化妆品类增长</w:t>
      </w:r>
      <w:r>
        <w:rPr>
          <w:rFonts w:ascii="仿宋_GB2312" w:eastAsia="仿宋_GB2312" w:hint="eastAsia"/>
          <w:sz w:val="32"/>
          <w:szCs w:val="32"/>
        </w:rPr>
        <w:t>4.8</w:t>
      </w:r>
      <w:r>
        <w:rPr>
          <w:rFonts w:ascii="仿宋_GB2312" w:eastAsia="仿宋_GB2312"/>
          <w:sz w:val="32"/>
          <w:szCs w:val="32"/>
        </w:rPr>
        <w:t>%，金银珠宝类增长15.</w:t>
      </w:r>
      <w:r>
        <w:rPr>
          <w:rFonts w:ascii="仿宋_GB2312" w:eastAsia="仿宋_GB2312" w:hint="eastAsia"/>
          <w:sz w:val="32"/>
          <w:szCs w:val="32"/>
        </w:rPr>
        <w:t>9</w:t>
      </w:r>
      <w:r>
        <w:rPr>
          <w:rFonts w:ascii="仿宋_GB2312" w:eastAsia="仿宋_GB2312"/>
          <w:sz w:val="32"/>
          <w:szCs w:val="32"/>
        </w:rPr>
        <w:t>%，日用品类增长</w:t>
      </w:r>
      <w:r>
        <w:rPr>
          <w:rFonts w:ascii="仿宋_GB2312" w:eastAsia="仿宋_GB2312" w:hint="eastAsia"/>
          <w:sz w:val="32"/>
          <w:szCs w:val="32"/>
        </w:rPr>
        <w:t>23.1</w:t>
      </w:r>
      <w:r>
        <w:rPr>
          <w:rFonts w:ascii="仿宋_GB2312" w:eastAsia="仿宋_GB2312"/>
          <w:sz w:val="32"/>
          <w:szCs w:val="32"/>
        </w:rPr>
        <w:t>%，五金、电料类</w:t>
      </w:r>
      <w:r>
        <w:rPr>
          <w:rFonts w:ascii="仿宋_GB2312" w:eastAsia="仿宋_GB2312" w:hint="eastAsia"/>
          <w:sz w:val="32"/>
          <w:szCs w:val="32"/>
        </w:rPr>
        <w:lastRenderedPageBreak/>
        <w:t>下降8.6</w:t>
      </w:r>
      <w:r>
        <w:rPr>
          <w:rFonts w:ascii="仿宋_GB2312" w:eastAsia="仿宋_GB2312"/>
          <w:sz w:val="32"/>
          <w:szCs w:val="32"/>
        </w:rPr>
        <w:t>%，体育、娱乐用品类增长</w:t>
      </w:r>
      <w:r>
        <w:rPr>
          <w:rFonts w:ascii="仿宋_GB2312" w:eastAsia="仿宋_GB2312" w:hint="eastAsia"/>
          <w:sz w:val="32"/>
          <w:szCs w:val="32"/>
        </w:rPr>
        <w:t>31.0</w:t>
      </w:r>
      <w:r>
        <w:rPr>
          <w:rFonts w:ascii="仿宋_GB2312" w:eastAsia="仿宋_GB2312"/>
          <w:sz w:val="32"/>
          <w:szCs w:val="32"/>
        </w:rPr>
        <w:t>%，书报杂志类增长</w:t>
      </w:r>
      <w:r>
        <w:rPr>
          <w:rFonts w:ascii="仿宋_GB2312" w:eastAsia="仿宋_GB2312" w:hint="eastAsia"/>
          <w:sz w:val="32"/>
          <w:szCs w:val="32"/>
        </w:rPr>
        <w:t>4.2</w:t>
      </w:r>
      <w:r>
        <w:rPr>
          <w:rFonts w:ascii="仿宋_GB2312" w:eastAsia="仿宋_GB2312"/>
          <w:sz w:val="32"/>
          <w:szCs w:val="32"/>
        </w:rPr>
        <w:t>%，电子出版物及音像制品类</w:t>
      </w:r>
      <w:r>
        <w:rPr>
          <w:rFonts w:ascii="仿宋_GB2312" w:eastAsia="仿宋_GB2312" w:hint="eastAsia"/>
          <w:sz w:val="32"/>
          <w:szCs w:val="32"/>
        </w:rPr>
        <w:t>下降31.9</w:t>
      </w:r>
      <w:r>
        <w:rPr>
          <w:rFonts w:ascii="仿宋_GB2312" w:eastAsia="仿宋_GB2312"/>
          <w:sz w:val="32"/>
          <w:szCs w:val="32"/>
        </w:rPr>
        <w:t>%，家用电器和音像器材类增长</w:t>
      </w:r>
      <w:r>
        <w:rPr>
          <w:rFonts w:ascii="仿宋_GB2312" w:eastAsia="仿宋_GB2312" w:hint="eastAsia"/>
          <w:sz w:val="32"/>
          <w:szCs w:val="32"/>
        </w:rPr>
        <w:t>24.0</w:t>
      </w:r>
      <w:r>
        <w:rPr>
          <w:rFonts w:ascii="仿宋_GB2312" w:eastAsia="仿宋_GB2312"/>
          <w:sz w:val="32"/>
          <w:szCs w:val="32"/>
        </w:rPr>
        <w:t>%，中西药品类增长</w:t>
      </w:r>
      <w:r>
        <w:rPr>
          <w:rFonts w:ascii="仿宋_GB2312" w:eastAsia="仿宋_GB2312" w:hint="eastAsia"/>
          <w:sz w:val="32"/>
          <w:szCs w:val="32"/>
        </w:rPr>
        <w:t>17.3</w:t>
      </w:r>
      <w:r>
        <w:rPr>
          <w:rFonts w:ascii="仿宋_GB2312" w:eastAsia="仿宋_GB2312"/>
          <w:sz w:val="32"/>
          <w:szCs w:val="32"/>
        </w:rPr>
        <w:t>%，文化办公用品类增长</w:t>
      </w:r>
      <w:r>
        <w:rPr>
          <w:rFonts w:ascii="仿宋_GB2312" w:eastAsia="仿宋_GB2312" w:hint="eastAsia"/>
          <w:sz w:val="32"/>
          <w:szCs w:val="32"/>
        </w:rPr>
        <w:t>3.1</w:t>
      </w:r>
      <w:r>
        <w:rPr>
          <w:rFonts w:ascii="仿宋_GB2312" w:eastAsia="仿宋_GB2312"/>
          <w:sz w:val="32"/>
          <w:szCs w:val="32"/>
        </w:rPr>
        <w:t>%，家具类</w:t>
      </w:r>
      <w:r>
        <w:rPr>
          <w:rFonts w:ascii="仿宋_GB2312" w:eastAsia="仿宋_GB2312" w:hint="eastAsia"/>
          <w:sz w:val="32"/>
          <w:szCs w:val="32"/>
        </w:rPr>
        <w:t>下降3.9</w:t>
      </w:r>
      <w:r>
        <w:rPr>
          <w:rFonts w:ascii="仿宋_GB2312" w:eastAsia="仿宋_GB2312"/>
          <w:sz w:val="32"/>
          <w:szCs w:val="32"/>
        </w:rPr>
        <w:t>%，通讯器材类增长</w:t>
      </w:r>
      <w:r>
        <w:rPr>
          <w:rFonts w:ascii="仿宋_GB2312" w:eastAsia="仿宋_GB2312" w:hint="eastAsia"/>
          <w:sz w:val="32"/>
          <w:szCs w:val="32"/>
        </w:rPr>
        <w:t>43.0</w:t>
      </w:r>
      <w:r>
        <w:rPr>
          <w:rFonts w:ascii="仿宋_GB2312" w:eastAsia="仿宋_GB2312"/>
          <w:sz w:val="32"/>
          <w:szCs w:val="32"/>
        </w:rPr>
        <w:t>%，煤炭及制品类下降</w:t>
      </w:r>
      <w:r>
        <w:rPr>
          <w:rFonts w:ascii="仿宋_GB2312" w:eastAsia="仿宋_GB2312" w:hint="eastAsia"/>
          <w:sz w:val="32"/>
          <w:szCs w:val="32"/>
        </w:rPr>
        <w:t>45.1</w:t>
      </w:r>
      <w:r>
        <w:rPr>
          <w:rFonts w:ascii="仿宋_GB2312" w:eastAsia="仿宋_GB2312"/>
          <w:sz w:val="32"/>
          <w:szCs w:val="32"/>
        </w:rPr>
        <w:t>%，石油及制品类增长</w:t>
      </w:r>
      <w:r>
        <w:rPr>
          <w:rFonts w:ascii="仿宋_GB2312" w:eastAsia="仿宋_GB2312" w:hint="eastAsia"/>
          <w:sz w:val="32"/>
          <w:szCs w:val="32"/>
        </w:rPr>
        <w:t>10.2</w:t>
      </w:r>
      <w:r>
        <w:rPr>
          <w:rFonts w:ascii="仿宋_GB2312" w:eastAsia="仿宋_GB2312"/>
          <w:sz w:val="32"/>
          <w:szCs w:val="32"/>
        </w:rPr>
        <w:t>%，建筑及装潢材料类</w:t>
      </w:r>
      <w:r>
        <w:rPr>
          <w:rFonts w:ascii="仿宋_GB2312" w:eastAsia="仿宋_GB2312" w:hint="eastAsia"/>
          <w:sz w:val="32"/>
          <w:szCs w:val="32"/>
        </w:rPr>
        <w:t>增长13.9</w:t>
      </w:r>
      <w:r>
        <w:rPr>
          <w:rFonts w:ascii="仿宋_GB2312" w:eastAsia="仿宋_GB2312"/>
          <w:sz w:val="32"/>
          <w:szCs w:val="32"/>
        </w:rPr>
        <w:t>%，机电产品及设备类</w:t>
      </w:r>
      <w:r>
        <w:rPr>
          <w:rFonts w:ascii="仿宋_GB2312" w:eastAsia="仿宋_GB2312" w:hint="eastAsia"/>
          <w:sz w:val="32"/>
          <w:szCs w:val="32"/>
        </w:rPr>
        <w:t>增长20.5</w:t>
      </w:r>
      <w:r>
        <w:rPr>
          <w:rFonts w:ascii="仿宋_GB2312" w:eastAsia="仿宋_GB2312"/>
          <w:sz w:val="32"/>
          <w:szCs w:val="32"/>
        </w:rPr>
        <w:t>%，汽车类增长2.</w:t>
      </w:r>
      <w:r>
        <w:rPr>
          <w:rFonts w:ascii="仿宋_GB2312" w:eastAsia="仿宋_GB2312" w:hint="eastAsia"/>
          <w:sz w:val="32"/>
          <w:szCs w:val="32"/>
        </w:rPr>
        <w:t>2</w:t>
      </w:r>
      <w:r>
        <w:rPr>
          <w:rFonts w:ascii="仿宋_GB2312" w:eastAsia="仿宋_GB2312"/>
          <w:sz w:val="32"/>
          <w:szCs w:val="32"/>
        </w:rPr>
        <w:t>%。</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六、对外经济</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全年全市进出口总额</w:t>
      </w:r>
      <w:r>
        <w:rPr>
          <w:rFonts w:ascii="仿宋_GB2312" w:eastAsia="仿宋_GB2312" w:hint="eastAsia"/>
          <w:sz w:val="32"/>
          <w:szCs w:val="32"/>
        </w:rPr>
        <w:t>169.2</w:t>
      </w:r>
      <w:r>
        <w:rPr>
          <w:rFonts w:ascii="仿宋_GB2312" w:eastAsia="仿宋_GB2312"/>
          <w:sz w:val="32"/>
          <w:szCs w:val="32"/>
        </w:rPr>
        <w:t>亿元，比上年</w:t>
      </w:r>
      <w:r>
        <w:rPr>
          <w:rFonts w:ascii="仿宋_GB2312" w:eastAsia="仿宋_GB2312" w:hint="eastAsia"/>
          <w:sz w:val="32"/>
          <w:szCs w:val="32"/>
        </w:rPr>
        <w:t>增长1.9</w:t>
      </w:r>
      <w:r>
        <w:rPr>
          <w:rFonts w:ascii="仿宋_GB2312" w:eastAsia="仿宋_GB2312"/>
          <w:sz w:val="32"/>
          <w:szCs w:val="32"/>
        </w:rPr>
        <w:t>%。其中，进口</w:t>
      </w:r>
      <w:r>
        <w:rPr>
          <w:rFonts w:ascii="仿宋_GB2312" w:eastAsia="仿宋_GB2312" w:hint="eastAsia"/>
          <w:sz w:val="32"/>
          <w:szCs w:val="32"/>
        </w:rPr>
        <w:t>31.0</w:t>
      </w:r>
      <w:r>
        <w:rPr>
          <w:rFonts w:ascii="仿宋_GB2312" w:eastAsia="仿宋_GB2312"/>
          <w:sz w:val="32"/>
          <w:szCs w:val="32"/>
        </w:rPr>
        <w:t>亿元，下降</w:t>
      </w:r>
      <w:r>
        <w:rPr>
          <w:rFonts w:ascii="仿宋_GB2312" w:eastAsia="仿宋_GB2312" w:hint="eastAsia"/>
          <w:sz w:val="32"/>
          <w:szCs w:val="32"/>
        </w:rPr>
        <w:t>15.2</w:t>
      </w:r>
      <w:r>
        <w:rPr>
          <w:rFonts w:ascii="仿宋_GB2312" w:eastAsia="仿宋_GB2312"/>
          <w:sz w:val="32"/>
          <w:szCs w:val="32"/>
        </w:rPr>
        <w:t>%；出口</w:t>
      </w:r>
      <w:r>
        <w:rPr>
          <w:rFonts w:ascii="仿宋_GB2312" w:eastAsia="仿宋_GB2312" w:hint="eastAsia"/>
          <w:sz w:val="32"/>
          <w:szCs w:val="32"/>
        </w:rPr>
        <w:t>138.3</w:t>
      </w:r>
      <w:r>
        <w:rPr>
          <w:rFonts w:ascii="仿宋_GB2312" w:eastAsia="仿宋_GB2312"/>
          <w:sz w:val="32"/>
          <w:szCs w:val="32"/>
        </w:rPr>
        <w:t>亿元，</w:t>
      </w:r>
      <w:r>
        <w:rPr>
          <w:rFonts w:ascii="仿宋_GB2312" w:eastAsia="仿宋_GB2312" w:hint="eastAsia"/>
          <w:sz w:val="32"/>
          <w:szCs w:val="32"/>
        </w:rPr>
        <w:t>增长6.8</w:t>
      </w:r>
      <w:r>
        <w:rPr>
          <w:rFonts w:ascii="仿宋_GB2312" w:eastAsia="仿宋_GB2312"/>
          <w:sz w:val="32"/>
          <w:szCs w:val="32"/>
        </w:rPr>
        <w:t>%。</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七、运输</w:t>
      </w:r>
      <w:r w:rsidR="004C2A40">
        <w:rPr>
          <w:rFonts w:ascii="黑体" w:eastAsia="黑体" w:hAnsi="黑体" w:hint="eastAsia"/>
          <w:sz w:val="36"/>
          <w:szCs w:val="36"/>
        </w:rPr>
        <w:t>和</w:t>
      </w:r>
      <w:r>
        <w:rPr>
          <w:rFonts w:ascii="黑体" w:eastAsia="黑体" w:hAnsi="黑体"/>
          <w:sz w:val="36"/>
          <w:szCs w:val="36"/>
        </w:rPr>
        <w:t>邮电</w:t>
      </w:r>
    </w:p>
    <w:p w:rsidR="00024185" w:rsidRDefault="00707518">
      <w:pPr>
        <w:spacing w:line="560" w:lineRule="exact"/>
        <w:ind w:firstLineChars="200" w:firstLine="640"/>
        <w:rPr>
          <w:rFonts w:ascii="仿宋_GB2312" w:eastAsia="仿宋_GB2312"/>
          <w:sz w:val="32"/>
          <w:szCs w:val="32"/>
          <w:u w:val="single"/>
        </w:rPr>
      </w:pPr>
      <w:r>
        <w:rPr>
          <w:rFonts w:ascii="仿宋_GB2312" w:eastAsia="仿宋_GB2312"/>
          <w:sz w:val="32"/>
          <w:szCs w:val="32"/>
        </w:rPr>
        <w:t>年末全市高速公路通车里程</w:t>
      </w:r>
      <w:r>
        <w:rPr>
          <w:rFonts w:ascii="仿宋_GB2312" w:eastAsia="仿宋_GB2312" w:hint="eastAsia"/>
          <w:sz w:val="32"/>
          <w:szCs w:val="32"/>
        </w:rPr>
        <w:t>1123</w:t>
      </w:r>
      <w:r>
        <w:rPr>
          <w:rFonts w:ascii="仿宋_GB2312" w:eastAsia="仿宋_GB2312"/>
          <w:sz w:val="32"/>
          <w:szCs w:val="32"/>
        </w:rPr>
        <w:t>公里。全年客运量比上年</w:t>
      </w:r>
      <w:r>
        <w:rPr>
          <w:rFonts w:ascii="仿宋_GB2312" w:eastAsia="仿宋_GB2312" w:hint="eastAsia"/>
          <w:sz w:val="32"/>
          <w:szCs w:val="32"/>
        </w:rPr>
        <w:t>下降9.9</w:t>
      </w:r>
      <w:r>
        <w:rPr>
          <w:rFonts w:ascii="仿宋_GB2312" w:eastAsia="仿宋_GB2312"/>
          <w:sz w:val="32"/>
          <w:szCs w:val="32"/>
        </w:rPr>
        <w:t>%，货运量增长</w:t>
      </w:r>
      <w:r>
        <w:rPr>
          <w:rFonts w:ascii="仿宋_GB2312" w:eastAsia="仿宋_GB2312" w:hint="eastAsia"/>
          <w:sz w:val="32"/>
          <w:szCs w:val="32"/>
        </w:rPr>
        <w:t>3.4</w:t>
      </w:r>
      <w:r>
        <w:rPr>
          <w:rFonts w:ascii="仿宋_GB2312" w:eastAsia="仿宋_GB2312"/>
          <w:sz w:val="32"/>
          <w:szCs w:val="32"/>
        </w:rPr>
        <w:t>%，旅客周转量</w:t>
      </w:r>
      <w:r>
        <w:rPr>
          <w:rFonts w:ascii="仿宋_GB2312" w:eastAsia="仿宋_GB2312" w:hint="eastAsia"/>
          <w:sz w:val="32"/>
          <w:szCs w:val="32"/>
        </w:rPr>
        <w:t>下降2.3</w:t>
      </w:r>
      <w:r>
        <w:rPr>
          <w:rFonts w:ascii="仿宋_GB2312" w:eastAsia="仿宋_GB2312"/>
          <w:sz w:val="32"/>
          <w:szCs w:val="32"/>
        </w:rPr>
        <w:t>%，货物周转量增长</w:t>
      </w:r>
      <w:r>
        <w:rPr>
          <w:rFonts w:ascii="仿宋_GB2312" w:eastAsia="仿宋_GB2312" w:hint="eastAsia"/>
          <w:sz w:val="32"/>
          <w:szCs w:val="32"/>
        </w:rPr>
        <w:t>5.5</w:t>
      </w:r>
      <w:r>
        <w:rPr>
          <w:rFonts w:ascii="仿宋_GB2312" w:eastAsia="仿宋_GB2312"/>
          <w:sz w:val="32"/>
          <w:szCs w:val="32"/>
        </w:rPr>
        <w:t>%。年末民用汽车保有量</w:t>
      </w:r>
      <w:r>
        <w:rPr>
          <w:rFonts w:ascii="仿宋_GB2312" w:eastAsia="仿宋_GB2312" w:hint="eastAsia"/>
          <w:sz w:val="32"/>
          <w:szCs w:val="32"/>
        </w:rPr>
        <w:t>169.29</w:t>
      </w:r>
      <w:r>
        <w:rPr>
          <w:rFonts w:ascii="仿宋_GB2312" w:eastAsia="仿宋_GB2312"/>
          <w:sz w:val="32"/>
          <w:szCs w:val="32"/>
        </w:rPr>
        <w:t>万辆，其中私人汽车保有量</w:t>
      </w:r>
      <w:r>
        <w:rPr>
          <w:rFonts w:ascii="仿宋_GB2312" w:eastAsia="仿宋_GB2312" w:hint="eastAsia"/>
          <w:sz w:val="32"/>
          <w:szCs w:val="32"/>
        </w:rPr>
        <w:t>159.70</w:t>
      </w:r>
      <w:r>
        <w:rPr>
          <w:rFonts w:ascii="仿宋_GB2312" w:eastAsia="仿宋_GB2312"/>
          <w:sz w:val="32"/>
          <w:szCs w:val="32"/>
        </w:rPr>
        <w:t>万辆。</w:t>
      </w:r>
    </w:p>
    <w:p w:rsidR="00024185" w:rsidRDefault="00707518">
      <w:pPr>
        <w:spacing w:line="560" w:lineRule="exact"/>
        <w:jc w:val="center"/>
        <w:rPr>
          <w:rFonts w:ascii="宋体" w:hAnsi="宋体" w:cs="宋体"/>
          <w:b/>
          <w:bCs/>
          <w:kern w:val="0"/>
          <w:sz w:val="32"/>
          <w:szCs w:val="32"/>
        </w:rPr>
      </w:pPr>
      <w:r>
        <w:rPr>
          <w:rFonts w:ascii="宋体" w:hAnsi="宋体" w:cs="宋体"/>
          <w:b/>
          <w:bCs/>
          <w:kern w:val="0"/>
          <w:sz w:val="32"/>
          <w:szCs w:val="32"/>
        </w:rPr>
        <w:t>表</w:t>
      </w:r>
      <w:r>
        <w:rPr>
          <w:rFonts w:ascii="宋体" w:hAnsi="宋体" w:cs="宋体" w:hint="eastAsia"/>
          <w:b/>
          <w:bCs/>
          <w:kern w:val="0"/>
          <w:sz w:val="32"/>
          <w:szCs w:val="32"/>
        </w:rPr>
        <w:t>6</w:t>
      </w:r>
      <w:r>
        <w:rPr>
          <w:rFonts w:ascii="宋体" w:hAnsi="宋体" w:cs="宋体"/>
          <w:b/>
          <w:bCs/>
          <w:kern w:val="0"/>
          <w:sz w:val="32"/>
          <w:szCs w:val="32"/>
        </w:rPr>
        <w:t xml:space="preserve">  202</w:t>
      </w:r>
      <w:r>
        <w:rPr>
          <w:rFonts w:ascii="宋体" w:hAnsi="宋体" w:cs="宋体" w:hint="eastAsia"/>
          <w:b/>
          <w:bCs/>
          <w:kern w:val="0"/>
          <w:sz w:val="32"/>
          <w:szCs w:val="32"/>
        </w:rPr>
        <w:t>5</w:t>
      </w:r>
      <w:r>
        <w:rPr>
          <w:rFonts w:ascii="宋体" w:hAnsi="宋体" w:cs="宋体"/>
          <w:b/>
          <w:bCs/>
          <w:kern w:val="0"/>
          <w:sz w:val="32"/>
          <w:szCs w:val="32"/>
        </w:rPr>
        <w:t>年南阳市各种运输方式运输量及增长速度</w:t>
      </w:r>
    </w:p>
    <w:tbl>
      <w:tblPr>
        <w:tblW w:w="0" w:type="auto"/>
        <w:jc w:val="center"/>
        <w:tblLayout w:type="fixed"/>
        <w:tblCellMar>
          <w:left w:w="57" w:type="dxa"/>
          <w:right w:w="57" w:type="dxa"/>
        </w:tblCellMar>
        <w:tblLook w:val="04A0" w:firstRow="1" w:lastRow="0" w:firstColumn="1" w:lastColumn="0" w:noHBand="0" w:noVBand="1"/>
      </w:tblPr>
      <w:tblGrid>
        <w:gridCol w:w="2336"/>
        <w:gridCol w:w="1867"/>
        <w:gridCol w:w="2076"/>
        <w:gridCol w:w="2101"/>
      </w:tblGrid>
      <w:tr w:rsidR="00024185">
        <w:trPr>
          <w:trHeight w:hRule="exact" w:val="567"/>
          <w:jc w:val="center"/>
        </w:trPr>
        <w:tc>
          <w:tcPr>
            <w:tcW w:w="2336" w:type="dxa"/>
            <w:tcBorders>
              <w:top w:val="single" w:sz="8" w:space="0" w:color="000000"/>
              <w:left w:val="nil"/>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指</w:t>
            </w:r>
            <w:r>
              <w:rPr>
                <w:rFonts w:asciiTheme="minorEastAsia" w:eastAsiaTheme="minorEastAsia" w:hAnsiTheme="minorEastAsia" w:hint="eastAsia"/>
                <w:b/>
                <w:bCs/>
                <w:snapToGrid w:val="0"/>
                <w:kern w:val="0"/>
                <w:sz w:val="28"/>
                <w:szCs w:val="28"/>
              </w:rPr>
              <w:t xml:space="preserve">  </w:t>
            </w:r>
            <w:r>
              <w:rPr>
                <w:rFonts w:asciiTheme="minorEastAsia" w:eastAsiaTheme="minorEastAsia" w:hAnsiTheme="minorEastAsia"/>
                <w:b/>
                <w:bCs/>
                <w:snapToGrid w:val="0"/>
                <w:kern w:val="0"/>
                <w:sz w:val="28"/>
                <w:szCs w:val="28"/>
              </w:rPr>
              <w:t>标</w:t>
            </w:r>
          </w:p>
        </w:tc>
        <w:tc>
          <w:tcPr>
            <w:tcW w:w="1867" w:type="dxa"/>
            <w:tcBorders>
              <w:top w:val="single" w:sz="8" w:space="0" w:color="000000"/>
              <w:left w:val="single" w:sz="6" w:space="0" w:color="000000"/>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单位</w:t>
            </w:r>
          </w:p>
        </w:tc>
        <w:tc>
          <w:tcPr>
            <w:tcW w:w="2076" w:type="dxa"/>
            <w:tcBorders>
              <w:top w:val="single" w:sz="8" w:space="0" w:color="000000"/>
              <w:left w:val="single" w:sz="6" w:space="0" w:color="000000"/>
              <w:bottom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绝对量</w:t>
            </w:r>
          </w:p>
        </w:tc>
        <w:tc>
          <w:tcPr>
            <w:tcW w:w="2101" w:type="dxa"/>
            <w:tcBorders>
              <w:top w:val="single" w:sz="8" w:space="0" w:color="000000"/>
              <w:left w:val="single" w:sz="6" w:space="0" w:color="000000"/>
              <w:bottom w:val="single" w:sz="6" w:space="0" w:color="000000"/>
              <w:right w:val="nil"/>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bCs/>
                <w:snapToGrid w:val="0"/>
                <w:kern w:val="0"/>
                <w:sz w:val="28"/>
                <w:szCs w:val="28"/>
              </w:rPr>
              <w:t>比上年增长（%）</w:t>
            </w:r>
          </w:p>
        </w:tc>
      </w:tr>
      <w:tr w:rsidR="00024185">
        <w:trPr>
          <w:trHeight w:hRule="exact" w:val="567"/>
          <w:jc w:val="center"/>
        </w:trPr>
        <w:tc>
          <w:tcPr>
            <w:tcW w:w="2336" w:type="dxa"/>
            <w:tcBorders>
              <w:top w:val="single" w:sz="6" w:space="0" w:color="000000"/>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货物运输量</w:t>
            </w:r>
          </w:p>
        </w:tc>
        <w:tc>
          <w:tcPr>
            <w:tcW w:w="1867" w:type="dxa"/>
            <w:tcBorders>
              <w:top w:val="single" w:sz="6" w:space="0" w:color="000000"/>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076" w:type="dxa"/>
            <w:tcBorders>
              <w:top w:val="single" w:sz="6" w:space="0" w:color="000000"/>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47793.70</w:t>
            </w:r>
          </w:p>
        </w:tc>
        <w:tc>
          <w:tcPr>
            <w:tcW w:w="2101" w:type="dxa"/>
            <w:tcBorders>
              <w:top w:val="single" w:sz="6" w:space="0" w:color="000000"/>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3.4</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100" w:firstLine="28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 xml:space="preserve">  其中：</w:t>
            </w:r>
            <w:r>
              <w:rPr>
                <w:rFonts w:asciiTheme="minorEastAsia" w:eastAsiaTheme="minorEastAsia" w:hAnsiTheme="minorEastAsia"/>
                <w:snapToGrid w:val="0"/>
                <w:kern w:val="0"/>
                <w:sz w:val="28"/>
                <w:szCs w:val="28"/>
              </w:rPr>
              <w:t>公路</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46788.00</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3.9</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水运</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1005.62</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-15.9</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民航</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万吨</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0.08</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20.7</w:t>
            </w:r>
          </w:p>
        </w:tc>
      </w:tr>
      <w:tr w:rsidR="00024185">
        <w:trPr>
          <w:trHeight w:hRule="exact" w:val="567"/>
          <w:jc w:val="center"/>
        </w:trPr>
        <w:tc>
          <w:tcPr>
            <w:tcW w:w="2336" w:type="dxa"/>
            <w:tcBorders>
              <w:top w:val="nil"/>
              <w:left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货物周转量</w:t>
            </w:r>
          </w:p>
        </w:tc>
        <w:tc>
          <w:tcPr>
            <w:tcW w:w="1867" w:type="dxa"/>
            <w:tcBorders>
              <w:top w:val="nil"/>
              <w:left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亿吨公里</w:t>
            </w:r>
            <w:proofErr w:type="gramEnd"/>
          </w:p>
        </w:tc>
        <w:tc>
          <w:tcPr>
            <w:tcW w:w="2076" w:type="dxa"/>
            <w:tcBorders>
              <w:top w:val="nil"/>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1610.91</w:t>
            </w:r>
          </w:p>
        </w:tc>
        <w:tc>
          <w:tcPr>
            <w:tcW w:w="2101" w:type="dxa"/>
            <w:tcBorders>
              <w:top w:val="nil"/>
              <w:left w:val="single" w:sz="6" w:space="0" w:color="000000"/>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5.5</w:t>
            </w:r>
          </w:p>
        </w:tc>
      </w:tr>
      <w:tr w:rsidR="00024185">
        <w:trPr>
          <w:trHeight w:hRule="exact" w:val="567"/>
          <w:jc w:val="center"/>
        </w:trPr>
        <w:tc>
          <w:tcPr>
            <w:tcW w:w="2336" w:type="dxa"/>
            <w:tcBorders>
              <w:top w:val="nil"/>
              <w:left w:val="nil"/>
              <w:right w:val="single" w:sz="6" w:space="0" w:color="000000"/>
            </w:tcBorders>
            <w:vAlign w:val="center"/>
          </w:tcPr>
          <w:p w:rsidR="00024185" w:rsidRDefault="00707518">
            <w:pPr>
              <w:adjustRightInd w:val="0"/>
              <w:snapToGrid w:val="0"/>
              <w:ind w:firstLineChars="100" w:firstLine="28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 xml:space="preserve">  其中：</w:t>
            </w:r>
            <w:r>
              <w:rPr>
                <w:rFonts w:asciiTheme="minorEastAsia" w:eastAsiaTheme="minorEastAsia" w:hAnsiTheme="minorEastAsia"/>
                <w:snapToGrid w:val="0"/>
                <w:kern w:val="0"/>
                <w:sz w:val="28"/>
                <w:szCs w:val="28"/>
              </w:rPr>
              <w:t>公路</w:t>
            </w:r>
          </w:p>
        </w:tc>
        <w:tc>
          <w:tcPr>
            <w:tcW w:w="1867" w:type="dxa"/>
            <w:tcBorders>
              <w:top w:val="nil"/>
              <w:left w:val="single" w:sz="6"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亿吨公里</w:t>
            </w:r>
            <w:proofErr w:type="gramEnd"/>
          </w:p>
        </w:tc>
        <w:tc>
          <w:tcPr>
            <w:tcW w:w="2076" w:type="dxa"/>
            <w:tcBorders>
              <w:top w:val="nil"/>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1549.05</w:t>
            </w:r>
          </w:p>
        </w:tc>
        <w:tc>
          <w:tcPr>
            <w:tcW w:w="2101" w:type="dxa"/>
            <w:tcBorders>
              <w:top w:val="nil"/>
              <w:left w:val="single" w:sz="6" w:space="0" w:color="000000"/>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6.1</w:t>
            </w:r>
          </w:p>
        </w:tc>
      </w:tr>
      <w:tr w:rsidR="00024185">
        <w:trPr>
          <w:trHeight w:hRule="exact" w:val="567"/>
          <w:jc w:val="center"/>
        </w:trPr>
        <w:tc>
          <w:tcPr>
            <w:tcW w:w="2336" w:type="dxa"/>
            <w:tcBorders>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水运</w:t>
            </w:r>
          </w:p>
        </w:tc>
        <w:tc>
          <w:tcPr>
            <w:tcW w:w="1867" w:type="dxa"/>
            <w:tcBorders>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亿吨公里</w:t>
            </w:r>
            <w:proofErr w:type="gramEnd"/>
          </w:p>
        </w:tc>
        <w:tc>
          <w:tcPr>
            <w:tcW w:w="2076" w:type="dxa"/>
            <w:tcBorders>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61.84</w:t>
            </w:r>
          </w:p>
        </w:tc>
        <w:tc>
          <w:tcPr>
            <w:tcW w:w="2101" w:type="dxa"/>
            <w:tcBorders>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-8.2</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lastRenderedPageBreak/>
              <w:t>民航</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proofErr w:type="gramStart"/>
            <w:r>
              <w:rPr>
                <w:rFonts w:asciiTheme="minorEastAsia" w:eastAsiaTheme="minorEastAsia" w:hAnsiTheme="minorEastAsia"/>
                <w:snapToGrid w:val="0"/>
                <w:kern w:val="0"/>
                <w:sz w:val="28"/>
                <w:szCs w:val="28"/>
              </w:rPr>
              <w:t>万吨公里</w:t>
            </w:r>
            <w:proofErr w:type="gramEnd"/>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80.40</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20.7</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旅客运输量</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万人</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8572.24</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-9.9</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100" w:firstLine="28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 xml:space="preserve">  其中：</w:t>
            </w:r>
            <w:r>
              <w:rPr>
                <w:rFonts w:asciiTheme="minorEastAsia" w:eastAsiaTheme="minorEastAsia" w:hAnsiTheme="minorEastAsia"/>
                <w:snapToGrid w:val="0"/>
                <w:kern w:val="0"/>
                <w:sz w:val="28"/>
                <w:szCs w:val="28"/>
              </w:rPr>
              <w:t>公路</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万人</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8396.00</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-10.1</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水运</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万人</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72.53</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-10.1</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民航</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万人</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103.70</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7.2</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旅客周转量</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亿人公里</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105.48</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-2.3</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100" w:firstLine="28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 xml:space="preserve">  其中：</w:t>
            </w:r>
            <w:r>
              <w:rPr>
                <w:rFonts w:asciiTheme="minorEastAsia" w:eastAsiaTheme="minorEastAsia" w:hAnsiTheme="minorEastAsia"/>
                <w:snapToGrid w:val="0"/>
                <w:kern w:val="0"/>
                <w:sz w:val="28"/>
                <w:szCs w:val="28"/>
              </w:rPr>
              <w:t>公路</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亿人公里</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94.34</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-3.2</w:t>
            </w:r>
          </w:p>
        </w:tc>
      </w:tr>
      <w:tr w:rsidR="00024185">
        <w:trPr>
          <w:trHeight w:hRule="exact" w:val="567"/>
          <w:jc w:val="center"/>
        </w:trPr>
        <w:tc>
          <w:tcPr>
            <w:tcW w:w="2336" w:type="dxa"/>
            <w:tcBorders>
              <w:top w:val="nil"/>
              <w:left w:val="nil"/>
              <w:bottom w:val="nil"/>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水运</w:t>
            </w:r>
          </w:p>
        </w:tc>
        <w:tc>
          <w:tcPr>
            <w:tcW w:w="1867" w:type="dxa"/>
            <w:tcBorders>
              <w:top w:val="nil"/>
              <w:left w:val="single" w:sz="6" w:space="0" w:color="000000"/>
              <w:bottom w:val="nil"/>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亿人公里</w:t>
            </w:r>
          </w:p>
        </w:tc>
        <w:tc>
          <w:tcPr>
            <w:tcW w:w="2076" w:type="dxa"/>
            <w:tcBorders>
              <w:top w:val="nil"/>
              <w:left w:val="single" w:sz="6" w:space="0" w:color="000000"/>
              <w:bottom w:val="nil"/>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0.15</w:t>
            </w:r>
          </w:p>
        </w:tc>
        <w:tc>
          <w:tcPr>
            <w:tcW w:w="2101" w:type="dxa"/>
            <w:tcBorders>
              <w:top w:val="nil"/>
              <w:left w:val="single" w:sz="6" w:space="0" w:color="000000"/>
              <w:bottom w:val="nil"/>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-7.5</w:t>
            </w:r>
          </w:p>
        </w:tc>
      </w:tr>
      <w:tr w:rsidR="00024185">
        <w:trPr>
          <w:trHeight w:hRule="exact" w:val="567"/>
          <w:jc w:val="center"/>
        </w:trPr>
        <w:tc>
          <w:tcPr>
            <w:tcW w:w="2336" w:type="dxa"/>
            <w:tcBorders>
              <w:top w:val="nil"/>
              <w:left w:val="nil"/>
              <w:bottom w:val="single" w:sz="8" w:space="0" w:color="000000"/>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民航</w:t>
            </w:r>
          </w:p>
        </w:tc>
        <w:tc>
          <w:tcPr>
            <w:tcW w:w="1867" w:type="dxa"/>
            <w:tcBorders>
              <w:top w:val="nil"/>
              <w:left w:val="single" w:sz="6" w:space="0" w:color="000000"/>
              <w:bottom w:val="single" w:sz="8"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亿人公里</w:t>
            </w:r>
          </w:p>
        </w:tc>
        <w:tc>
          <w:tcPr>
            <w:tcW w:w="2076" w:type="dxa"/>
            <w:tcBorders>
              <w:top w:val="nil"/>
              <w:left w:val="single" w:sz="6" w:space="0" w:color="000000"/>
              <w:bottom w:val="single" w:sz="8"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10.99</w:t>
            </w:r>
          </w:p>
        </w:tc>
        <w:tc>
          <w:tcPr>
            <w:tcW w:w="2101" w:type="dxa"/>
            <w:tcBorders>
              <w:top w:val="nil"/>
              <w:left w:val="single" w:sz="6" w:space="0" w:color="000000"/>
              <w:bottom w:val="single" w:sz="8" w:space="0" w:color="000000"/>
              <w:right w:val="nil"/>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7.2</w:t>
            </w:r>
          </w:p>
        </w:tc>
      </w:tr>
    </w:tbl>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全年全市邮电业务总量</w:t>
      </w:r>
      <w:r>
        <w:rPr>
          <w:rFonts w:ascii="仿宋_GB2312" w:eastAsia="仿宋_GB2312" w:hint="eastAsia"/>
          <w:sz w:val="32"/>
          <w:szCs w:val="32"/>
        </w:rPr>
        <w:t>164.06</w:t>
      </w:r>
      <w:r>
        <w:rPr>
          <w:rFonts w:ascii="仿宋_GB2312" w:eastAsia="仿宋_GB2312"/>
          <w:sz w:val="32"/>
          <w:szCs w:val="32"/>
        </w:rPr>
        <w:t>亿元，其中，邮政业务总量</w:t>
      </w:r>
      <w:r>
        <w:rPr>
          <w:rFonts w:ascii="仿宋_GB2312" w:eastAsia="仿宋_GB2312" w:hint="eastAsia"/>
          <w:sz w:val="32"/>
          <w:szCs w:val="32"/>
        </w:rPr>
        <w:t>82.85</w:t>
      </w:r>
      <w:r>
        <w:rPr>
          <w:rFonts w:ascii="仿宋_GB2312" w:eastAsia="仿宋_GB2312"/>
          <w:sz w:val="32"/>
          <w:szCs w:val="32"/>
        </w:rPr>
        <w:t>亿元，电信业务总量</w:t>
      </w:r>
      <w:r>
        <w:rPr>
          <w:rFonts w:ascii="仿宋_GB2312" w:eastAsia="仿宋_GB2312" w:hint="eastAsia"/>
          <w:sz w:val="32"/>
          <w:szCs w:val="32"/>
        </w:rPr>
        <w:t>81.21</w:t>
      </w:r>
      <w:r>
        <w:rPr>
          <w:rFonts w:ascii="仿宋_GB2312" w:eastAsia="仿宋_GB2312"/>
          <w:sz w:val="32"/>
          <w:szCs w:val="32"/>
        </w:rPr>
        <w:t>亿元。快递业务总量</w:t>
      </w:r>
      <w:r>
        <w:rPr>
          <w:rFonts w:ascii="仿宋_GB2312" w:eastAsia="仿宋_GB2312" w:hint="eastAsia"/>
          <w:sz w:val="32"/>
          <w:szCs w:val="32"/>
        </w:rPr>
        <w:t>7.28</w:t>
      </w:r>
      <w:r>
        <w:rPr>
          <w:rFonts w:ascii="仿宋_GB2312" w:eastAsia="仿宋_GB2312"/>
          <w:sz w:val="32"/>
          <w:szCs w:val="32"/>
        </w:rPr>
        <w:t>亿件，快递业务收入</w:t>
      </w:r>
      <w:r>
        <w:rPr>
          <w:rFonts w:ascii="仿宋_GB2312" w:eastAsia="仿宋_GB2312" w:hint="eastAsia"/>
          <w:sz w:val="32"/>
          <w:szCs w:val="32"/>
        </w:rPr>
        <w:t>37.73</w:t>
      </w:r>
      <w:r>
        <w:rPr>
          <w:rFonts w:ascii="仿宋_GB2312" w:eastAsia="仿宋_GB2312"/>
          <w:sz w:val="32"/>
          <w:szCs w:val="32"/>
        </w:rPr>
        <w:t>亿元。年末局用电话交换机总容量2345万门，与上年持平；本地固定电话用户</w:t>
      </w:r>
      <w:r>
        <w:rPr>
          <w:rFonts w:ascii="仿宋_GB2312" w:eastAsia="仿宋_GB2312" w:hint="eastAsia"/>
          <w:sz w:val="32"/>
          <w:szCs w:val="32"/>
        </w:rPr>
        <w:t>34.97</w:t>
      </w:r>
      <w:r>
        <w:rPr>
          <w:rFonts w:ascii="仿宋_GB2312" w:eastAsia="仿宋_GB2312"/>
          <w:sz w:val="32"/>
          <w:szCs w:val="32"/>
        </w:rPr>
        <w:t>万户，同比下降</w:t>
      </w:r>
      <w:r>
        <w:rPr>
          <w:rFonts w:ascii="仿宋_GB2312" w:eastAsia="仿宋_GB2312" w:hint="eastAsia"/>
          <w:sz w:val="32"/>
          <w:szCs w:val="32"/>
        </w:rPr>
        <w:t>3.5</w:t>
      </w:r>
      <w:r>
        <w:rPr>
          <w:rFonts w:ascii="仿宋_GB2312" w:eastAsia="仿宋_GB2312"/>
          <w:sz w:val="32"/>
          <w:szCs w:val="32"/>
        </w:rPr>
        <w:t>%；移动电话用户</w:t>
      </w:r>
      <w:r>
        <w:rPr>
          <w:rFonts w:ascii="仿宋_GB2312" w:eastAsia="仿宋_GB2312" w:hint="eastAsia"/>
          <w:sz w:val="32"/>
          <w:szCs w:val="32"/>
        </w:rPr>
        <w:t>1006.49</w:t>
      </w:r>
      <w:r>
        <w:rPr>
          <w:rFonts w:ascii="仿宋_GB2312" w:eastAsia="仿宋_GB2312"/>
          <w:sz w:val="32"/>
          <w:szCs w:val="32"/>
        </w:rPr>
        <w:t>万户，增长</w:t>
      </w:r>
      <w:r>
        <w:rPr>
          <w:rFonts w:ascii="仿宋_GB2312" w:eastAsia="仿宋_GB2312" w:hint="eastAsia"/>
          <w:sz w:val="32"/>
          <w:szCs w:val="32"/>
        </w:rPr>
        <w:t>2.6</w:t>
      </w:r>
      <w:r>
        <w:rPr>
          <w:rFonts w:ascii="仿宋_GB2312" w:eastAsia="仿宋_GB2312"/>
          <w:sz w:val="32"/>
          <w:szCs w:val="32"/>
        </w:rPr>
        <w:t>%。年末互联网用户</w:t>
      </w:r>
      <w:r>
        <w:rPr>
          <w:rFonts w:ascii="仿宋_GB2312" w:eastAsia="仿宋_GB2312" w:hint="eastAsia"/>
          <w:sz w:val="32"/>
          <w:szCs w:val="32"/>
        </w:rPr>
        <w:t>392.94</w:t>
      </w:r>
      <w:r>
        <w:rPr>
          <w:rFonts w:ascii="仿宋_GB2312" w:eastAsia="仿宋_GB2312"/>
          <w:sz w:val="32"/>
          <w:szCs w:val="32"/>
        </w:rPr>
        <w:t>万户，增长</w:t>
      </w:r>
      <w:r>
        <w:rPr>
          <w:rFonts w:ascii="仿宋_GB2312" w:eastAsia="仿宋_GB2312" w:hint="eastAsia"/>
          <w:sz w:val="32"/>
          <w:szCs w:val="32"/>
        </w:rPr>
        <w:t>2.6</w:t>
      </w:r>
      <w:r>
        <w:rPr>
          <w:rFonts w:ascii="仿宋_GB2312" w:eastAsia="仿宋_GB2312"/>
          <w:sz w:val="32"/>
          <w:szCs w:val="32"/>
        </w:rPr>
        <w:t>%。</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八、金融、证券和保险业</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年末全市金融机构本外币各项存款余额</w:t>
      </w:r>
      <w:r>
        <w:rPr>
          <w:rFonts w:ascii="仿宋_GB2312" w:eastAsia="仿宋_GB2312" w:hint="eastAsia"/>
          <w:sz w:val="32"/>
          <w:szCs w:val="32"/>
        </w:rPr>
        <w:t>8877.29</w:t>
      </w:r>
      <w:r>
        <w:rPr>
          <w:rFonts w:ascii="仿宋_GB2312" w:eastAsia="仿宋_GB2312"/>
          <w:sz w:val="32"/>
          <w:szCs w:val="32"/>
        </w:rPr>
        <w:t>亿元，比上年增长10.</w:t>
      </w: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其中住户存款余额</w:t>
      </w:r>
      <w:r>
        <w:rPr>
          <w:rFonts w:ascii="仿宋_GB2312" w:eastAsia="仿宋_GB2312" w:hint="eastAsia"/>
          <w:sz w:val="32"/>
          <w:szCs w:val="32"/>
        </w:rPr>
        <w:t>7349.52</w:t>
      </w:r>
      <w:r>
        <w:rPr>
          <w:rFonts w:ascii="仿宋_GB2312" w:eastAsia="仿宋_GB2312"/>
          <w:sz w:val="32"/>
          <w:szCs w:val="32"/>
        </w:rPr>
        <w:t>亿元，增长</w:t>
      </w:r>
      <w:r>
        <w:rPr>
          <w:rFonts w:ascii="仿宋_GB2312" w:eastAsia="仿宋_GB2312" w:hint="eastAsia"/>
          <w:sz w:val="32"/>
          <w:szCs w:val="32"/>
        </w:rPr>
        <w:t>11.4</w:t>
      </w:r>
      <w:r>
        <w:rPr>
          <w:rFonts w:ascii="仿宋_GB2312" w:eastAsia="仿宋_GB2312"/>
          <w:sz w:val="32"/>
          <w:szCs w:val="32"/>
        </w:rPr>
        <w:t>%。年末金融机构本外币各项贷款余额</w:t>
      </w:r>
      <w:r>
        <w:rPr>
          <w:rFonts w:ascii="仿宋_GB2312" w:eastAsia="仿宋_GB2312" w:hint="eastAsia"/>
          <w:sz w:val="32"/>
          <w:szCs w:val="32"/>
        </w:rPr>
        <w:t>4725.10</w:t>
      </w:r>
      <w:r>
        <w:rPr>
          <w:rFonts w:ascii="仿宋_GB2312" w:eastAsia="仿宋_GB2312"/>
          <w:sz w:val="32"/>
          <w:szCs w:val="32"/>
        </w:rPr>
        <w:t>亿元，增长</w:t>
      </w:r>
      <w:r>
        <w:rPr>
          <w:rFonts w:ascii="仿宋_GB2312" w:eastAsia="仿宋_GB2312" w:hint="eastAsia"/>
          <w:sz w:val="32"/>
          <w:szCs w:val="32"/>
        </w:rPr>
        <w:t>2.7</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其中住户贷款</w:t>
      </w:r>
      <w:r>
        <w:rPr>
          <w:rFonts w:ascii="仿宋_GB2312" w:eastAsia="仿宋_GB2312" w:hint="eastAsia"/>
          <w:sz w:val="32"/>
          <w:szCs w:val="32"/>
        </w:rPr>
        <w:t>1791.58</w:t>
      </w:r>
      <w:r>
        <w:rPr>
          <w:rFonts w:ascii="仿宋_GB2312" w:eastAsia="仿宋_GB2312"/>
          <w:sz w:val="32"/>
          <w:szCs w:val="32"/>
        </w:rPr>
        <w:t>亿元，增长</w:t>
      </w:r>
      <w:r>
        <w:rPr>
          <w:rFonts w:ascii="仿宋_GB2312" w:eastAsia="仿宋_GB2312" w:hint="eastAsia"/>
          <w:sz w:val="32"/>
          <w:szCs w:val="32"/>
        </w:rPr>
        <w:t>0.1</w:t>
      </w:r>
      <w:r>
        <w:rPr>
          <w:rFonts w:ascii="仿宋_GB2312" w:eastAsia="仿宋_GB2312"/>
          <w:sz w:val="32"/>
          <w:szCs w:val="32"/>
        </w:rPr>
        <w:t>%；短期贷款</w:t>
      </w:r>
      <w:r>
        <w:rPr>
          <w:rFonts w:ascii="仿宋_GB2312" w:eastAsia="仿宋_GB2312" w:hint="eastAsia"/>
          <w:sz w:val="32"/>
          <w:szCs w:val="32"/>
        </w:rPr>
        <w:t>1655.43</w:t>
      </w:r>
      <w:r>
        <w:rPr>
          <w:rFonts w:ascii="仿宋_GB2312" w:eastAsia="仿宋_GB2312"/>
          <w:sz w:val="32"/>
          <w:szCs w:val="32"/>
        </w:rPr>
        <w:t>亿元，增长</w:t>
      </w:r>
      <w:r>
        <w:rPr>
          <w:rFonts w:ascii="仿宋_GB2312" w:eastAsia="仿宋_GB2312" w:hint="eastAsia"/>
          <w:sz w:val="32"/>
          <w:szCs w:val="32"/>
        </w:rPr>
        <w:t>3.2</w:t>
      </w:r>
      <w:r>
        <w:rPr>
          <w:rFonts w:ascii="仿宋_GB2312" w:eastAsia="仿宋_GB2312"/>
          <w:sz w:val="32"/>
          <w:szCs w:val="32"/>
        </w:rPr>
        <w:t>%；中长期贷款</w:t>
      </w:r>
      <w:r>
        <w:rPr>
          <w:rFonts w:ascii="仿宋_GB2312" w:eastAsia="仿宋_GB2312" w:hint="eastAsia"/>
          <w:sz w:val="32"/>
          <w:szCs w:val="32"/>
        </w:rPr>
        <w:t>2563.57</w:t>
      </w:r>
      <w:r>
        <w:rPr>
          <w:rFonts w:ascii="仿宋_GB2312" w:eastAsia="仿宋_GB2312"/>
          <w:sz w:val="32"/>
          <w:szCs w:val="32"/>
        </w:rPr>
        <w:t>亿元，</w:t>
      </w:r>
      <w:r>
        <w:rPr>
          <w:rFonts w:ascii="仿宋_GB2312" w:eastAsia="仿宋_GB2312" w:hint="eastAsia"/>
          <w:sz w:val="32"/>
          <w:szCs w:val="32"/>
        </w:rPr>
        <w:t>下降2.5</w:t>
      </w:r>
      <w:r>
        <w:rPr>
          <w:rFonts w:ascii="仿宋_GB2312" w:eastAsia="仿宋_GB2312"/>
          <w:sz w:val="32"/>
          <w:szCs w:val="32"/>
        </w:rPr>
        <w:t>%。</w:t>
      </w:r>
    </w:p>
    <w:p w:rsidR="00024185" w:rsidRPr="00C76998" w:rsidRDefault="00707518">
      <w:pPr>
        <w:spacing w:line="560" w:lineRule="exact"/>
        <w:jc w:val="center"/>
        <w:rPr>
          <w:rFonts w:ascii="宋体" w:hAnsi="宋体" w:cs="宋体"/>
          <w:b/>
          <w:bCs/>
          <w:spacing w:val="-16"/>
          <w:kern w:val="0"/>
          <w:sz w:val="32"/>
          <w:szCs w:val="32"/>
        </w:rPr>
      </w:pPr>
      <w:r w:rsidRPr="00C76998">
        <w:rPr>
          <w:rFonts w:ascii="宋体" w:hAnsi="宋体" w:cs="宋体"/>
          <w:b/>
          <w:bCs/>
          <w:spacing w:val="-16"/>
          <w:kern w:val="0"/>
          <w:sz w:val="32"/>
          <w:szCs w:val="32"/>
        </w:rPr>
        <w:t>表</w:t>
      </w:r>
      <w:r w:rsidRPr="00C76998">
        <w:rPr>
          <w:rFonts w:ascii="宋体" w:hAnsi="宋体" w:cs="宋体" w:hint="eastAsia"/>
          <w:b/>
          <w:bCs/>
          <w:spacing w:val="-16"/>
          <w:kern w:val="0"/>
          <w:sz w:val="32"/>
          <w:szCs w:val="32"/>
        </w:rPr>
        <w:t xml:space="preserve">7  </w:t>
      </w:r>
      <w:r w:rsidRPr="00C76998">
        <w:rPr>
          <w:rFonts w:ascii="宋体" w:hAnsi="宋体" w:cs="宋体"/>
          <w:b/>
          <w:bCs/>
          <w:spacing w:val="-16"/>
          <w:kern w:val="0"/>
          <w:sz w:val="32"/>
          <w:szCs w:val="32"/>
        </w:rPr>
        <w:t>202</w:t>
      </w:r>
      <w:r w:rsidRPr="00C76998">
        <w:rPr>
          <w:rFonts w:ascii="宋体" w:hAnsi="宋体" w:cs="宋体" w:hint="eastAsia"/>
          <w:b/>
          <w:bCs/>
          <w:spacing w:val="-16"/>
          <w:kern w:val="0"/>
          <w:sz w:val="32"/>
          <w:szCs w:val="32"/>
        </w:rPr>
        <w:t>5</w:t>
      </w:r>
      <w:r w:rsidRPr="00C76998">
        <w:rPr>
          <w:rFonts w:ascii="宋体" w:hAnsi="宋体" w:cs="宋体"/>
          <w:b/>
          <w:bCs/>
          <w:spacing w:val="-16"/>
          <w:kern w:val="0"/>
          <w:sz w:val="32"/>
          <w:szCs w:val="32"/>
        </w:rPr>
        <w:t>年</w:t>
      </w:r>
      <w:r w:rsidRPr="00C76998">
        <w:rPr>
          <w:rFonts w:ascii="宋体" w:hAnsi="宋体" w:cs="宋体" w:hint="eastAsia"/>
          <w:b/>
          <w:bCs/>
          <w:spacing w:val="-16"/>
          <w:kern w:val="0"/>
          <w:sz w:val="32"/>
          <w:szCs w:val="32"/>
        </w:rPr>
        <w:t>年</w:t>
      </w:r>
      <w:r w:rsidRPr="00C76998">
        <w:rPr>
          <w:rFonts w:ascii="宋体" w:hAnsi="宋体" w:cs="宋体"/>
          <w:b/>
          <w:bCs/>
          <w:spacing w:val="-16"/>
          <w:kern w:val="0"/>
          <w:sz w:val="32"/>
          <w:szCs w:val="32"/>
        </w:rPr>
        <w:t>末南阳市金融机构本外币存贷款余额及其增长速度</w:t>
      </w:r>
    </w:p>
    <w:tbl>
      <w:tblPr>
        <w:tblW w:w="0" w:type="auto"/>
        <w:jc w:val="center"/>
        <w:tblLayout w:type="fixed"/>
        <w:tblCellMar>
          <w:top w:w="15" w:type="dxa"/>
          <w:left w:w="57" w:type="dxa"/>
          <w:bottom w:w="15" w:type="dxa"/>
          <w:right w:w="57" w:type="dxa"/>
        </w:tblCellMar>
        <w:tblLook w:val="04A0" w:firstRow="1" w:lastRow="0" w:firstColumn="1" w:lastColumn="0" w:noHBand="0" w:noVBand="1"/>
      </w:tblPr>
      <w:tblGrid>
        <w:gridCol w:w="3140"/>
        <w:gridCol w:w="2581"/>
        <w:gridCol w:w="2613"/>
      </w:tblGrid>
      <w:tr w:rsidR="00024185">
        <w:trPr>
          <w:trHeight w:val="567"/>
          <w:jc w:val="center"/>
        </w:trPr>
        <w:tc>
          <w:tcPr>
            <w:tcW w:w="3140" w:type="dxa"/>
            <w:tcBorders>
              <w:top w:val="single" w:sz="8" w:space="0" w:color="000000"/>
              <w:bottom w:val="single" w:sz="4"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snapToGrid w:val="0"/>
                <w:kern w:val="0"/>
                <w:sz w:val="28"/>
                <w:szCs w:val="28"/>
              </w:rPr>
              <w:t>指</w:t>
            </w:r>
            <w:r>
              <w:rPr>
                <w:rFonts w:asciiTheme="minorEastAsia" w:eastAsiaTheme="minorEastAsia" w:hAnsiTheme="minorEastAsia" w:hint="eastAsia"/>
                <w:b/>
                <w:snapToGrid w:val="0"/>
                <w:kern w:val="0"/>
                <w:sz w:val="28"/>
                <w:szCs w:val="28"/>
              </w:rPr>
              <w:t xml:space="preserve">  </w:t>
            </w:r>
            <w:r>
              <w:rPr>
                <w:rFonts w:asciiTheme="minorEastAsia" w:eastAsiaTheme="minorEastAsia" w:hAnsiTheme="minorEastAsia"/>
                <w:b/>
                <w:snapToGrid w:val="0"/>
                <w:kern w:val="0"/>
                <w:sz w:val="28"/>
                <w:szCs w:val="28"/>
              </w:rPr>
              <w:t>标</w:t>
            </w:r>
          </w:p>
        </w:tc>
        <w:tc>
          <w:tcPr>
            <w:tcW w:w="2581" w:type="dxa"/>
            <w:tcBorders>
              <w:top w:val="single" w:sz="8" w:space="0" w:color="000000"/>
              <w:left w:val="single" w:sz="6" w:space="0" w:color="000000"/>
              <w:bottom w:val="single" w:sz="4" w:space="0" w:color="000000"/>
              <w:right w:val="single" w:sz="6"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snapToGrid w:val="0"/>
                <w:kern w:val="0"/>
                <w:sz w:val="28"/>
                <w:szCs w:val="28"/>
              </w:rPr>
              <w:t>年末数（亿元）</w:t>
            </w:r>
          </w:p>
        </w:tc>
        <w:tc>
          <w:tcPr>
            <w:tcW w:w="2613" w:type="dxa"/>
            <w:tcBorders>
              <w:top w:val="single" w:sz="8" w:space="0" w:color="000000"/>
              <w:left w:val="single" w:sz="6" w:space="0" w:color="000000"/>
              <w:bottom w:val="single" w:sz="4" w:space="0" w:color="000000"/>
            </w:tcBorders>
            <w:vAlign w:val="center"/>
          </w:tcPr>
          <w:p w:rsidR="00024185" w:rsidRDefault="00707518">
            <w:pPr>
              <w:adjustRightInd w:val="0"/>
              <w:snapToGrid w:val="0"/>
              <w:jc w:val="center"/>
              <w:rPr>
                <w:rFonts w:asciiTheme="minorEastAsia" w:eastAsiaTheme="minorEastAsia" w:hAnsiTheme="minorEastAsia"/>
                <w:b/>
                <w:snapToGrid w:val="0"/>
                <w:kern w:val="0"/>
                <w:sz w:val="28"/>
                <w:szCs w:val="28"/>
              </w:rPr>
            </w:pPr>
            <w:r>
              <w:rPr>
                <w:rFonts w:asciiTheme="minorEastAsia" w:eastAsiaTheme="minorEastAsia" w:hAnsiTheme="minorEastAsia"/>
                <w:b/>
                <w:snapToGrid w:val="0"/>
                <w:kern w:val="0"/>
                <w:sz w:val="28"/>
                <w:szCs w:val="28"/>
              </w:rPr>
              <w:t>比上年末增长（%）</w:t>
            </w:r>
          </w:p>
        </w:tc>
      </w:tr>
      <w:tr w:rsidR="00024185">
        <w:trPr>
          <w:trHeight w:val="567"/>
          <w:jc w:val="center"/>
        </w:trPr>
        <w:tc>
          <w:tcPr>
            <w:tcW w:w="3140" w:type="dxa"/>
            <w:tcBorders>
              <w:top w:val="single" w:sz="4" w:space="0" w:color="000000"/>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lastRenderedPageBreak/>
              <w:t>各项存款余额</w:t>
            </w:r>
          </w:p>
        </w:tc>
        <w:tc>
          <w:tcPr>
            <w:tcW w:w="2581" w:type="dxa"/>
            <w:tcBorders>
              <w:top w:val="single" w:sz="4" w:space="0" w:color="000000"/>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8877.29</w:t>
            </w:r>
          </w:p>
        </w:tc>
        <w:tc>
          <w:tcPr>
            <w:tcW w:w="2613" w:type="dxa"/>
            <w:tcBorders>
              <w:top w:val="single" w:sz="4" w:space="0" w:color="000000"/>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10.</w:t>
            </w:r>
            <w:r>
              <w:rPr>
                <w:rFonts w:asciiTheme="minorEastAsia" w:eastAsiaTheme="minorEastAsia" w:hAnsiTheme="minorEastAsia" w:hint="eastAsia"/>
                <w:snapToGrid w:val="0"/>
                <w:kern w:val="0"/>
                <w:sz w:val="28"/>
                <w:szCs w:val="28"/>
              </w:rPr>
              <w:t>3</w:t>
            </w:r>
          </w:p>
        </w:tc>
      </w:tr>
      <w:tr w:rsidR="00024185">
        <w:trPr>
          <w:trHeight w:val="567"/>
          <w:jc w:val="center"/>
        </w:trPr>
        <w:tc>
          <w:tcPr>
            <w:tcW w:w="3140" w:type="dxa"/>
            <w:tcBorders>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 xml:space="preserve">   </w:t>
            </w:r>
            <w:r>
              <w:rPr>
                <w:rFonts w:asciiTheme="minorEastAsia" w:eastAsiaTheme="minorEastAsia" w:hAnsiTheme="minorEastAsia" w:hint="eastAsia"/>
                <w:snapToGrid w:val="0"/>
                <w:kern w:val="0"/>
                <w:sz w:val="28"/>
                <w:szCs w:val="28"/>
              </w:rPr>
              <w:t xml:space="preserve"> 其中：</w:t>
            </w:r>
            <w:r>
              <w:rPr>
                <w:rFonts w:asciiTheme="minorEastAsia" w:eastAsiaTheme="minorEastAsia" w:hAnsiTheme="minorEastAsia"/>
                <w:snapToGrid w:val="0"/>
                <w:kern w:val="0"/>
                <w:sz w:val="28"/>
                <w:szCs w:val="28"/>
              </w:rPr>
              <w:t>住户存款</w:t>
            </w:r>
          </w:p>
        </w:tc>
        <w:tc>
          <w:tcPr>
            <w:tcW w:w="2581" w:type="dxa"/>
            <w:tcBorders>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7349.52</w:t>
            </w:r>
          </w:p>
        </w:tc>
        <w:tc>
          <w:tcPr>
            <w:tcW w:w="2613"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1</w:t>
            </w:r>
            <w:r>
              <w:rPr>
                <w:rFonts w:asciiTheme="minorEastAsia" w:eastAsiaTheme="minorEastAsia" w:hAnsiTheme="minorEastAsia" w:hint="eastAsia"/>
                <w:snapToGrid w:val="0"/>
                <w:kern w:val="0"/>
                <w:sz w:val="28"/>
                <w:szCs w:val="28"/>
              </w:rPr>
              <w:t>1.4</w:t>
            </w:r>
          </w:p>
        </w:tc>
      </w:tr>
      <w:tr w:rsidR="00024185">
        <w:trPr>
          <w:trHeight w:val="567"/>
          <w:jc w:val="center"/>
        </w:trPr>
        <w:tc>
          <w:tcPr>
            <w:tcW w:w="3140" w:type="dxa"/>
            <w:tcBorders>
              <w:right w:val="single" w:sz="6" w:space="0" w:color="000000"/>
            </w:tcBorders>
            <w:vAlign w:val="center"/>
          </w:tcPr>
          <w:p w:rsidR="00024185" w:rsidRDefault="00707518">
            <w:pPr>
              <w:adjustRightInd w:val="0"/>
              <w:snapToGrid w:val="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各项贷款余额</w:t>
            </w:r>
          </w:p>
        </w:tc>
        <w:tc>
          <w:tcPr>
            <w:tcW w:w="2581" w:type="dxa"/>
            <w:tcBorders>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4</w:t>
            </w:r>
            <w:r>
              <w:rPr>
                <w:rFonts w:asciiTheme="minorEastAsia" w:eastAsiaTheme="minorEastAsia" w:hAnsiTheme="minorEastAsia" w:hint="eastAsia"/>
                <w:snapToGrid w:val="0"/>
                <w:kern w:val="0"/>
                <w:sz w:val="28"/>
                <w:szCs w:val="28"/>
              </w:rPr>
              <w:t>725.10</w:t>
            </w:r>
          </w:p>
        </w:tc>
        <w:tc>
          <w:tcPr>
            <w:tcW w:w="2613"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2.7</w:t>
            </w:r>
          </w:p>
        </w:tc>
      </w:tr>
      <w:tr w:rsidR="00024185">
        <w:trPr>
          <w:trHeight w:val="567"/>
          <w:jc w:val="center"/>
        </w:trPr>
        <w:tc>
          <w:tcPr>
            <w:tcW w:w="3140" w:type="dxa"/>
            <w:tcBorders>
              <w:right w:val="single" w:sz="6" w:space="0" w:color="000000"/>
            </w:tcBorders>
            <w:vAlign w:val="center"/>
          </w:tcPr>
          <w:p w:rsidR="00024185" w:rsidRDefault="00707518">
            <w:pPr>
              <w:adjustRightInd w:val="0"/>
              <w:snapToGrid w:val="0"/>
              <w:ind w:firstLineChars="200" w:firstLine="56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其中：</w:t>
            </w:r>
            <w:r>
              <w:rPr>
                <w:rFonts w:asciiTheme="minorEastAsia" w:eastAsiaTheme="minorEastAsia" w:hAnsiTheme="minorEastAsia"/>
                <w:snapToGrid w:val="0"/>
                <w:kern w:val="0"/>
                <w:sz w:val="28"/>
                <w:szCs w:val="28"/>
              </w:rPr>
              <w:t>住户贷款</w:t>
            </w:r>
          </w:p>
        </w:tc>
        <w:tc>
          <w:tcPr>
            <w:tcW w:w="2581" w:type="dxa"/>
            <w:tcBorders>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1791.58</w:t>
            </w:r>
          </w:p>
        </w:tc>
        <w:tc>
          <w:tcPr>
            <w:tcW w:w="2613"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0.1</w:t>
            </w:r>
          </w:p>
        </w:tc>
      </w:tr>
      <w:tr w:rsidR="00024185">
        <w:trPr>
          <w:trHeight w:val="567"/>
          <w:jc w:val="center"/>
        </w:trPr>
        <w:tc>
          <w:tcPr>
            <w:tcW w:w="3140" w:type="dxa"/>
            <w:tcBorders>
              <w:right w:val="single" w:sz="6" w:space="0" w:color="000000"/>
            </w:tcBorders>
            <w:vAlign w:val="center"/>
          </w:tcPr>
          <w:p w:rsidR="00024185" w:rsidRDefault="00707518">
            <w:pPr>
              <w:adjustRightInd w:val="0"/>
              <w:snapToGrid w:val="0"/>
              <w:ind w:firstLineChars="200" w:firstLine="560"/>
              <w:jc w:val="lef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其中：</w:t>
            </w:r>
            <w:r>
              <w:rPr>
                <w:rFonts w:asciiTheme="minorEastAsia" w:eastAsiaTheme="minorEastAsia" w:hAnsiTheme="minorEastAsia"/>
                <w:snapToGrid w:val="0"/>
                <w:kern w:val="0"/>
                <w:sz w:val="28"/>
                <w:szCs w:val="28"/>
              </w:rPr>
              <w:t>短期贷款</w:t>
            </w:r>
          </w:p>
        </w:tc>
        <w:tc>
          <w:tcPr>
            <w:tcW w:w="2581" w:type="dxa"/>
            <w:tcBorders>
              <w:left w:val="single" w:sz="6"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1655.43</w:t>
            </w:r>
          </w:p>
        </w:tc>
        <w:tc>
          <w:tcPr>
            <w:tcW w:w="2613" w:type="dxa"/>
            <w:tcBorders>
              <w:lef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3.2</w:t>
            </w:r>
          </w:p>
        </w:tc>
      </w:tr>
      <w:tr w:rsidR="00024185">
        <w:trPr>
          <w:trHeight w:val="567"/>
          <w:jc w:val="center"/>
        </w:trPr>
        <w:tc>
          <w:tcPr>
            <w:tcW w:w="3140" w:type="dxa"/>
            <w:tcBorders>
              <w:bottom w:val="single" w:sz="8" w:space="0" w:color="000000"/>
              <w:right w:val="single" w:sz="6" w:space="0" w:color="000000"/>
            </w:tcBorders>
            <w:vAlign w:val="center"/>
          </w:tcPr>
          <w:p w:rsidR="00024185" w:rsidRDefault="00707518">
            <w:pPr>
              <w:adjustRightInd w:val="0"/>
              <w:snapToGrid w:val="0"/>
              <w:ind w:firstLineChars="500" w:firstLine="1400"/>
              <w:jc w:val="left"/>
              <w:rPr>
                <w:rFonts w:asciiTheme="minorEastAsia" w:eastAsiaTheme="minorEastAsia" w:hAnsiTheme="minorEastAsia"/>
                <w:snapToGrid w:val="0"/>
                <w:kern w:val="0"/>
                <w:sz w:val="28"/>
                <w:szCs w:val="28"/>
              </w:rPr>
            </w:pPr>
            <w:r>
              <w:rPr>
                <w:rFonts w:asciiTheme="minorEastAsia" w:eastAsiaTheme="minorEastAsia" w:hAnsiTheme="minorEastAsia"/>
                <w:snapToGrid w:val="0"/>
                <w:kern w:val="0"/>
                <w:sz w:val="28"/>
                <w:szCs w:val="28"/>
              </w:rPr>
              <w:t>中长期贷款</w:t>
            </w:r>
          </w:p>
        </w:tc>
        <w:tc>
          <w:tcPr>
            <w:tcW w:w="2581" w:type="dxa"/>
            <w:tcBorders>
              <w:left w:val="single" w:sz="6" w:space="0" w:color="000000"/>
              <w:bottom w:val="single" w:sz="8" w:space="0" w:color="000000"/>
              <w:right w:val="single" w:sz="6"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2563.57</w:t>
            </w:r>
          </w:p>
        </w:tc>
        <w:tc>
          <w:tcPr>
            <w:tcW w:w="2613" w:type="dxa"/>
            <w:tcBorders>
              <w:left w:val="single" w:sz="6" w:space="0" w:color="000000"/>
              <w:bottom w:val="single" w:sz="8" w:space="0" w:color="000000"/>
            </w:tcBorders>
            <w:vAlign w:val="center"/>
          </w:tcPr>
          <w:p w:rsidR="00024185" w:rsidRDefault="00707518">
            <w:pPr>
              <w:adjustRightInd w:val="0"/>
              <w:snapToGrid w:val="0"/>
              <w:jc w:val="right"/>
              <w:rPr>
                <w:rFonts w:asciiTheme="minorEastAsia" w:eastAsiaTheme="minorEastAsia" w:hAnsiTheme="minorEastAsia"/>
                <w:snapToGrid w:val="0"/>
                <w:kern w:val="0"/>
                <w:sz w:val="28"/>
                <w:szCs w:val="28"/>
              </w:rPr>
            </w:pPr>
            <w:r>
              <w:rPr>
                <w:rFonts w:asciiTheme="minorEastAsia" w:eastAsiaTheme="minorEastAsia" w:hAnsiTheme="minorEastAsia" w:hint="eastAsia"/>
                <w:snapToGrid w:val="0"/>
                <w:kern w:val="0"/>
                <w:sz w:val="28"/>
                <w:szCs w:val="28"/>
              </w:rPr>
              <w:t>-2.5</w:t>
            </w:r>
          </w:p>
        </w:tc>
      </w:tr>
    </w:tbl>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年末全市共有上市公司</w:t>
      </w:r>
      <w:r>
        <w:rPr>
          <w:rFonts w:ascii="仿宋_GB2312" w:eastAsia="仿宋_GB2312" w:hint="eastAsia"/>
          <w:sz w:val="32"/>
          <w:szCs w:val="32"/>
        </w:rPr>
        <w:t>8</w:t>
      </w:r>
      <w:r>
        <w:rPr>
          <w:rFonts w:ascii="仿宋_GB2312" w:eastAsia="仿宋_GB2312"/>
          <w:sz w:val="32"/>
          <w:szCs w:val="32"/>
        </w:rPr>
        <w:t>家，发行股票</w:t>
      </w:r>
      <w:r>
        <w:rPr>
          <w:rFonts w:ascii="仿宋_GB2312" w:eastAsia="仿宋_GB2312" w:hint="eastAsia"/>
          <w:sz w:val="32"/>
          <w:szCs w:val="32"/>
        </w:rPr>
        <w:t>8</w:t>
      </w:r>
      <w:r>
        <w:rPr>
          <w:rFonts w:ascii="仿宋_GB2312" w:eastAsia="仿宋_GB2312"/>
          <w:sz w:val="32"/>
          <w:szCs w:val="32"/>
        </w:rPr>
        <w:t>只。其中发行A股6只，发行境外股票</w:t>
      </w:r>
      <w:r>
        <w:rPr>
          <w:rFonts w:ascii="仿宋_GB2312" w:eastAsia="仿宋_GB2312" w:hint="eastAsia"/>
          <w:sz w:val="32"/>
          <w:szCs w:val="32"/>
        </w:rPr>
        <w:t>2</w:t>
      </w:r>
      <w:r>
        <w:rPr>
          <w:rFonts w:ascii="仿宋_GB2312" w:eastAsia="仿宋_GB2312"/>
          <w:sz w:val="32"/>
          <w:szCs w:val="32"/>
        </w:rPr>
        <w:t>只。年末A股上市公司流通股市价总值</w:t>
      </w:r>
      <w:r>
        <w:rPr>
          <w:rFonts w:ascii="仿宋_GB2312" w:eastAsia="仿宋_GB2312" w:hint="eastAsia"/>
          <w:sz w:val="32"/>
          <w:szCs w:val="32"/>
        </w:rPr>
        <w:t>2864.27</w:t>
      </w:r>
      <w:r>
        <w:rPr>
          <w:rFonts w:ascii="仿宋_GB2312" w:eastAsia="仿宋_GB2312"/>
          <w:sz w:val="32"/>
          <w:szCs w:val="32"/>
        </w:rPr>
        <w:t>亿元。</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全年全市保险公司保费收入</w:t>
      </w:r>
      <w:r>
        <w:rPr>
          <w:rFonts w:ascii="仿宋_GB2312" w:eastAsia="仿宋_GB2312" w:hint="eastAsia"/>
          <w:sz w:val="32"/>
          <w:szCs w:val="32"/>
        </w:rPr>
        <w:t>224.84</w:t>
      </w:r>
      <w:r>
        <w:rPr>
          <w:rFonts w:ascii="仿宋_GB2312" w:eastAsia="仿宋_GB2312"/>
          <w:sz w:val="32"/>
          <w:szCs w:val="32"/>
        </w:rPr>
        <w:t>亿元。其中，财产险保费收入</w:t>
      </w:r>
      <w:r>
        <w:rPr>
          <w:rFonts w:ascii="仿宋_GB2312" w:eastAsia="仿宋_GB2312" w:hint="eastAsia"/>
          <w:sz w:val="32"/>
          <w:szCs w:val="32"/>
        </w:rPr>
        <w:t>56.85</w:t>
      </w:r>
      <w:r>
        <w:rPr>
          <w:rFonts w:ascii="仿宋_GB2312" w:eastAsia="仿宋_GB2312"/>
          <w:sz w:val="32"/>
          <w:szCs w:val="32"/>
        </w:rPr>
        <w:t>亿元，人身险保费收入</w:t>
      </w:r>
      <w:r>
        <w:rPr>
          <w:rFonts w:ascii="仿宋_GB2312" w:eastAsia="仿宋_GB2312" w:hint="eastAsia"/>
          <w:sz w:val="32"/>
          <w:szCs w:val="32"/>
        </w:rPr>
        <w:t>167.98</w:t>
      </w:r>
      <w:r>
        <w:rPr>
          <w:rFonts w:ascii="仿宋_GB2312" w:eastAsia="仿宋_GB2312"/>
          <w:sz w:val="32"/>
          <w:szCs w:val="32"/>
        </w:rPr>
        <w:t>亿元。全年赔款支出及给付额为</w:t>
      </w:r>
      <w:r>
        <w:rPr>
          <w:rFonts w:ascii="仿宋_GB2312" w:eastAsia="仿宋_GB2312" w:hint="eastAsia"/>
          <w:sz w:val="32"/>
          <w:szCs w:val="32"/>
        </w:rPr>
        <w:t>100.32</w:t>
      </w:r>
      <w:r>
        <w:rPr>
          <w:rFonts w:ascii="仿宋_GB2312" w:eastAsia="仿宋_GB2312"/>
          <w:sz w:val="32"/>
          <w:szCs w:val="32"/>
        </w:rPr>
        <w:t>亿元。其中，财产险赔付</w:t>
      </w:r>
      <w:r>
        <w:rPr>
          <w:rFonts w:ascii="仿宋_GB2312" w:eastAsia="仿宋_GB2312" w:hint="eastAsia"/>
          <w:sz w:val="32"/>
          <w:szCs w:val="32"/>
        </w:rPr>
        <w:t>39.80</w:t>
      </w:r>
      <w:r>
        <w:rPr>
          <w:rFonts w:ascii="仿宋_GB2312" w:eastAsia="仿宋_GB2312"/>
          <w:sz w:val="32"/>
          <w:szCs w:val="32"/>
        </w:rPr>
        <w:t>亿元，人身险赔付</w:t>
      </w:r>
      <w:r>
        <w:rPr>
          <w:rFonts w:ascii="仿宋_GB2312" w:eastAsia="仿宋_GB2312" w:hint="eastAsia"/>
          <w:sz w:val="32"/>
          <w:szCs w:val="32"/>
        </w:rPr>
        <w:t>60.52</w:t>
      </w:r>
      <w:r>
        <w:rPr>
          <w:rFonts w:ascii="仿宋_GB2312" w:eastAsia="仿宋_GB2312"/>
          <w:sz w:val="32"/>
          <w:szCs w:val="32"/>
        </w:rPr>
        <w:t>亿元。</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九、教育和科学技术</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年末全市研究生培养单位1个，招生</w:t>
      </w:r>
      <w:r>
        <w:rPr>
          <w:rFonts w:ascii="仿宋_GB2312" w:eastAsia="仿宋_GB2312" w:hint="eastAsia"/>
          <w:sz w:val="32"/>
          <w:szCs w:val="32"/>
        </w:rPr>
        <w:t>400</w:t>
      </w:r>
      <w:r>
        <w:rPr>
          <w:rFonts w:ascii="仿宋_GB2312" w:eastAsia="仿宋_GB2312"/>
          <w:sz w:val="32"/>
          <w:szCs w:val="32"/>
        </w:rPr>
        <w:t>人，在学研究生</w:t>
      </w:r>
      <w:r>
        <w:rPr>
          <w:rFonts w:ascii="仿宋_GB2312" w:eastAsia="仿宋_GB2312" w:hint="eastAsia"/>
          <w:sz w:val="32"/>
          <w:szCs w:val="32"/>
        </w:rPr>
        <w:t>920</w:t>
      </w:r>
      <w:r>
        <w:rPr>
          <w:rFonts w:ascii="仿宋_GB2312" w:eastAsia="仿宋_GB2312"/>
          <w:sz w:val="32"/>
          <w:szCs w:val="32"/>
        </w:rPr>
        <w:t>人，毕业生</w:t>
      </w:r>
      <w:r>
        <w:rPr>
          <w:rFonts w:ascii="仿宋_GB2312" w:eastAsia="仿宋_GB2312" w:hint="eastAsia"/>
          <w:sz w:val="32"/>
          <w:szCs w:val="32"/>
        </w:rPr>
        <w:t>87</w:t>
      </w:r>
      <w:r>
        <w:rPr>
          <w:rFonts w:ascii="仿宋_GB2312" w:eastAsia="仿宋_GB2312"/>
          <w:sz w:val="32"/>
          <w:szCs w:val="32"/>
        </w:rPr>
        <w:t>人。拥有普通高等学校8所，全年招生4.</w:t>
      </w:r>
      <w:r>
        <w:rPr>
          <w:rFonts w:ascii="仿宋_GB2312" w:eastAsia="仿宋_GB2312" w:hint="eastAsia"/>
          <w:sz w:val="32"/>
          <w:szCs w:val="32"/>
        </w:rPr>
        <w:t>83</w:t>
      </w:r>
      <w:r>
        <w:rPr>
          <w:rFonts w:ascii="仿宋_GB2312" w:eastAsia="仿宋_GB2312"/>
          <w:sz w:val="32"/>
          <w:szCs w:val="32"/>
        </w:rPr>
        <w:t>万人，在校生</w:t>
      </w:r>
      <w:r>
        <w:rPr>
          <w:rFonts w:ascii="仿宋_GB2312" w:eastAsia="仿宋_GB2312" w:hint="eastAsia"/>
          <w:sz w:val="32"/>
          <w:szCs w:val="32"/>
        </w:rPr>
        <w:t>15.09</w:t>
      </w:r>
      <w:r>
        <w:rPr>
          <w:rFonts w:ascii="仿宋_GB2312" w:eastAsia="仿宋_GB2312"/>
          <w:sz w:val="32"/>
          <w:szCs w:val="32"/>
        </w:rPr>
        <w:t>万人，毕业生</w:t>
      </w:r>
      <w:r>
        <w:rPr>
          <w:rFonts w:ascii="仿宋_GB2312" w:eastAsia="仿宋_GB2312" w:hint="eastAsia"/>
          <w:sz w:val="32"/>
          <w:szCs w:val="32"/>
        </w:rPr>
        <w:t>3.88</w:t>
      </w:r>
      <w:r>
        <w:rPr>
          <w:rFonts w:ascii="仿宋_GB2312" w:eastAsia="仿宋_GB2312"/>
          <w:sz w:val="32"/>
          <w:szCs w:val="32"/>
        </w:rPr>
        <w:t>万人。成人高校招生0.</w:t>
      </w:r>
      <w:r>
        <w:rPr>
          <w:rFonts w:ascii="仿宋_GB2312" w:eastAsia="仿宋_GB2312" w:hint="eastAsia"/>
          <w:sz w:val="32"/>
          <w:szCs w:val="32"/>
        </w:rPr>
        <w:t>89</w:t>
      </w:r>
      <w:r>
        <w:rPr>
          <w:rFonts w:ascii="仿宋_GB2312" w:eastAsia="仿宋_GB2312"/>
          <w:sz w:val="32"/>
          <w:szCs w:val="32"/>
        </w:rPr>
        <w:t>万人，在校生1.9</w:t>
      </w:r>
      <w:r>
        <w:rPr>
          <w:rFonts w:ascii="仿宋_GB2312" w:eastAsia="仿宋_GB2312" w:hint="eastAsia"/>
          <w:sz w:val="32"/>
          <w:szCs w:val="32"/>
        </w:rPr>
        <w:t>8</w:t>
      </w:r>
      <w:r>
        <w:rPr>
          <w:rFonts w:ascii="仿宋_GB2312" w:eastAsia="仿宋_GB2312"/>
          <w:sz w:val="32"/>
          <w:szCs w:val="32"/>
        </w:rPr>
        <w:t>万人，毕业生</w:t>
      </w:r>
      <w:r>
        <w:rPr>
          <w:rFonts w:ascii="仿宋_GB2312" w:eastAsia="仿宋_GB2312" w:hint="eastAsia"/>
          <w:sz w:val="32"/>
          <w:szCs w:val="32"/>
        </w:rPr>
        <w:t>0.78</w:t>
      </w:r>
      <w:r>
        <w:rPr>
          <w:rFonts w:ascii="仿宋_GB2312" w:eastAsia="仿宋_GB2312"/>
          <w:sz w:val="32"/>
          <w:szCs w:val="32"/>
        </w:rPr>
        <w:t>万人。中等职业技术学校</w:t>
      </w:r>
      <w:r>
        <w:rPr>
          <w:rFonts w:ascii="仿宋_GB2312" w:eastAsia="仿宋_GB2312" w:hint="eastAsia"/>
          <w:sz w:val="32"/>
          <w:szCs w:val="32"/>
        </w:rPr>
        <w:t>57</w:t>
      </w:r>
      <w:r>
        <w:rPr>
          <w:rFonts w:ascii="仿宋_GB2312" w:eastAsia="仿宋_GB2312"/>
          <w:sz w:val="32"/>
          <w:szCs w:val="32"/>
        </w:rPr>
        <w:t>所，全年招生3.</w:t>
      </w:r>
      <w:r>
        <w:rPr>
          <w:rFonts w:ascii="仿宋_GB2312" w:eastAsia="仿宋_GB2312" w:hint="eastAsia"/>
          <w:sz w:val="32"/>
          <w:szCs w:val="32"/>
        </w:rPr>
        <w:t>37</w:t>
      </w:r>
      <w:r>
        <w:rPr>
          <w:rFonts w:ascii="仿宋_GB2312" w:eastAsia="仿宋_GB2312"/>
          <w:sz w:val="32"/>
          <w:szCs w:val="32"/>
        </w:rPr>
        <w:t>万人，在校生</w:t>
      </w:r>
      <w:r>
        <w:rPr>
          <w:rFonts w:ascii="仿宋_GB2312" w:eastAsia="仿宋_GB2312" w:hint="eastAsia"/>
          <w:sz w:val="32"/>
          <w:szCs w:val="32"/>
        </w:rPr>
        <w:t>9.56</w:t>
      </w:r>
      <w:r>
        <w:rPr>
          <w:rFonts w:ascii="仿宋_GB2312" w:eastAsia="仿宋_GB2312"/>
          <w:sz w:val="32"/>
          <w:szCs w:val="32"/>
        </w:rPr>
        <w:t>万人，毕业生</w:t>
      </w:r>
      <w:r>
        <w:rPr>
          <w:rFonts w:ascii="仿宋_GB2312" w:eastAsia="仿宋_GB2312" w:hint="eastAsia"/>
          <w:sz w:val="32"/>
          <w:szCs w:val="32"/>
        </w:rPr>
        <w:t>3.35</w:t>
      </w:r>
      <w:r>
        <w:rPr>
          <w:rFonts w:ascii="仿宋_GB2312" w:eastAsia="仿宋_GB2312"/>
          <w:sz w:val="32"/>
          <w:szCs w:val="32"/>
        </w:rPr>
        <w:t>万人。普通高中</w:t>
      </w:r>
      <w:r>
        <w:rPr>
          <w:rFonts w:ascii="仿宋_GB2312" w:eastAsia="仿宋_GB2312" w:hint="eastAsia"/>
          <w:sz w:val="32"/>
          <w:szCs w:val="32"/>
        </w:rPr>
        <w:t>142</w:t>
      </w:r>
      <w:r>
        <w:rPr>
          <w:rFonts w:ascii="仿宋_GB2312" w:eastAsia="仿宋_GB2312"/>
          <w:sz w:val="32"/>
          <w:szCs w:val="32"/>
        </w:rPr>
        <w:t>所，招生</w:t>
      </w:r>
      <w:r>
        <w:rPr>
          <w:rFonts w:ascii="仿宋_GB2312" w:eastAsia="仿宋_GB2312" w:hint="eastAsia"/>
          <w:sz w:val="32"/>
          <w:szCs w:val="32"/>
        </w:rPr>
        <w:t>11.51</w:t>
      </w:r>
      <w:r>
        <w:rPr>
          <w:rFonts w:ascii="仿宋_GB2312" w:eastAsia="仿宋_GB2312"/>
          <w:sz w:val="32"/>
          <w:szCs w:val="32"/>
        </w:rPr>
        <w:t>万人，在校生</w:t>
      </w:r>
      <w:r>
        <w:rPr>
          <w:rFonts w:ascii="仿宋_GB2312" w:eastAsia="仿宋_GB2312" w:hint="eastAsia"/>
          <w:sz w:val="32"/>
          <w:szCs w:val="32"/>
        </w:rPr>
        <w:t>34.11</w:t>
      </w:r>
      <w:r>
        <w:rPr>
          <w:rFonts w:ascii="仿宋_GB2312" w:eastAsia="仿宋_GB2312"/>
          <w:sz w:val="32"/>
          <w:szCs w:val="32"/>
        </w:rPr>
        <w:t>万人，毕业生</w:t>
      </w:r>
      <w:r>
        <w:rPr>
          <w:rFonts w:ascii="仿宋_GB2312" w:eastAsia="仿宋_GB2312" w:hint="eastAsia"/>
          <w:sz w:val="32"/>
          <w:szCs w:val="32"/>
        </w:rPr>
        <w:t>11.47</w:t>
      </w:r>
      <w:r>
        <w:rPr>
          <w:rFonts w:ascii="仿宋_GB2312" w:eastAsia="仿宋_GB2312"/>
          <w:sz w:val="32"/>
          <w:szCs w:val="32"/>
        </w:rPr>
        <w:t>万人。初中学校</w:t>
      </w:r>
      <w:r>
        <w:rPr>
          <w:rFonts w:ascii="仿宋_GB2312" w:eastAsia="仿宋_GB2312" w:hint="eastAsia"/>
          <w:sz w:val="32"/>
          <w:szCs w:val="32"/>
        </w:rPr>
        <w:t>456</w:t>
      </w:r>
      <w:r>
        <w:rPr>
          <w:rFonts w:ascii="仿宋_GB2312" w:eastAsia="仿宋_GB2312"/>
          <w:sz w:val="32"/>
          <w:szCs w:val="32"/>
        </w:rPr>
        <w:t>所，招生</w:t>
      </w:r>
      <w:r>
        <w:rPr>
          <w:rFonts w:ascii="仿宋_GB2312" w:eastAsia="仿宋_GB2312" w:hint="eastAsia"/>
          <w:sz w:val="32"/>
          <w:szCs w:val="32"/>
        </w:rPr>
        <w:t>17.75</w:t>
      </w:r>
      <w:r>
        <w:rPr>
          <w:rFonts w:ascii="仿宋_GB2312" w:eastAsia="仿宋_GB2312"/>
          <w:sz w:val="32"/>
          <w:szCs w:val="32"/>
        </w:rPr>
        <w:t>万人，在校生</w:t>
      </w:r>
      <w:r>
        <w:rPr>
          <w:rFonts w:ascii="仿宋_GB2312" w:eastAsia="仿宋_GB2312" w:hint="eastAsia"/>
          <w:sz w:val="32"/>
          <w:szCs w:val="32"/>
        </w:rPr>
        <w:t>54.67</w:t>
      </w:r>
      <w:r>
        <w:rPr>
          <w:rFonts w:ascii="仿宋_GB2312" w:eastAsia="仿宋_GB2312"/>
          <w:sz w:val="32"/>
          <w:szCs w:val="32"/>
        </w:rPr>
        <w:t>万人，毕业生</w:t>
      </w:r>
      <w:r>
        <w:rPr>
          <w:rFonts w:ascii="仿宋_GB2312" w:eastAsia="仿宋_GB2312" w:hint="eastAsia"/>
          <w:sz w:val="32"/>
          <w:szCs w:val="32"/>
        </w:rPr>
        <w:t>18.74</w:t>
      </w:r>
      <w:r>
        <w:rPr>
          <w:rFonts w:ascii="仿宋_GB2312" w:eastAsia="仿宋_GB2312"/>
          <w:sz w:val="32"/>
          <w:szCs w:val="32"/>
        </w:rPr>
        <w:t>万人。普通小学</w:t>
      </w:r>
      <w:r>
        <w:rPr>
          <w:rFonts w:ascii="仿宋_GB2312" w:eastAsia="仿宋_GB2312" w:hint="eastAsia"/>
          <w:sz w:val="32"/>
          <w:szCs w:val="32"/>
        </w:rPr>
        <w:t>1405</w:t>
      </w:r>
      <w:r>
        <w:rPr>
          <w:rFonts w:ascii="仿宋_GB2312" w:eastAsia="仿宋_GB2312"/>
          <w:sz w:val="32"/>
          <w:szCs w:val="32"/>
        </w:rPr>
        <w:t>所，招生</w:t>
      </w:r>
      <w:r>
        <w:rPr>
          <w:rFonts w:ascii="仿宋_GB2312" w:eastAsia="仿宋_GB2312" w:hint="eastAsia"/>
          <w:sz w:val="32"/>
          <w:szCs w:val="32"/>
        </w:rPr>
        <w:t>9.81</w:t>
      </w:r>
      <w:r>
        <w:rPr>
          <w:rFonts w:ascii="仿宋_GB2312" w:eastAsia="仿宋_GB2312"/>
          <w:sz w:val="32"/>
          <w:szCs w:val="32"/>
        </w:rPr>
        <w:t>万人，在校生</w:t>
      </w:r>
      <w:r>
        <w:rPr>
          <w:rFonts w:ascii="仿宋_GB2312" w:eastAsia="仿宋_GB2312" w:hint="eastAsia"/>
          <w:sz w:val="32"/>
          <w:szCs w:val="32"/>
        </w:rPr>
        <w:t>79.24</w:t>
      </w:r>
      <w:r>
        <w:rPr>
          <w:rFonts w:ascii="仿宋_GB2312" w:eastAsia="仿宋_GB2312"/>
          <w:sz w:val="32"/>
          <w:szCs w:val="32"/>
        </w:rPr>
        <w:t>万人，毕业生</w:t>
      </w:r>
      <w:r>
        <w:rPr>
          <w:rFonts w:ascii="仿宋_GB2312" w:eastAsia="仿宋_GB2312" w:hint="eastAsia"/>
          <w:sz w:val="32"/>
          <w:szCs w:val="32"/>
        </w:rPr>
        <w:t>17.78</w:t>
      </w:r>
      <w:r>
        <w:rPr>
          <w:rFonts w:ascii="仿宋_GB2312" w:eastAsia="仿宋_GB2312"/>
          <w:sz w:val="32"/>
          <w:szCs w:val="32"/>
        </w:rPr>
        <w:t>万人。特殊教育学校14所，招生</w:t>
      </w:r>
      <w:r>
        <w:rPr>
          <w:rFonts w:ascii="仿宋_GB2312" w:eastAsia="仿宋_GB2312" w:hint="eastAsia"/>
          <w:sz w:val="32"/>
          <w:szCs w:val="32"/>
        </w:rPr>
        <w:t>568</w:t>
      </w:r>
      <w:r>
        <w:rPr>
          <w:rFonts w:ascii="仿宋_GB2312" w:eastAsia="仿宋_GB2312"/>
          <w:sz w:val="32"/>
          <w:szCs w:val="32"/>
        </w:rPr>
        <w:t>人，在校生</w:t>
      </w:r>
      <w:r>
        <w:rPr>
          <w:rFonts w:ascii="仿宋_GB2312" w:eastAsia="仿宋_GB2312" w:hint="eastAsia"/>
          <w:sz w:val="32"/>
          <w:szCs w:val="32"/>
        </w:rPr>
        <w:lastRenderedPageBreak/>
        <w:t>3162</w:t>
      </w:r>
      <w:r>
        <w:rPr>
          <w:rFonts w:ascii="仿宋_GB2312" w:eastAsia="仿宋_GB2312"/>
          <w:sz w:val="32"/>
          <w:szCs w:val="32"/>
        </w:rPr>
        <w:t>人。幼儿园在园幼儿</w:t>
      </w:r>
      <w:r>
        <w:rPr>
          <w:rFonts w:ascii="仿宋_GB2312" w:eastAsia="仿宋_GB2312" w:hint="eastAsia"/>
          <w:sz w:val="32"/>
          <w:szCs w:val="32"/>
        </w:rPr>
        <w:t>22.32</w:t>
      </w:r>
      <w:r>
        <w:rPr>
          <w:rFonts w:ascii="仿宋_GB2312" w:eastAsia="仿宋_GB2312"/>
          <w:sz w:val="32"/>
          <w:szCs w:val="32"/>
        </w:rPr>
        <w:t>万人。全市全年资助困难学生</w:t>
      </w:r>
      <w:r>
        <w:rPr>
          <w:rFonts w:ascii="仿宋_GB2312" w:eastAsia="仿宋_GB2312" w:hint="eastAsia"/>
          <w:sz w:val="32"/>
          <w:szCs w:val="32"/>
        </w:rPr>
        <w:t>78.80</w:t>
      </w:r>
      <w:r>
        <w:rPr>
          <w:rFonts w:ascii="仿宋_GB2312" w:eastAsia="仿宋_GB2312"/>
          <w:sz w:val="32"/>
          <w:szCs w:val="32"/>
        </w:rPr>
        <w:t>万人次。</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年末全市共有省级及以上企业技术中心13</w:t>
      </w:r>
      <w:r>
        <w:rPr>
          <w:rFonts w:ascii="仿宋_GB2312" w:eastAsia="仿宋_GB2312" w:hint="eastAsia"/>
          <w:sz w:val="32"/>
          <w:szCs w:val="32"/>
        </w:rPr>
        <w:t>3</w:t>
      </w:r>
      <w:r>
        <w:rPr>
          <w:rFonts w:ascii="仿宋_GB2312" w:eastAsia="仿宋_GB2312"/>
          <w:sz w:val="32"/>
          <w:szCs w:val="32"/>
        </w:rPr>
        <w:t>个，其中国家级11个。省级及以上工程研究中心（工程实验室）4</w:t>
      </w:r>
      <w:r>
        <w:rPr>
          <w:rFonts w:ascii="仿宋_GB2312" w:eastAsia="仿宋_GB2312" w:hint="eastAsia"/>
          <w:sz w:val="32"/>
          <w:szCs w:val="32"/>
        </w:rPr>
        <w:t>3</w:t>
      </w:r>
      <w:r>
        <w:rPr>
          <w:rFonts w:ascii="仿宋_GB2312" w:eastAsia="仿宋_GB2312"/>
          <w:sz w:val="32"/>
          <w:szCs w:val="32"/>
        </w:rPr>
        <w:t>个，其中国家地方联合工程实验室1个。省级工程技术研究中心</w:t>
      </w:r>
      <w:r>
        <w:rPr>
          <w:rFonts w:ascii="仿宋_GB2312" w:eastAsia="仿宋_GB2312" w:hint="eastAsia"/>
          <w:sz w:val="32"/>
          <w:szCs w:val="32"/>
        </w:rPr>
        <w:t>369</w:t>
      </w:r>
      <w:r>
        <w:rPr>
          <w:rFonts w:ascii="仿宋_GB2312" w:eastAsia="仿宋_GB2312"/>
          <w:sz w:val="32"/>
          <w:szCs w:val="32"/>
        </w:rPr>
        <w:t>个，省级重点实验室</w:t>
      </w:r>
      <w:r>
        <w:rPr>
          <w:rFonts w:ascii="仿宋_GB2312" w:eastAsia="仿宋_GB2312" w:hint="eastAsia"/>
          <w:sz w:val="32"/>
          <w:szCs w:val="32"/>
        </w:rPr>
        <w:t>5</w:t>
      </w:r>
      <w:r>
        <w:rPr>
          <w:rFonts w:ascii="仿宋_GB2312" w:eastAsia="仿宋_GB2312"/>
          <w:sz w:val="32"/>
          <w:szCs w:val="32"/>
        </w:rPr>
        <w:t>个。启动实施</w:t>
      </w:r>
      <w:r>
        <w:rPr>
          <w:rFonts w:ascii="仿宋_GB2312" w:eastAsia="仿宋_GB2312" w:hint="eastAsia"/>
          <w:sz w:val="32"/>
          <w:szCs w:val="32"/>
        </w:rPr>
        <w:t>1</w:t>
      </w:r>
      <w:r>
        <w:rPr>
          <w:rFonts w:ascii="仿宋_GB2312" w:eastAsia="仿宋_GB2312"/>
          <w:sz w:val="32"/>
          <w:szCs w:val="32"/>
        </w:rPr>
        <w:t>8项重大科技专项。全年获得省级科技进步奖</w:t>
      </w:r>
      <w:r>
        <w:rPr>
          <w:rFonts w:ascii="仿宋_GB2312" w:eastAsia="仿宋_GB2312" w:hint="eastAsia"/>
          <w:sz w:val="32"/>
          <w:szCs w:val="32"/>
        </w:rPr>
        <w:t>9</w:t>
      </w:r>
      <w:r>
        <w:rPr>
          <w:rFonts w:ascii="仿宋_GB2312" w:eastAsia="仿宋_GB2312"/>
          <w:sz w:val="32"/>
          <w:szCs w:val="32"/>
        </w:rPr>
        <w:t>项。全年授权专利</w:t>
      </w:r>
      <w:r>
        <w:rPr>
          <w:rFonts w:ascii="仿宋_GB2312" w:eastAsia="仿宋_GB2312" w:hint="eastAsia"/>
          <w:sz w:val="32"/>
          <w:szCs w:val="32"/>
        </w:rPr>
        <w:t>4615</w:t>
      </w:r>
      <w:r>
        <w:rPr>
          <w:rFonts w:ascii="仿宋_GB2312" w:eastAsia="仿宋_GB2312"/>
          <w:sz w:val="32"/>
          <w:szCs w:val="32"/>
        </w:rPr>
        <w:t>件</w:t>
      </w:r>
      <w:r>
        <w:rPr>
          <w:rFonts w:ascii="仿宋_GB2312" w:eastAsia="仿宋_GB2312" w:hint="eastAsia"/>
          <w:sz w:val="32"/>
          <w:szCs w:val="32"/>
        </w:rPr>
        <w:t>，</w:t>
      </w:r>
      <w:r>
        <w:rPr>
          <w:rFonts w:ascii="仿宋_GB2312" w:eastAsia="仿宋_GB2312"/>
          <w:sz w:val="32"/>
          <w:szCs w:val="32"/>
        </w:rPr>
        <w:t>截至年底，有效发明专利</w:t>
      </w:r>
      <w:r>
        <w:rPr>
          <w:rFonts w:ascii="仿宋_GB2312" w:eastAsia="仿宋_GB2312" w:hint="eastAsia"/>
          <w:sz w:val="32"/>
          <w:szCs w:val="32"/>
        </w:rPr>
        <w:t>3367</w:t>
      </w:r>
      <w:r>
        <w:rPr>
          <w:rFonts w:ascii="仿宋_GB2312" w:eastAsia="仿宋_GB2312"/>
          <w:sz w:val="32"/>
          <w:szCs w:val="32"/>
        </w:rPr>
        <w:t>件。签订技术合同</w:t>
      </w:r>
      <w:r>
        <w:rPr>
          <w:rFonts w:ascii="仿宋_GB2312" w:eastAsia="仿宋_GB2312" w:hint="eastAsia"/>
          <w:sz w:val="32"/>
          <w:szCs w:val="32"/>
        </w:rPr>
        <w:t>5828</w:t>
      </w:r>
      <w:r>
        <w:rPr>
          <w:rFonts w:ascii="仿宋_GB2312" w:eastAsia="仿宋_GB2312"/>
          <w:sz w:val="32"/>
          <w:szCs w:val="32"/>
        </w:rPr>
        <w:t>份，技术合同成交金额</w:t>
      </w:r>
      <w:r>
        <w:rPr>
          <w:rFonts w:ascii="仿宋_GB2312" w:eastAsia="仿宋_GB2312" w:hint="eastAsia"/>
          <w:sz w:val="32"/>
          <w:szCs w:val="32"/>
        </w:rPr>
        <w:t>229</w:t>
      </w:r>
      <w:r>
        <w:rPr>
          <w:rFonts w:ascii="仿宋_GB2312" w:eastAsia="仿宋_GB2312"/>
          <w:sz w:val="32"/>
          <w:szCs w:val="32"/>
        </w:rPr>
        <w:t>亿元。</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年末全市有国家地理标志保护产品</w:t>
      </w:r>
      <w:r>
        <w:rPr>
          <w:rFonts w:ascii="仿宋_GB2312" w:eastAsia="仿宋_GB2312" w:hint="eastAsia"/>
          <w:sz w:val="32"/>
          <w:szCs w:val="32"/>
        </w:rPr>
        <w:t>23</w:t>
      </w:r>
      <w:r>
        <w:rPr>
          <w:rFonts w:ascii="仿宋_GB2312" w:eastAsia="仿宋_GB2312"/>
          <w:sz w:val="32"/>
          <w:szCs w:val="32"/>
        </w:rPr>
        <w:t>个。检验检测机构</w:t>
      </w:r>
      <w:r>
        <w:rPr>
          <w:rFonts w:ascii="仿宋_GB2312" w:eastAsia="仿宋_GB2312" w:hint="eastAsia"/>
          <w:sz w:val="32"/>
          <w:szCs w:val="32"/>
        </w:rPr>
        <w:t>237</w:t>
      </w:r>
      <w:r>
        <w:rPr>
          <w:rFonts w:ascii="仿宋_GB2312" w:eastAsia="仿宋_GB2312"/>
          <w:sz w:val="32"/>
          <w:szCs w:val="32"/>
        </w:rPr>
        <w:t>个，其中国家检测中心2个，省级检测中心5个。产品质量、体系认证机构1个。完成产品认证的企业</w:t>
      </w:r>
      <w:r>
        <w:rPr>
          <w:rFonts w:ascii="仿宋_GB2312" w:eastAsia="仿宋_GB2312" w:hint="eastAsia"/>
          <w:sz w:val="32"/>
          <w:szCs w:val="32"/>
        </w:rPr>
        <w:t>672</w:t>
      </w:r>
      <w:r>
        <w:rPr>
          <w:rFonts w:ascii="仿宋_GB2312" w:eastAsia="仿宋_GB2312"/>
          <w:sz w:val="32"/>
          <w:szCs w:val="32"/>
        </w:rPr>
        <w:t>个。法定计量技术机构12个。强制检定计量器具8.</w:t>
      </w:r>
      <w:r>
        <w:rPr>
          <w:rFonts w:ascii="仿宋_GB2312" w:eastAsia="仿宋_GB2312" w:hint="eastAsia"/>
          <w:sz w:val="32"/>
          <w:szCs w:val="32"/>
        </w:rPr>
        <w:t>96</w:t>
      </w:r>
      <w:r>
        <w:rPr>
          <w:rFonts w:ascii="仿宋_GB2312" w:eastAsia="仿宋_GB2312"/>
          <w:sz w:val="32"/>
          <w:szCs w:val="32"/>
        </w:rPr>
        <w:t>万台件。已立项制定、修订地方标准</w:t>
      </w:r>
      <w:r>
        <w:rPr>
          <w:rFonts w:ascii="仿宋_GB2312" w:eastAsia="仿宋_GB2312" w:hint="eastAsia"/>
          <w:sz w:val="32"/>
          <w:szCs w:val="32"/>
        </w:rPr>
        <w:t>6</w:t>
      </w:r>
      <w:r>
        <w:rPr>
          <w:rFonts w:ascii="仿宋_GB2312" w:eastAsia="仿宋_GB2312"/>
          <w:sz w:val="32"/>
          <w:szCs w:val="32"/>
        </w:rPr>
        <w:t>项，新建计量标准</w:t>
      </w:r>
      <w:r>
        <w:rPr>
          <w:rFonts w:ascii="仿宋_GB2312" w:eastAsia="仿宋_GB2312" w:hint="eastAsia"/>
          <w:sz w:val="32"/>
          <w:szCs w:val="32"/>
        </w:rPr>
        <w:t>19</w:t>
      </w:r>
      <w:r>
        <w:rPr>
          <w:rFonts w:ascii="仿宋_GB2312" w:eastAsia="仿宋_GB2312"/>
          <w:sz w:val="32"/>
          <w:szCs w:val="32"/>
        </w:rPr>
        <w:t>项。</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年末全市共有天气雷达观测站点1个</w:t>
      </w:r>
      <w:r>
        <w:rPr>
          <w:rFonts w:ascii="仿宋_GB2312" w:eastAsia="仿宋_GB2312" w:hint="eastAsia"/>
          <w:sz w:val="32"/>
          <w:szCs w:val="32"/>
        </w:rPr>
        <w:t>，</w:t>
      </w:r>
      <w:r>
        <w:rPr>
          <w:rFonts w:ascii="仿宋_GB2312" w:eastAsia="仿宋_GB2312"/>
          <w:sz w:val="32"/>
          <w:szCs w:val="32"/>
        </w:rPr>
        <w:t>卫星数据广播接收系统1个</w:t>
      </w:r>
      <w:r>
        <w:rPr>
          <w:rFonts w:ascii="仿宋_GB2312" w:eastAsia="仿宋_GB2312" w:hint="eastAsia"/>
          <w:sz w:val="32"/>
          <w:szCs w:val="32"/>
        </w:rPr>
        <w:t>，</w:t>
      </w:r>
      <w:r>
        <w:rPr>
          <w:rFonts w:ascii="仿宋_GB2312" w:eastAsia="仿宋_GB2312"/>
          <w:sz w:val="32"/>
          <w:szCs w:val="32"/>
        </w:rPr>
        <w:t>区域气象观测站30</w:t>
      </w:r>
      <w:r>
        <w:rPr>
          <w:rFonts w:ascii="仿宋_GB2312" w:eastAsia="仿宋_GB2312" w:hint="eastAsia"/>
          <w:sz w:val="32"/>
          <w:szCs w:val="32"/>
        </w:rPr>
        <w:t>5</w:t>
      </w:r>
      <w:r>
        <w:rPr>
          <w:rFonts w:ascii="仿宋_GB2312" w:eastAsia="仿宋_GB2312"/>
          <w:sz w:val="32"/>
          <w:szCs w:val="32"/>
        </w:rPr>
        <w:t>个</w:t>
      </w:r>
      <w:r>
        <w:rPr>
          <w:rFonts w:ascii="仿宋_GB2312" w:eastAsia="仿宋_GB2312" w:hint="eastAsia"/>
          <w:sz w:val="32"/>
          <w:szCs w:val="32"/>
        </w:rPr>
        <w:t>。</w:t>
      </w:r>
      <w:r>
        <w:rPr>
          <w:rFonts w:ascii="仿宋_GB2312" w:eastAsia="仿宋_GB2312"/>
          <w:sz w:val="32"/>
          <w:szCs w:val="32"/>
        </w:rPr>
        <w:t>地震观测站2</w:t>
      </w:r>
      <w:r>
        <w:rPr>
          <w:rFonts w:ascii="仿宋_GB2312" w:eastAsia="仿宋_GB2312" w:hint="eastAsia"/>
          <w:sz w:val="32"/>
          <w:szCs w:val="32"/>
        </w:rPr>
        <w:t>9</w:t>
      </w:r>
      <w:r>
        <w:rPr>
          <w:rFonts w:ascii="仿宋_GB2312" w:eastAsia="仿宋_GB2312"/>
          <w:sz w:val="32"/>
          <w:szCs w:val="32"/>
        </w:rPr>
        <w:t>个</w:t>
      </w:r>
      <w:r>
        <w:rPr>
          <w:rFonts w:ascii="仿宋_GB2312" w:eastAsia="仿宋_GB2312" w:hint="eastAsia"/>
          <w:sz w:val="32"/>
          <w:szCs w:val="32"/>
        </w:rPr>
        <w:t>，地震观测测项25个</w:t>
      </w:r>
      <w:r>
        <w:rPr>
          <w:rFonts w:ascii="仿宋_GB2312" w:eastAsia="仿宋_GB2312"/>
          <w:sz w:val="32"/>
          <w:szCs w:val="32"/>
        </w:rPr>
        <w:t>。</w:t>
      </w:r>
    </w:p>
    <w:p w:rsidR="00024185" w:rsidRDefault="00707518">
      <w:pPr>
        <w:spacing w:beforeLines="50" w:before="120" w:afterLines="50" w:after="120"/>
        <w:jc w:val="center"/>
        <w:rPr>
          <w:rFonts w:ascii="仿宋_GB2312" w:eastAsia="仿宋_GB2312"/>
          <w:sz w:val="32"/>
          <w:szCs w:val="32"/>
        </w:rPr>
      </w:pPr>
      <w:r>
        <w:rPr>
          <w:rFonts w:ascii="黑体" w:eastAsia="黑体" w:hAnsi="黑体"/>
          <w:sz w:val="36"/>
          <w:szCs w:val="36"/>
        </w:rPr>
        <w:t>十、文化、卫生和体育</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年末全市共有艺术表演团体</w:t>
      </w:r>
      <w:r>
        <w:rPr>
          <w:rFonts w:ascii="仿宋_GB2312" w:eastAsia="仿宋_GB2312" w:hint="eastAsia"/>
          <w:sz w:val="32"/>
          <w:szCs w:val="32"/>
        </w:rPr>
        <w:t>22</w:t>
      </w:r>
      <w:r>
        <w:rPr>
          <w:rFonts w:ascii="仿宋_GB2312" w:eastAsia="仿宋_GB2312"/>
          <w:sz w:val="32"/>
          <w:szCs w:val="32"/>
        </w:rPr>
        <w:t>个，文化馆16个，公共图书馆1</w:t>
      </w:r>
      <w:r>
        <w:rPr>
          <w:rFonts w:ascii="仿宋_GB2312" w:eastAsia="仿宋_GB2312" w:hint="eastAsia"/>
          <w:sz w:val="32"/>
          <w:szCs w:val="32"/>
        </w:rPr>
        <w:t>5</w:t>
      </w:r>
      <w:r>
        <w:rPr>
          <w:rFonts w:ascii="仿宋_GB2312" w:eastAsia="仿宋_GB2312"/>
          <w:sz w:val="32"/>
          <w:szCs w:val="32"/>
        </w:rPr>
        <w:t>个，博物馆2</w:t>
      </w:r>
      <w:r>
        <w:rPr>
          <w:rFonts w:ascii="仿宋_GB2312" w:eastAsia="仿宋_GB2312" w:hint="eastAsia"/>
          <w:sz w:val="32"/>
          <w:szCs w:val="32"/>
        </w:rPr>
        <w:t>4</w:t>
      </w:r>
      <w:r>
        <w:rPr>
          <w:rFonts w:ascii="仿宋_GB2312" w:eastAsia="仿宋_GB2312"/>
          <w:sz w:val="32"/>
          <w:szCs w:val="32"/>
        </w:rPr>
        <w:t>个；全国重点文物保护单位24处，省级重点文物保护单位</w:t>
      </w:r>
      <w:r>
        <w:rPr>
          <w:rFonts w:ascii="仿宋_GB2312" w:eastAsia="仿宋_GB2312" w:hint="eastAsia"/>
          <w:sz w:val="32"/>
          <w:szCs w:val="32"/>
        </w:rPr>
        <w:t>148</w:t>
      </w:r>
      <w:r>
        <w:rPr>
          <w:rFonts w:ascii="仿宋_GB2312" w:eastAsia="仿宋_GB2312"/>
          <w:sz w:val="32"/>
          <w:szCs w:val="32"/>
        </w:rPr>
        <w:t>处，入选国家级非物质文化遗产名录13个。广播人口覆盖率99.5</w:t>
      </w:r>
      <w:r>
        <w:rPr>
          <w:rFonts w:ascii="仿宋_GB2312" w:eastAsia="仿宋_GB2312" w:hint="eastAsia"/>
          <w:sz w:val="32"/>
          <w:szCs w:val="32"/>
        </w:rPr>
        <w:t>8</w:t>
      </w:r>
      <w:r>
        <w:rPr>
          <w:rFonts w:ascii="仿宋_GB2312" w:eastAsia="仿宋_GB2312"/>
          <w:sz w:val="32"/>
          <w:szCs w:val="32"/>
        </w:rPr>
        <w:t>%，电视人口覆盖率99.</w:t>
      </w:r>
      <w:r>
        <w:rPr>
          <w:rFonts w:ascii="仿宋_GB2312" w:eastAsia="仿宋_GB2312" w:hint="eastAsia"/>
          <w:sz w:val="32"/>
          <w:szCs w:val="32"/>
        </w:rPr>
        <w:t>15</w:t>
      </w:r>
      <w:r>
        <w:rPr>
          <w:rFonts w:ascii="仿宋_GB2312" w:eastAsia="仿宋_GB2312"/>
          <w:sz w:val="32"/>
          <w:szCs w:val="32"/>
        </w:rPr>
        <w:t>%。</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年末全市共有卫生机构</w:t>
      </w:r>
      <w:r>
        <w:rPr>
          <w:rFonts w:ascii="仿宋_GB2312" w:eastAsia="仿宋_GB2312" w:hint="eastAsia"/>
          <w:sz w:val="32"/>
          <w:szCs w:val="32"/>
        </w:rPr>
        <w:t>10109</w:t>
      </w:r>
      <w:r>
        <w:rPr>
          <w:rFonts w:ascii="仿宋_GB2312" w:eastAsia="仿宋_GB2312"/>
          <w:sz w:val="32"/>
          <w:szCs w:val="32"/>
        </w:rPr>
        <w:t>个，其中医院</w:t>
      </w:r>
      <w:r>
        <w:rPr>
          <w:rFonts w:ascii="仿宋_GB2312" w:eastAsia="仿宋_GB2312" w:hint="eastAsia"/>
          <w:sz w:val="32"/>
          <w:szCs w:val="32"/>
        </w:rPr>
        <w:t>234</w:t>
      </w:r>
      <w:r>
        <w:rPr>
          <w:rFonts w:ascii="仿宋_GB2312" w:eastAsia="仿宋_GB2312"/>
          <w:sz w:val="32"/>
          <w:szCs w:val="32"/>
        </w:rPr>
        <w:t>个，在医院中有公立医院7</w:t>
      </w:r>
      <w:r>
        <w:rPr>
          <w:rFonts w:ascii="仿宋_GB2312" w:eastAsia="仿宋_GB2312" w:hint="eastAsia"/>
          <w:sz w:val="32"/>
          <w:szCs w:val="32"/>
        </w:rPr>
        <w:t>7</w:t>
      </w:r>
      <w:r>
        <w:rPr>
          <w:rFonts w:ascii="仿宋_GB2312" w:eastAsia="仿宋_GB2312"/>
          <w:sz w:val="32"/>
          <w:szCs w:val="32"/>
        </w:rPr>
        <w:t>个，民营医院</w:t>
      </w:r>
      <w:r>
        <w:rPr>
          <w:rFonts w:ascii="仿宋_GB2312" w:eastAsia="仿宋_GB2312" w:hint="eastAsia"/>
          <w:sz w:val="32"/>
          <w:szCs w:val="32"/>
        </w:rPr>
        <w:t>157</w:t>
      </w:r>
      <w:r>
        <w:rPr>
          <w:rFonts w:ascii="仿宋_GB2312" w:eastAsia="仿宋_GB2312"/>
          <w:sz w:val="32"/>
          <w:szCs w:val="32"/>
        </w:rPr>
        <w:t>个；基层医疗卫生机</w:t>
      </w:r>
      <w:r>
        <w:rPr>
          <w:rFonts w:ascii="仿宋_GB2312" w:eastAsia="仿宋_GB2312"/>
          <w:sz w:val="32"/>
          <w:szCs w:val="32"/>
        </w:rPr>
        <w:lastRenderedPageBreak/>
        <w:t>构</w:t>
      </w:r>
      <w:r>
        <w:rPr>
          <w:rFonts w:ascii="仿宋_GB2312" w:eastAsia="仿宋_GB2312" w:hint="eastAsia"/>
          <w:sz w:val="32"/>
          <w:szCs w:val="32"/>
        </w:rPr>
        <w:t>9809</w:t>
      </w:r>
      <w:r>
        <w:rPr>
          <w:rFonts w:ascii="仿宋_GB2312" w:eastAsia="仿宋_GB2312"/>
          <w:sz w:val="32"/>
          <w:szCs w:val="32"/>
        </w:rPr>
        <w:t>个，其中社区卫生服务中心（站）</w:t>
      </w:r>
      <w:r>
        <w:rPr>
          <w:rFonts w:ascii="仿宋_GB2312" w:eastAsia="仿宋_GB2312" w:hint="eastAsia"/>
          <w:sz w:val="32"/>
          <w:szCs w:val="32"/>
        </w:rPr>
        <w:t>69</w:t>
      </w:r>
      <w:r>
        <w:rPr>
          <w:rFonts w:ascii="仿宋_GB2312" w:eastAsia="仿宋_GB2312"/>
          <w:sz w:val="32"/>
          <w:szCs w:val="32"/>
        </w:rPr>
        <w:t>个，卫生院215个，村卫生室</w:t>
      </w:r>
      <w:r>
        <w:rPr>
          <w:rFonts w:ascii="仿宋_GB2312" w:eastAsia="仿宋_GB2312" w:hint="eastAsia"/>
          <w:sz w:val="32"/>
          <w:szCs w:val="32"/>
        </w:rPr>
        <w:t>7097</w:t>
      </w:r>
      <w:r>
        <w:rPr>
          <w:rFonts w:ascii="仿宋_GB2312" w:eastAsia="仿宋_GB2312"/>
          <w:sz w:val="32"/>
          <w:szCs w:val="32"/>
        </w:rPr>
        <w:t>个，诊所</w:t>
      </w:r>
      <w:r>
        <w:rPr>
          <w:rFonts w:ascii="仿宋_GB2312" w:eastAsia="仿宋_GB2312" w:hint="eastAsia"/>
          <w:sz w:val="32"/>
          <w:szCs w:val="32"/>
        </w:rPr>
        <w:t>2005</w:t>
      </w:r>
      <w:r>
        <w:rPr>
          <w:rFonts w:ascii="仿宋_GB2312" w:eastAsia="仿宋_GB2312"/>
          <w:sz w:val="32"/>
          <w:szCs w:val="32"/>
        </w:rPr>
        <w:t>个；专业公共卫生机构</w:t>
      </w:r>
      <w:r>
        <w:rPr>
          <w:rFonts w:ascii="仿宋_GB2312" w:eastAsia="仿宋_GB2312" w:hint="eastAsia"/>
          <w:sz w:val="32"/>
          <w:szCs w:val="32"/>
        </w:rPr>
        <w:t>50</w:t>
      </w:r>
      <w:r>
        <w:rPr>
          <w:rFonts w:ascii="仿宋_GB2312" w:eastAsia="仿宋_GB2312"/>
          <w:sz w:val="32"/>
          <w:szCs w:val="32"/>
        </w:rPr>
        <w:t>个，其中疾病预防控制中心14个，专科疾病防治院（所、站）1个，妇幼保健院（所、站）14个，卫生监督所（中心）</w:t>
      </w:r>
      <w:r>
        <w:rPr>
          <w:rFonts w:ascii="仿宋_GB2312" w:eastAsia="仿宋_GB2312" w:hint="eastAsia"/>
          <w:sz w:val="32"/>
          <w:szCs w:val="32"/>
        </w:rPr>
        <w:t>8</w:t>
      </w:r>
      <w:r>
        <w:rPr>
          <w:rFonts w:ascii="仿宋_GB2312" w:eastAsia="仿宋_GB2312"/>
          <w:sz w:val="32"/>
          <w:szCs w:val="32"/>
        </w:rPr>
        <w:t>个。卫生机构床位</w:t>
      </w:r>
      <w:r>
        <w:rPr>
          <w:rFonts w:ascii="仿宋_GB2312" w:eastAsia="仿宋_GB2312" w:hint="eastAsia"/>
          <w:sz w:val="32"/>
          <w:szCs w:val="32"/>
        </w:rPr>
        <w:t>7.93</w:t>
      </w:r>
      <w:r>
        <w:rPr>
          <w:rFonts w:ascii="仿宋_GB2312" w:eastAsia="仿宋_GB2312"/>
          <w:sz w:val="32"/>
          <w:szCs w:val="32"/>
        </w:rPr>
        <w:t>万张，其中医院5.</w:t>
      </w:r>
      <w:r>
        <w:rPr>
          <w:rFonts w:ascii="仿宋_GB2312" w:eastAsia="仿宋_GB2312" w:hint="eastAsia"/>
          <w:sz w:val="32"/>
          <w:szCs w:val="32"/>
        </w:rPr>
        <w:t>63</w:t>
      </w:r>
      <w:r>
        <w:rPr>
          <w:rFonts w:ascii="仿宋_GB2312" w:eastAsia="仿宋_GB2312"/>
          <w:sz w:val="32"/>
          <w:szCs w:val="32"/>
        </w:rPr>
        <w:t>万张，卫生院1.7</w:t>
      </w:r>
      <w:r>
        <w:rPr>
          <w:rFonts w:ascii="仿宋_GB2312" w:eastAsia="仿宋_GB2312" w:hint="eastAsia"/>
          <w:sz w:val="32"/>
          <w:szCs w:val="32"/>
        </w:rPr>
        <w:t>6</w:t>
      </w:r>
      <w:r>
        <w:rPr>
          <w:rFonts w:ascii="仿宋_GB2312" w:eastAsia="仿宋_GB2312"/>
          <w:sz w:val="32"/>
          <w:szCs w:val="32"/>
        </w:rPr>
        <w:t>万张。年末卫生技术人员</w:t>
      </w:r>
      <w:r>
        <w:rPr>
          <w:rFonts w:ascii="仿宋_GB2312" w:eastAsia="仿宋_GB2312" w:hint="eastAsia"/>
          <w:sz w:val="32"/>
          <w:szCs w:val="32"/>
        </w:rPr>
        <w:t>9.11</w:t>
      </w:r>
      <w:r>
        <w:rPr>
          <w:rFonts w:ascii="仿宋_GB2312" w:eastAsia="仿宋_GB2312"/>
          <w:sz w:val="32"/>
          <w:szCs w:val="32"/>
        </w:rPr>
        <w:t>万人，其中执业（助理）医师</w:t>
      </w:r>
      <w:r>
        <w:rPr>
          <w:rFonts w:ascii="仿宋_GB2312" w:eastAsia="仿宋_GB2312" w:hint="eastAsia"/>
          <w:sz w:val="32"/>
          <w:szCs w:val="32"/>
        </w:rPr>
        <w:t>3.55</w:t>
      </w:r>
      <w:r>
        <w:rPr>
          <w:rFonts w:ascii="仿宋_GB2312" w:eastAsia="仿宋_GB2312"/>
          <w:sz w:val="32"/>
          <w:szCs w:val="32"/>
        </w:rPr>
        <w:t>万人，注册护士</w:t>
      </w:r>
      <w:r>
        <w:rPr>
          <w:rFonts w:ascii="仿宋_GB2312" w:eastAsia="仿宋_GB2312" w:hint="eastAsia"/>
          <w:sz w:val="32"/>
          <w:szCs w:val="32"/>
        </w:rPr>
        <w:t>4.17</w:t>
      </w:r>
      <w:r>
        <w:rPr>
          <w:rFonts w:ascii="仿宋_GB2312" w:eastAsia="仿宋_GB2312"/>
          <w:sz w:val="32"/>
          <w:szCs w:val="32"/>
        </w:rPr>
        <w:t>万人。按机构分，医院卫生技术人员</w:t>
      </w:r>
      <w:r>
        <w:rPr>
          <w:rFonts w:ascii="仿宋_GB2312" w:eastAsia="仿宋_GB2312" w:hint="eastAsia"/>
          <w:sz w:val="32"/>
          <w:szCs w:val="32"/>
        </w:rPr>
        <w:t>5.37</w:t>
      </w:r>
      <w:r>
        <w:rPr>
          <w:rFonts w:ascii="仿宋_GB2312" w:eastAsia="仿宋_GB2312"/>
          <w:sz w:val="32"/>
          <w:szCs w:val="32"/>
        </w:rPr>
        <w:t>万人，卫生院卫生技术人员</w:t>
      </w:r>
      <w:r>
        <w:rPr>
          <w:rFonts w:ascii="仿宋_GB2312" w:eastAsia="仿宋_GB2312" w:hint="eastAsia"/>
          <w:sz w:val="32"/>
          <w:szCs w:val="32"/>
        </w:rPr>
        <w:t>1.29</w:t>
      </w:r>
      <w:r>
        <w:rPr>
          <w:rFonts w:ascii="仿宋_GB2312" w:eastAsia="仿宋_GB2312"/>
          <w:sz w:val="32"/>
          <w:szCs w:val="32"/>
        </w:rPr>
        <w:t>万人，社区卫生服务中心（站）卫生技术人员</w:t>
      </w:r>
      <w:r>
        <w:rPr>
          <w:rFonts w:ascii="仿宋_GB2312" w:eastAsia="仿宋_GB2312" w:hint="eastAsia"/>
          <w:sz w:val="32"/>
          <w:szCs w:val="32"/>
        </w:rPr>
        <w:t>0.24</w:t>
      </w:r>
      <w:r>
        <w:rPr>
          <w:rFonts w:ascii="仿宋_GB2312" w:eastAsia="仿宋_GB2312"/>
          <w:sz w:val="32"/>
          <w:szCs w:val="32"/>
        </w:rPr>
        <w:t>万人，疾病预防控制中心卫生技术人员</w:t>
      </w:r>
      <w:r>
        <w:rPr>
          <w:rFonts w:ascii="仿宋_GB2312" w:eastAsia="仿宋_GB2312" w:hint="eastAsia"/>
          <w:sz w:val="32"/>
          <w:szCs w:val="32"/>
        </w:rPr>
        <w:t>0.1</w:t>
      </w:r>
      <w:r>
        <w:rPr>
          <w:rFonts w:ascii="仿宋_GB2312" w:eastAsia="仿宋_GB2312"/>
          <w:sz w:val="32"/>
          <w:szCs w:val="32"/>
        </w:rPr>
        <w:t>万人，妇幼保健院（所、站）卫生技术人员</w:t>
      </w:r>
      <w:r>
        <w:rPr>
          <w:rFonts w:ascii="仿宋_GB2312" w:eastAsia="仿宋_GB2312" w:hint="eastAsia"/>
          <w:sz w:val="32"/>
          <w:szCs w:val="32"/>
        </w:rPr>
        <w:t>0.33</w:t>
      </w:r>
      <w:r>
        <w:rPr>
          <w:rFonts w:ascii="仿宋_GB2312" w:eastAsia="仿宋_GB2312"/>
          <w:sz w:val="32"/>
          <w:szCs w:val="32"/>
        </w:rPr>
        <w:t>万人。全年总治疗人数</w:t>
      </w:r>
      <w:r>
        <w:rPr>
          <w:rFonts w:ascii="仿宋_GB2312" w:eastAsia="仿宋_GB2312" w:hint="eastAsia"/>
          <w:sz w:val="32"/>
          <w:szCs w:val="32"/>
        </w:rPr>
        <w:t>6399.24</w:t>
      </w:r>
      <w:r>
        <w:rPr>
          <w:rFonts w:ascii="仿宋_GB2312" w:eastAsia="仿宋_GB2312"/>
          <w:sz w:val="32"/>
          <w:szCs w:val="32"/>
        </w:rPr>
        <w:t>万人</w:t>
      </w:r>
      <w:r>
        <w:rPr>
          <w:rFonts w:ascii="仿宋_GB2312" w:eastAsia="仿宋_GB2312" w:hint="eastAsia"/>
          <w:sz w:val="32"/>
          <w:szCs w:val="32"/>
        </w:rPr>
        <w:t>次</w:t>
      </w:r>
      <w:r>
        <w:rPr>
          <w:rFonts w:ascii="仿宋_GB2312" w:eastAsia="仿宋_GB2312"/>
          <w:sz w:val="32"/>
          <w:szCs w:val="32"/>
        </w:rPr>
        <w:t>，总出院人数</w:t>
      </w:r>
      <w:r>
        <w:rPr>
          <w:rFonts w:ascii="仿宋_GB2312" w:eastAsia="仿宋_GB2312" w:hint="eastAsia"/>
          <w:sz w:val="32"/>
          <w:szCs w:val="32"/>
        </w:rPr>
        <w:t>245.75</w:t>
      </w:r>
      <w:r>
        <w:rPr>
          <w:rFonts w:ascii="仿宋_GB2312" w:eastAsia="仿宋_GB2312"/>
          <w:sz w:val="32"/>
          <w:szCs w:val="32"/>
        </w:rPr>
        <w:t>万人。</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全年全市获得世界冠军</w:t>
      </w:r>
      <w:r>
        <w:rPr>
          <w:rFonts w:ascii="仿宋_GB2312" w:eastAsia="仿宋_GB2312" w:hint="eastAsia"/>
          <w:sz w:val="32"/>
          <w:szCs w:val="32"/>
        </w:rPr>
        <w:t>4</w:t>
      </w:r>
      <w:r>
        <w:rPr>
          <w:rFonts w:ascii="仿宋_GB2312" w:eastAsia="仿宋_GB2312"/>
          <w:sz w:val="32"/>
          <w:szCs w:val="32"/>
        </w:rPr>
        <w:t>个，全国冠军</w:t>
      </w:r>
      <w:r>
        <w:rPr>
          <w:rFonts w:ascii="仿宋_GB2312" w:eastAsia="仿宋_GB2312" w:hint="eastAsia"/>
          <w:sz w:val="32"/>
          <w:szCs w:val="32"/>
        </w:rPr>
        <w:t>11</w:t>
      </w:r>
      <w:r>
        <w:rPr>
          <w:rFonts w:ascii="仿宋_GB2312" w:eastAsia="仿宋_GB2312"/>
          <w:sz w:val="32"/>
          <w:szCs w:val="32"/>
        </w:rPr>
        <w:t>个，获得金牌</w:t>
      </w:r>
      <w:r>
        <w:rPr>
          <w:rFonts w:ascii="仿宋_GB2312" w:eastAsia="仿宋_GB2312" w:hint="eastAsia"/>
          <w:sz w:val="32"/>
          <w:szCs w:val="32"/>
        </w:rPr>
        <w:t>56</w:t>
      </w:r>
      <w:r>
        <w:rPr>
          <w:rFonts w:ascii="仿宋_GB2312" w:eastAsia="仿宋_GB2312"/>
          <w:sz w:val="32"/>
          <w:szCs w:val="32"/>
        </w:rPr>
        <w:t>枚。</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十一、人民生活和社会保障</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全年全市居民人均可支配收入3</w:t>
      </w:r>
      <w:r>
        <w:rPr>
          <w:rFonts w:ascii="仿宋_GB2312" w:eastAsia="仿宋_GB2312" w:hint="eastAsia"/>
          <w:sz w:val="32"/>
          <w:szCs w:val="32"/>
        </w:rPr>
        <w:t>2012</w:t>
      </w:r>
      <w:r>
        <w:rPr>
          <w:rFonts w:ascii="仿宋_GB2312" w:eastAsia="仿宋_GB2312"/>
          <w:sz w:val="32"/>
          <w:szCs w:val="32"/>
        </w:rPr>
        <w:t>元，比上年增长</w:t>
      </w:r>
      <w:r>
        <w:rPr>
          <w:rFonts w:ascii="仿宋_GB2312" w:eastAsia="仿宋_GB2312" w:hint="eastAsia"/>
          <w:sz w:val="32"/>
          <w:szCs w:val="32"/>
        </w:rPr>
        <w:t>4.9</w:t>
      </w:r>
      <w:r>
        <w:rPr>
          <w:rFonts w:ascii="仿宋_GB2312" w:eastAsia="仿宋_GB2312"/>
          <w:sz w:val="32"/>
          <w:szCs w:val="32"/>
        </w:rPr>
        <w:t>%；人均消费支出2</w:t>
      </w:r>
      <w:r>
        <w:rPr>
          <w:rFonts w:ascii="仿宋_GB2312" w:eastAsia="仿宋_GB2312" w:hint="eastAsia"/>
          <w:sz w:val="32"/>
          <w:szCs w:val="32"/>
        </w:rPr>
        <w:t>1127</w:t>
      </w:r>
      <w:r>
        <w:rPr>
          <w:rFonts w:ascii="仿宋_GB2312" w:eastAsia="仿宋_GB2312"/>
          <w:sz w:val="32"/>
          <w:szCs w:val="32"/>
        </w:rPr>
        <w:t>元，增长</w:t>
      </w:r>
      <w:r>
        <w:rPr>
          <w:rFonts w:ascii="仿宋_GB2312" w:eastAsia="仿宋_GB2312" w:hint="eastAsia"/>
          <w:sz w:val="32"/>
          <w:szCs w:val="32"/>
        </w:rPr>
        <w:t>3.5</w:t>
      </w:r>
      <w:r>
        <w:rPr>
          <w:rFonts w:ascii="仿宋_GB2312" w:eastAsia="仿宋_GB2312"/>
          <w:sz w:val="32"/>
          <w:szCs w:val="32"/>
        </w:rPr>
        <w:t>%。按常住地分，城镇居民人均可支配收入4</w:t>
      </w:r>
      <w:r>
        <w:rPr>
          <w:rFonts w:ascii="仿宋_GB2312" w:eastAsia="仿宋_GB2312" w:hint="eastAsia"/>
          <w:sz w:val="32"/>
          <w:szCs w:val="32"/>
        </w:rPr>
        <w:t>3685</w:t>
      </w:r>
      <w:r>
        <w:rPr>
          <w:rFonts w:ascii="仿宋_GB2312" w:eastAsia="仿宋_GB2312"/>
          <w:sz w:val="32"/>
          <w:szCs w:val="32"/>
        </w:rPr>
        <w:t>元，增长</w:t>
      </w:r>
      <w:r>
        <w:rPr>
          <w:rFonts w:ascii="仿宋_GB2312" w:eastAsia="仿宋_GB2312" w:hint="eastAsia"/>
          <w:sz w:val="32"/>
          <w:szCs w:val="32"/>
        </w:rPr>
        <w:t>4.2</w:t>
      </w:r>
      <w:r>
        <w:rPr>
          <w:rFonts w:ascii="仿宋_GB2312" w:eastAsia="仿宋_GB2312"/>
          <w:sz w:val="32"/>
          <w:szCs w:val="32"/>
        </w:rPr>
        <w:t>%；城镇居民人均消费支出26</w:t>
      </w:r>
      <w:r>
        <w:rPr>
          <w:rFonts w:ascii="仿宋_GB2312" w:eastAsia="仿宋_GB2312" w:hint="eastAsia"/>
          <w:sz w:val="32"/>
          <w:szCs w:val="32"/>
        </w:rPr>
        <w:t>845</w:t>
      </w:r>
      <w:r>
        <w:rPr>
          <w:rFonts w:ascii="仿宋_GB2312" w:eastAsia="仿宋_GB2312"/>
          <w:sz w:val="32"/>
          <w:szCs w:val="32"/>
        </w:rPr>
        <w:t>元，增长</w:t>
      </w:r>
      <w:r>
        <w:rPr>
          <w:rFonts w:ascii="仿宋_GB2312" w:eastAsia="仿宋_GB2312" w:hint="eastAsia"/>
          <w:sz w:val="32"/>
          <w:szCs w:val="32"/>
        </w:rPr>
        <w:t>2.9</w:t>
      </w:r>
      <w:r>
        <w:rPr>
          <w:rFonts w:ascii="仿宋_GB2312" w:eastAsia="仿宋_GB2312"/>
          <w:sz w:val="32"/>
          <w:szCs w:val="32"/>
        </w:rPr>
        <w:t>%。农村居民人均可支配收入2</w:t>
      </w:r>
      <w:r>
        <w:rPr>
          <w:rFonts w:ascii="仿宋_GB2312" w:eastAsia="仿宋_GB2312" w:hint="eastAsia"/>
          <w:sz w:val="32"/>
          <w:szCs w:val="32"/>
        </w:rPr>
        <w:t>3177</w:t>
      </w:r>
      <w:r>
        <w:rPr>
          <w:rFonts w:ascii="仿宋_GB2312" w:eastAsia="仿宋_GB2312"/>
          <w:sz w:val="32"/>
          <w:szCs w:val="32"/>
        </w:rPr>
        <w:t>元，增长</w:t>
      </w:r>
      <w:r>
        <w:rPr>
          <w:rFonts w:ascii="仿宋_GB2312" w:eastAsia="仿宋_GB2312" w:hint="eastAsia"/>
          <w:sz w:val="32"/>
          <w:szCs w:val="32"/>
        </w:rPr>
        <w:t>5.7</w:t>
      </w:r>
      <w:r>
        <w:rPr>
          <w:rFonts w:ascii="仿宋_GB2312" w:eastAsia="仿宋_GB2312"/>
          <w:sz w:val="32"/>
          <w:szCs w:val="32"/>
        </w:rPr>
        <w:t>%；农村居民人均消费支出16</w:t>
      </w:r>
      <w:r>
        <w:rPr>
          <w:rFonts w:ascii="仿宋_GB2312" w:eastAsia="仿宋_GB2312" w:hint="eastAsia"/>
          <w:sz w:val="32"/>
          <w:szCs w:val="32"/>
        </w:rPr>
        <w:t>799</w:t>
      </w:r>
      <w:r>
        <w:rPr>
          <w:rFonts w:ascii="仿宋_GB2312" w:eastAsia="仿宋_GB2312"/>
          <w:sz w:val="32"/>
          <w:szCs w:val="32"/>
        </w:rPr>
        <w:t>元，增长</w:t>
      </w:r>
      <w:r>
        <w:rPr>
          <w:rFonts w:ascii="仿宋_GB2312" w:eastAsia="仿宋_GB2312" w:hint="eastAsia"/>
          <w:sz w:val="32"/>
          <w:szCs w:val="32"/>
        </w:rPr>
        <w:t>4.1</w:t>
      </w:r>
      <w:r>
        <w:rPr>
          <w:rFonts w:ascii="仿宋_GB2312" w:eastAsia="仿宋_GB2312"/>
          <w:sz w:val="32"/>
          <w:szCs w:val="32"/>
        </w:rPr>
        <w:t>%。</w:t>
      </w:r>
    </w:p>
    <w:p w:rsidR="00024185" w:rsidRPr="00C76998" w:rsidRDefault="00707518">
      <w:pPr>
        <w:spacing w:line="560" w:lineRule="exact"/>
        <w:jc w:val="center"/>
        <w:rPr>
          <w:rFonts w:ascii="宋体" w:hAnsi="宋体" w:cs="宋体"/>
          <w:b/>
          <w:bCs/>
          <w:spacing w:val="-10"/>
          <w:kern w:val="0"/>
          <w:sz w:val="32"/>
          <w:szCs w:val="32"/>
        </w:rPr>
      </w:pPr>
      <w:r w:rsidRPr="00C76998">
        <w:rPr>
          <w:rFonts w:ascii="宋体" w:hAnsi="宋体" w:cs="宋体"/>
          <w:b/>
          <w:bCs/>
          <w:spacing w:val="-10"/>
          <w:kern w:val="0"/>
          <w:sz w:val="32"/>
          <w:szCs w:val="32"/>
        </w:rPr>
        <w:t>图</w:t>
      </w:r>
      <w:r w:rsidRPr="00C76998">
        <w:rPr>
          <w:rFonts w:ascii="宋体" w:hAnsi="宋体" w:cs="宋体" w:hint="eastAsia"/>
          <w:b/>
          <w:bCs/>
          <w:spacing w:val="-10"/>
          <w:kern w:val="0"/>
          <w:sz w:val="32"/>
          <w:szCs w:val="32"/>
        </w:rPr>
        <w:t>6</w:t>
      </w:r>
      <w:r w:rsidRPr="00C76998">
        <w:rPr>
          <w:rFonts w:ascii="宋体" w:hAnsi="宋体" w:cs="宋体"/>
          <w:b/>
          <w:bCs/>
          <w:spacing w:val="-10"/>
          <w:kern w:val="0"/>
          <w:sz w:val="32"/>
          <w:szCs w:val="32"/>
        </w:rPr>
        <w:t xml:space="preserve">  202</w:t>
      </w:r>
      <w:r w:rsidRPr="00C76998">
        <w:rPr>
          <w:rFonts w:ascii="宋体" w:hAnsi="宋体" w:cs="宋体" w:hint="eastAsia"/>
          <w:b/>
          <w:bCs/>
          <w:spacing w:val="-10"/>
          <w:kern w:val="0"/>
          <w:sz w:val="32"/>
          <w:szCs w:val="32"/>
        </w:rPr>
        <w:t>1</w:t>
      </w:r>
      <w:r w:rsidRPr="00C76998">
        <w:rPr>
          <w:rFonts w:ascii="宋体" w:hAnsi="宋体" w:cs="宋体"/>
          <w:b/>
          <w:bCs/>
          <w:spacing w:val="-10"/>
          <w:kern w:val="0"/>
          <w:sz w:val="32"/>
          <w:szCs w:val="32"/>
        </w:rPr>
        <w:t>-202</w:t>
      </w:r>
      <w:r w:rsidRPr="00C76998">
        <w:rPr>
          <w:rFonts w:ascii="宋体" w:hAnsi="宋体" w:cs="宋体" w:hint="eastAsia"/>
          <w:b/>
          <w:bCs/>
          <w:spacing w:val="-10"/>
          <w:kern w:val="0"/>
          <w:sz w:val="32"/>
          <w:szCs w:val="32"/>
        </w:rPr>
        <w:t>5</w:t>
      </w:r>
      <w:r w:rsidRPr="00C76998">
        <w:rPr>
          <w:rFonts w:ascii="宋体" w:hAnsi="宋体" w:cs="宋体"/>
          <w:b/>
          <w:bCs/>
          <w:spacing w:val="-10"/>
          <w:kern w:val="0"/>
          <w:sz w:val="32"/>
          <w:szCs w:val="32"/>
        </w:rPr>
        <w:t>年南阳市居民人均可支配收入</w:t>
      </w:r>
      <w:r w:rsidRPr="00C76998">
        <w:rPr>
          <w:rFonts w:ascii="宋体" w:hAnsi="宋体" w:cs="宋体" w:hint="eastAsia"/>
          <w:b/>
          <w:bCs/>
          <w:spacing w:val="-10"/>
          <w:kern w:val="0"/>
          <w:sz w:val="32"/>
          <w:szCs w:val="32"/>
        </w:rPr>
        <w:t>及其增长速度</w:t>
      </w:r>
    </w:p>
    <w:p w:rsidR="00024185" w:rsidRDefault="00707518">
      <w:pPr>
        <w:jc w:val="center"/>
        <w:rPr>
          <w:rFonts w:ascii="宋体" w:hAnsi="宋体" w:cs="宋体"/>
          <w:b/>
          <w:bCs/>
          <w:color w:val="FF0000"/>
          <w:kern w:val="0"/>
          <w:sz w:val="32"/>
          <w:szCs w:val="32"/>
        </w:rPr>
      </w:pPr>
      <w:r>
        <w:rPr>
          <w:noProof/>
        </w:rPr>
        <w:lastRenderedPageBreak/>
        <w:drawing>
          <wp:inline distT="0" distB="0" distL="0" distR="0">
            <wp:extent cx="5105400" cy="2811145"/>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24185" w:rsidRDefault="00707518">
      <w:pPr>
        <w:spacing w:line="560" w:lineRule="exact"/>
        <w:ind w:firstLineChars="200" w:firstLine="640"/>
        <w:rPr>
          <w:rFonts w:ascii="仿宋_GB2312" w:eastAsia="仿宋_GB2312"/>
          <w:color w:val="FF0000"/>
          <w:sz w:val="32"/>
          <w:szCs w:val="32"/>
        </w:rPr>
      </w:pPr>
      <w:bookmarkStart w:id="4" w:name="OLE_LINK6"/>
      <w:bookmarkEnd w:id="4"/>
      <w:r>
        <w:rPr>
          <w:rFonts w:ascii="仿宋_GB2312" w:eastAsia="仿宋_GB2312"/>
          <w:color w:val="000000" w:themeColor="text1"/>
          <w:sz w:val="32"/>
          <w:szCs w:val="32"/>
        </w:rPr>
        <w:t>年末全市参加企业养老保险人数</w:t>
      </w:r>
      <w:r>
        <w:rPr>
          <w:rFonts w:ascii="仿宋_GB2312" w:eastAsia="仿宋_GB2312" w:hint="eastAsia"/>
          <w:color w:val="000000" w:themeColor="text1"/>
          <w:sz w:val="32"/>
          <w:szCs w:val="32"/>
        </w:rPr>
        <w:t>118</w:t>
      </w:r>
      <w:r>
        <w:rPr>
          <w:rFonts w:ascii="仿宋_GB2312" w:eastAsia="仿宋_GB2312"/>
          <w:color w:val="000000" w:themeColor="text1"/>
          <w:sz w:val="32"/>
          <w:szCs w:val="32"/>
        </w:rPr>
        <w:t>万人，其中，职工</w:t>
      </w:r>
      <w:r>
        <w:rPr>
          <w:rFonts w:ascii="仿宋_GB2312" w:eastAsia="仿宋_GB2312" w:hint="eastAsia"/>
          <w:color w:val="000000" w:themeColor="text1"/>
          <w:sz w:val="32"/>
          <w:szCs w:val="32"/>
        </w:rPr>
        <w:t>87.62</w:t>
      </w:r>
      <w:r>
        <w:rPr>
          <w:rFonts w:ascii="仿宋_GB2312" w:eastAsia="仿宋_GB2312"/>
          <w:color w:val="000000" w:themeColor="text1"/>
          <w:sz w:val="32"/>
          <w:szCs w:val="32"/>
        </w:rPr>
        <w:t>万人</w:t>
      </w:r>
      <w:r>
        <w:rPr>
          <w:rFonts w:ascii="仿宋_GB2312" w:eastAsia="仿宋_GB2312" w:hint="eastAsia"/>
          <w:color w:val="000000" w:themeColor="text1"/>
          <w:sz w:val="32"/>
          <w:szCs w:val="32"/>
        </w:rPr>
        <w:t>，</w:t>
      </w:r>
      <w:r>
        <w:rPr>
          <w:rFonts w:ascii="仿宋_GB2312" w:eastAsia="仿宋_GB2312"/>
          <w:color w:val="000000" w:themeColor="text1"/>
          <w:sz w:val="32"/>
          <w:szCs w:val="32"/>
        </w:rPr>
        <w:t>离退休人员</w:t>
      </w:r>
      <w:r>
        <w:rPr>
          <w:rFonts w:ascii="仿宋_GB2312" w:eastAsia="仿宋_GB2312" w:hint="eastAsia"/>
          <w:color w:val="000000" w:themeColor="text1"/>
          <w:sz w:val="32"/>
          <w:szCs w:val="32"/>
        </w:rPr>
        <w:t>30.38</w:t>
      </w:r>
      <w:r>
        <w:rPr>
          <w:rFonts w:ascii="仿宋_GB2312" w:eastAsia="仿宋_GB2312"/>
          <w:color w:val="000000" w:themeColor="text1"/>
          <w:sz w:val="32"/>
          <w:szCs w:val="32"/>
        </w:rPr>
        <w:t>万人。参加失业保险人数</w:t>
      </w:r>
      <w:r>
        <w:rPr>
          <w:rFonts w:ascii="仿宋_GB2312" w:eastAsia="仿宋_GB2312" w:hint="eastAsia"/>
          <w:color w:val="000000" w:themeColor="text1"/>
          <w:sz w:val="32"/>
          <w:szCs w:val="32"/>
        </w:rPr>
        <w:t>87.05</w:t>
      </w:r>
      <w:r>
        <w:rPr>
          <w:rFonts w:ascii="仿宋_GB2312" w:eastAsia="仿宋_GB2312"/>
          <w:color w:val="000000" w:themeColor="text1"/>
          <w:sz w:val="32"/>
          <w:szCs w:val="32"/>
        </w:rPr>
        <w:t>万人，全年累计领取失业保险金人数</w:t>
      </w:r>
      <w:r>
        <w:rPr>
          <w:rFonts w:ascii="仿宋_GB2312" w:eastAsia="仿宋_GB2312" w:hint="eastAsia"/>
          <w:color w:val="000000" w:themeColor="text1"/>
          <w:sz w:val="32"/>
          <w:szCs w:val="32"/>
        </w:rPr>
        <w:t>1.24</w:t>
      </w:r>
      <w:r>
        <w:rPr>
          <w:rFonts w:ascii="仿宋_GB2312" w:eastAsia="仿宋_GB2312"/>
          <w:color w:val="000000" w:themeColor="text1"/>
          <w:sz w:val="32"/>
          <w:szCs w:val="32"/>
        </w:rPr>
        <w:t>万人。</w:t>
      </w:r>
      <w:bookmarkStart w:id="5" w:name="OLE_LINK4"/>
      <w:r>
        <w:rPr>
          <w:rFonts w:ascii="仿宋_GB2312" w:eastAsia="仿宋_GB2312"/>
          <w:color w:val="000000" w:themeColor="text1"/>
          <w:sz w:val="32"/>
          <w:szCs w:val="32"/>
        </w:rPr>
        <w:t>参加城镇职工医疗保险人数</w:t>
      </w:r>
      <w:bookmarkEnd w:id="5"/>
      <w:r>
        <w:rPr>
          <w:rFonts w:ascii="仿宋_GB2312" w:eastAsia="仿宋_GB2312" w:hint="eastAsia"/>
          <w:color w:val="000000" w:themeColor="text1"/>
          <w:sz w:val="32"/>
          <w:szCs w:val="32"/>
        </w:rPr>
        <w:t>98.72</w:t>
      </w:r>
      <w:r>
        <w:rPr>
          <w:rFonts w:ascii="仿宋_GB2312" w:eastAsia="仿宋_GB2312"/>
          <w:color w:val="000000" w:themeColor="text1"/>
          <w:sz w:val="32"/>
          <w:szCs w:val="32"/>
        </w:rPr>
        <w:t>万人，其中，职工</w:t>
      </w:r>
      <w:r>
        <w:rPr>
          <w:rFonts w:ascii="仿宋_GB2312" w:eastAsia="仿宋_GB2312" w:hint="eastAsia"/>
          <w:color w:val="000000" w:themeColor="text1"/>
          <w:sz w:val="32"/>
          <w:szCs w:val="32"/>
        </w:rPr>
        <w:t>69.69</w:t>
      </w:r>
      <w:r>
        <w:rPr>
          <w:rFonts w:ascii="仿宋_GB2312" w:eastAsia="仿宋_GB2312"/>
          <w:color w:val="000000" w:themeColor="text1"/>
          <w:sz w:val="32"/>
          <w:szCs w:val="32"/>
        </w:rPr>
        <w:t>万人，退休人员</w:t>
      </w:r>
      <w:r>
        <w:rPr>
          <w:rFonts w:ascii="仿宋_GB2312" w:eastAsia="仿宋_GB2312" w:hint="eastAsia"/>
          <w:color w:val="000000" w:themeColor="text1"/>
          <w:sz w:val="32"/>
          <w:szCs w:val="32"/>
        </w:rPr>
        <w:t>29.03</w:t>
      </w:r>
      <w:r>
        <w:rPr>
          <w:rFonts w:ascii="仿宋_GB2312" w:eastAsia="仿宋_GB2312"/>
          <w:color w:val="000000" w:themeColor="text1"/>
          <w:sz w:val="32"/>
          <w:szCs w:val="32"/>
        </w:rPr>
        <w:t>万人。</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全年全市共发放城镇居民最低生活保障金</w:t>
      </w:r>
      <w:r>
        <w:rPr>
          <w:rFonts w:ascii="仿宋_GB2312" w:eastAsia="仿宋_GB2312" w:hint="eastAsia"/>
          <w:sz w:val="32"/>
          <w:szCs w:val="32"/>
        </w:rPr>
        <w:t>0.88</w:t>
      </w:r>
      <w:r>
        <w:rPr>
          <w:rFonts w:ascii="仿宋_GB2312" w:eastAsia="仿宋_GB2312"/>
          <w:sz w:val="32"/>
          <w:szCs w:val="32"/>
        </w:rPr>
        <w:t>亿元，城镇享受最低生活保障人数</w:t>
      </w:r>
      <w:r>
        <w:rPr>
          <w:rFonts w:ascii="仿宋_GB2312" w:eastAsia="仿宋_GB2312" w:hint="eastAsia"/>
          <w:sz w:val="32"/>
          <w:szCs w:val="32"/>
        </w:rPr>
        <w:t>2.11</w:t>
      </w:r>
      <w:r>
        <w:rPr>
          <w:rFonts w:ascii="仿宋_GB2312" w:eastAsia="仿宋_GB2312"/>
          <w:sz w:val="32"/>
          <w:szCs w:val="32"/>
        </w:rPr>
        <w:t>万人。发放农村最低生活保障金</w:t>
      </w:r>
      <w:r>
        <w:rPr>
          <w:rFonts w:ascii="仿宋_GB2312" w:eastAsia="仿宋_GB2312" w:hint="eastAsia"/>
          <w:sz w:val="32"/>
          <w:szCs w:val="32"/>
        </w:rPr>
        <w:t>14.17</w:t>
      </w:r>
      <w:r>
        <w:rPr>
          <w:rFonts w:ascii="仿宋_GB2312" w:eastAsia="仿宋_GB2312"/>
          <w:sz w:val="32"/>
          <w:szCs w:val="32"/>
        </w:rPr>
        <w:t>亿元，农村享受最低生活保障人数</w:t>
      </w:r>
      <w:r>
        <w:rPr>
          <w:rFonts w:ascii="仿宋_GB2312" w:eastAsia="仿宋_GB2312" w:hint="eastAsia"/>
          <w:sz w:val="32"/>
          <w:szCs w:val="32"/>
        </w:rPr>
        <w:t>47.53</w:t>
      </w:r>
      <w:r>
        <w:rPr>
          <w:rFonts w:ascii="仿宋_GB2312" w:eastAsia="仿宋_GB2312"/>
          <w:sz w:val="32"/>
          <w:szCs w:val="32"/>
        </w:rPr>
        <w:t>万人。</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年末全市各类社会福利院床位</w:t>
      </w:r>
      <w:r>
        <w:rPr>
          <w:rFonts w:ascii="仿宋_GB2312" w:eastAsia="仿宋_GB2312" w:hint="eastAsia"/>
          <w:sz w:val="32"/>
          <w:szCs w:val="32"/>
        </w:rPr>
        <w:t>2.94</w:t>
      </w:r>
      <w:r>
        <w:rPr>
          <w:rFonts w:ascii="仿宋_GB2312" w:eastAsia="仿宋_GB2312"/>
          <w:sz w:val="32"/>
          <w:szCs w:val="32"/>
        </w:rPr>
        <w:t>万张，收养</w:t>
      </w:r>
      <w:r>
        <w:rPr>
          <w:rFonts w:ascii="仿宋_GB2312" w:eastAsia="仿宋_GB2312" w:hint="eastAsia"/>
          <w:sz w:val="32"/>
          <w:szCs w:val="32"/>
        </w:rPr>
        <w:t>1.94</w:t>
      </w:r>
      <w:r>
        <w:rPr>
          <w:rFonts w:ascii="仿宋_GB2312" w:eastAsia="仿宋_GB2312"/>
          <w:sz w:val="32"/>
          <w:szCs w:val="32"/>
        </w:rPr>
        <w:t>万人。养老服务机构和设施</w:t>
      </w:r>
      <w:r>
        <w:rPr>
          <w:rFonts w:ascii="仿宋_GB2312" w:eastAsia="仿宋_GB2312" w:hint="eastAsia"/>
          <w:sz w:val="32"/>
          <w:szCs w:val="32"/>
        </w:rPr>
        <w:t>1160</w:t>
      </w:r>
      <w:r>
        <w:rPr>
          <w:rFonts w:ascii="仿宋_GB2312" w:eastAsia="仿宋_GB2312"/>
          <w:sz w:val="32"/>
          <w:szCs w:val="32"/>
        </w:rPr>
        <w:t>个，床位数</w:t>
      </w:r>
      <w:r>
        <w:rPr>
          <w:rFonts w:ascii="仿宋_GB2312" w:eastAsia="仿宋_GB2312" w:hint="eastAsia"/>
          <w:sz w:val="32"/>
          <w:szCs w:val="32"/>
        </w:rPr>
        <w:t>12.37</w:t>
      </w:r>
      <w:r>
        <w:rPr>
          <w:rFonts w:ascii="仿宋_GB2312" w:eastAsia="仿宋_GB2312"/>
          <w:sz w:val="32"/>
          <w:szCs w:val="32"/>
        </w:rPr>
        <w:t>万张，各类机构和设施收养、救助和服务人数</w:t>
      </w:r>
      <w:r>
        <w:rPr>
          <w:rFonts w:ascii="仿宋_GB2312" w:eastAsia="仿宋_GB2312" w:hint="eastAsia"/>
          <w:sz w:val="32"/>
          <w:szCs w:val="32"/>
        </w:rPr>
        <w:t>6.49</w:t>
      </w:r>
      <w:r>
        <w:rPr>
          <w:rFonts w:ascii="仿宋_GB2312" w:eastAsia="仿宋_GB2312"/>
          <w:sz w:val="32"/>
          <w:szCs w:val="32"/>
        </w:rPr>
        <w:t>万人。全年销售福利彩票</w:t>
      </w:r>
      <w:r>
        <w:rPr>
          <w:rFonts w:ascii="仿宋_GB2312" w:eastAsia="仿宋_GB2312" w:hint="eastAsia"/>
          <w:sz w:val="32"/>
          <w:szCs w:val="32"/>
        </w:rPr>
        <w:t>5.07</w:t>
      </w:r>
      <w:r>
        <w:rPr>
          <w:rFonts w:ascii="仿宋_GB2312" w:eastAsia="仿宋_GB2312"/>
          <w:sz w:val="32"/>
          <w:szCs w:val="32"/>
        </w:rPr>
        <w:t>亿元。</w:t>
      </w:r>
    </w:p>
    <w:p w:rsidR="00024185" w:rsidRDefault="00707518">
      <w:pPr>
        <w:spacing w:beforeLines="50" w:before="120" w:afterLines="50" w:after="120"/>
        <w:jc w:val="center"/>
        <w:rPr>
          <w:rFonts w:ascii="黑体" w:eastAsia="黑体" w:hAnsi="黑体"/>
          <w:sz w:val="36"/>
          <w:szCs w:val="36"/>
        </w:rPr>
      </w:pPr>
      <w:r>
        <w:rPr>
          <w:rFonts w:ascii="黑体" w:eastAsia="黑体" w:hAnsi="黑体"/>
          <w:sz w:val="36"/>
          <w:szCs w:val="36"/>
        </w:rPr>
        <w:t>十二、资源、环境与应急管理</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年末全市已发现的矿种</w:t>
      </w:r>
      <w:r>
        <w:rPr>
          <w:rFonts w:ascii="仿宋_GB2312" w:eastAsia="仿宋_GB2312" w:hint="eastAsia"/>
          <w:sz w:val="32"/>
          <w:szCs w:val="32"/>
        </w:rPr>
        <w:t>86</w:t>
      </w:r>
      <w:r>
        <w:rPr>
          <w:rFonts w:ascii="仿宋_GB2312" w:eastAsia="仿宋_GB2312"/>
          <w:sz w:val="32"/>
          <w:szCs w:val="32"/>
        </w:rPr>
        <w:t>种，已查明资源储量的矿种</w:t>
      </w:r>
      <w:r>
        <w:rPr>
          <w:rFonts w:ascii="仿宋_GB2312" w:eastAsia="仿宋_GB2312" w:hint="eastAsia"/>
          <w:sz w:val="32"/>
          <w:szCs w:val="32"/>
        </w:rPr>
        <w:t>61</w:t>
      </w:r>
      <w:r>
        <w:rPr>
          <w:rFonts w:ascii="仿宋_GB2312" w:eastAsia="仿宋_GB2312"/>
          <w:sz w:val="32"/>
          <w:szCs w:val="32"/>
        </w:rPr>
        <w:t>种，已开发利用的矿种36种；其中金属矿产9种，非金属矿产2</w:t>
      </w:r>
      <w:r>
        <w:rPr>
          <w:rFonts w:ascii="仿宋_GB2312" w:eastAsia="仿宋_GB2312" w:hint="eastAsia"/>
          <w:sz w:val="32"/>
          <w:szCs w:val="32"/>
        </w:rPr>
        <w:t>6</w:t>
      </w:r>
      <w:r>
        <w:rPr>
          <w:rFonts w:ascii="仿宋_GB2312" w:eastAsia="仿宋_GB2312"/>
          <w:sz w:val="32"/>
          <w:szCs w:val="32"/>
        </w:rPr>
        <w:t>种，水气矿产1种。</w:t>
      </w:r>
    </w:p>
    <w:p w:rsidR="00024185" w:rsidRDefault="00707518">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全年全市供应国有建设用地总量921.67公顷。其中，工矿仓储用地285.89公顷，房地产用地247.60公顷，其他用地388.18公顷。</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全年全市全社会用电量</w:t>
      </w:r>
      <w:r>
        <w:rPr>
          <w:rFonts w:ascii="仿宋_GB2312" w:eastAsia="仿宋_GB2312" w:hint="eastAsia"/>
          <w:sz w:val="32"/>
          <w:szCs w:val="32"/>
        </w:rPr>
        <w:t>357.09</w:t>
      </w:r>
      <w:r>
        <w:rPr>
          <w:rFonts w:ascii="仿宋_GB2312" w:eastAsia="仿宋_GB2312"/>
          <w:sz w:val="32"/>
          <w:szCs w:val="32"/>
        </w:rPr>
        <w:t>亿千瓦时，比上年增长</w:t>
      </w:r>
      <w:r>
        <w:rPr>
          <w:rFonts w:ascii="仿宋_GB2312" w:eastAsia="仿宋_GB2312" w:hint="eastAsia"/>
          <w:sz w:val="32"/>
          <w:szCs w:val="32"/>
        </w:rPr>
        <w:t>2.5</w:t>
      </w:r>
      <w:r>
        <w:rPr>
          <w:rFonts w:ascii="仿宋_GB2312" w:eastAsia="仿宋_GB2312"/>
          <w:sz w:val="32"/>
          <w:szCs w:val="32"/>
        </w:rPr>
        <w:t>%；其中工业用电量</w:t>
      </w:r>
      <w:r>
        <w:rPr>
          <w:rFonts w:ascii="仿宋_GB2312" w:eastAsia="仿宋_GB2312" w:hint="eastAsia"/>
          <w:sz w:val="32"/>
          <w:szCs w:val="32"/>
        </w:rPr>
        <w:t>164.00</w:t>
      </w:r>
      <w:r>
        <w:rPr>
          <w:rFonts w:ascii="仿宋_GB2312" w:eastAsia="仿宋_GB2312"/>
          <w:sz w:val="32"/>
          <w:szCs w:val="32"/>
        </w:rPr>
        <w:t>亿千瓦时，</w:t>
      </w:r>
      <w:r>
        <w:rPr>
          <w:rFonts w:ascii="仿宋_GB2312" w:eastAsia="仿宋_GB2312" w:hint="eastAsia"/>
          <w:sz w:val="32"/>
          <w:szCs w:val="32"/>
        </w:rPr>
        <w:t>下降0.6</w:t>
      </w:r>
      <w:r>
        <w:rPr>
          <w:rFonts w:ascii="仿宋_GB2312" w:eastAsia="仿宋_GB2312"/>
          <w:sz w:val="32"/>
          <w:szCs w:val="32"/>
        </w:rPr>
        <w:t>%。全年全市规模以上工业综合能源消费量比上年下降</w:t>
      </w:r>
      <w:r>
        <w:rPr>
          <w:rFonts w:ascii="仿宋_GB2312" w:eastAsia="仿宋_GB2312" w:hint="eastAsia"/>
          <w:sz w:val="32"/>
          <w:szCs w:val="32"/>
        </w:rPr>
        <w:t>5.7</w:t>
      </w:r>
      <w:r>
        <w:rPr>
          <w:rFonts w:ascii="仿宋_GB2312" w:eastAsia="仿宋_GB2312"/>
          <w:sz w:val="32"/>
          <w:szCs w:val="32"/>
        </w:rPr>
        <w:t>%，规模以上工业单位增加值能耗下降</w:t>
      </w:r>
      <w:r>
        <w:rPr>
          <w:rFonts w:ascii="仿宋_GB2312" w:eastAsia="仿宋_GB2312" w:hint="eastAsia"/>
          <w:sz w:val="32"/>
          <w:szCs w:val="32"/>
        </w:rPr>
        <w:t>12.9</w:t>
      </w:r>
      <w:r>
        <w:rPr>
          <w:rFonts w:ascii="仿宋_GB2312" w:eastAsia="仿宋_GB2312"/>
          <w:sz w:val="32"/>
          <w:szCs w:val="32"/>
        </w:rPr>
        <w:t>%。</w:t>
      </w:r>
    </w:p>
    <w:p w:rsidR="00024185" w:rsidRDefault="00707518">
      <w:pPr>
        <w:spacing w:line="560" w:lineRule="exact"/>
        <w:ind w:firstLineChars="200" w:firstLine="640"/>
        <w:rPr>
          <w:rFonts w:ascii="仿宋_GB2312" w:eastAsia="仿宋_GB2312"/>
          <w:color w:val="FF0000"/>
          <w:sz w:val="32"/>
          <w:szCs w:val="32"/>
        </w:rPr>
      </w:pPr>
      <w:r>
        <w:rPr>
          <w:rFonts w:ascii="仿宋_GB2312" w:eastAsia="仿宋_GB2312"/>
          <w:sz w:val="32"/>
          <w:szCs w:val="32"/>
        </w:rPr>
        <w:t>全年全市完成造林面积</w:t>
      </w:r>
      <w:r>
        <w:rPr>
          <w:rFonts w:ascii="仿宋_GB2312" w:eastAsia="仿宋_GB2312" w:hint="eastAsia"/>
          <w:sz w:val="32"/>
          <w:szCs w:val="32"/>
        </w:rPr>
        <w:t>2.65</w:t>
      </w:r>
      <w:r>
        <w:rPr>
          <w:rFonts w:ascii="仿宋_GB2312" w:eastAsia="仿宋_GB2312"/>
          <w:sz w:val="32"/>
          <w:szCs w:val="32"/>
        </w:rPr>
        <w:t>千公顷，其中人工造林</w:t>
      </w:r>
      <w:r>
        <w:rPr>
          <w:rFonts w:ascii="仿宋_GB2312" w:eastAsia="仿宋_GB2312" w:hint="eastAsia"/>
          <w:sz w:val="32"/>
          <w:szCs w:val="32"/>
        </w:rPr>
        <w:t>0.85</w:t>
      </w:r>
      <w:r>
        <w:rPr>
          <w:rFonts w:ascii="仿宋_GB2312" w:eastAsia="仿宋_GB2312"/>
          <w:sz w:val="32"/>
          <w:szCs w:val="32"/>
        </w:rPr>
        <w:t>千公顷。自然保护区8个，其中国家级自然保护区5个，自然保护区面积232.21千公顷。森林公园15个，其中国家级森林公园2个，森林覆盖率</w:t>
      </w:r>
      <w:r>
        <w:rPr>
          <w:rFonts w:ascii="仿宋_GB2312" w:eastAsia="仿宋_GB2312" w:hint="eastAsia"/>
          <w:sz w:val="32"/>
          <w:szCs w:val="32"/>
        </w:rPr>
        <w:t>42.0</w:t>
      </w:r>
      <w:r>
        <w:rPr>
          <w:rFonts w:ascii="仿宋_GB2312" w:eastAsia="仿宋_GB2312"/>
          <w:sz w:val="32"/>
          <w:szCs w:val="32"/>
        </w:rPr>
        <w:t>%。</w:t>
      </w:r>
    </w:p>
    <w:p w:rsidR="00024185" w:rsidRDefault="00707518">
      <w:pPr>
        <w:spacing w:line="560" w:lineRule="exact"/>
        <w:ind w:firstLineChars="200" w:firstLine="640"/>
        <w:rPr>
          <w:rFonts w:ascii="仿宋_GB2312" w:eastAsia="仿宋_GB2312"/>
          <w:sz w:val="32"/>
          <w:szCs w:val="32"/>
        </w:rPr>
      </w:pPr>
      <w:r>
        <w:rPr>
          <w:rFonts w:ascii="仿宋_GB2312" w:eastAsia="仿宋_GB2312"/>
          <w:sz w:val="32"/>
          <w:szCs w:val="32"/>
        </w:rPr>
        <w:t>全年全市发生生产安全伤亡事故总数</w:t>
      </w:r>
      <w:r>
        <w:rPr>
          <w:rFonts w:ascii="仿宋_GB2312" w:eastAsia="仿宋_GB2312" w:hint="eastAsia"/>
          <w:sz w:val="32"/>
          <w:szCs w:val="32"/>
        </w:rPr>
        <w:t>2</w:t>
      </w:r>
      <w:r>
        <w:rPr>
          <w:rFonts w:ascii="仿宋_GB2312" w:eastAsia="仿宋_GB2312"/>
          <w:sz w:val="32"/>
          <w:szCs w:val="32"/>
        </w:rPr>
        <w:t>起，死亡总人数</w:t>
      </w:r>
      <w:r>
        <w:rPr>
          <w:rFonts w:ascii="仿宋_GB2312" w:eastAsia="仿宋_GB2312" w:hint="eastAsia"/>
          <w:sz w:val="32"/>
          <w:szCs w:val="32"/>
        </w:rPr>
        <w:t>3</w:t>
      </w:r>
      <w:r>
        <w:rPr>
          <w:rFonts w:ascii="仿宋_GB2312" w:eastAsia="仿宋_GB2312"/>
          <w:sz w:val="32"/>
          <w:szCs w:val="32"/>
        </w:rPr>
        <w:t>人。</w:t>
      </w:r>
    </w:p>
    <w:p w:rsidR="00024185" w:rsidRDefault="00024185">
      <w:pPr>
        <w:spacing w:line="560" w:lineRule="exact"/>
        <w:ind w:firstLineChars="200" w:firstLine="640"/>
        <w:rPr>
          <w:rFonts w:eastAsia="楷体"/>
          <w:snapToGrid w:val="0"/>
          <w:color w:val="FF0000"/>
          <w:kern w:val="0"/>
          <w:sz w:val="32"/>
          <w:szCs w:val="32"/>
        </w:rPr>
      </w:pPr>
    </w:p>
    <w:p w:rsidR="00024185" w:rsidRDefault="00707518">
      <w:pPr>
        <w:adjustRightInd w:val="0"/>
        <w:snapToGrid w:val="0"/>
        <w:spacing w:line="288" w:lineRule="auto"/>
        <w:ind w:firstLineChars="200" w:firstLine="640"/>
        <w:rPr>
          <w:rFonts w:eastAsia="楷体"/>
          <w:snapToGrid w:val="0"/>
          <w:kern w:val="0"/>
          <w:sz w:val="32"/>
          <w:szCs w:val="32"/>
        </w:rPr>
      </w:pPr>
      <w:r>
        <w:rPr>
          <w:rFonts w:eastAsia="楷体"/>
          <w:snapToGrid w:val="0"/>
          <w:kern w:val="0"/>
          <w:sz w:val="32"/>
          <w:szCs w:val="32"/>
        </w:rPr>
        <w:t>注：</w:t>
      </w:r>
    </w:p>
    <w:p w:rsidR="00024185" w:rsidRPr="007A061E" w:rsidRDefault="00707518">
      <w:pPr>
        <w:adjustRightInd w:val="0"/>
        <w:snapToGrid w:val="0"/>
        <w:spacing w:line="288" w:lineRule="auto"/>
        <w:ind w:firstLineChars="200" w:firstLine="640"/>
        <w:rPr>
          <w:rFonts w:eastAsia="楷体"/>
          <w:snapToGrid w:val="0"/>
          <w:kern w:val="0"/>
          <w:sz w:val="32"/>
          <w:szCs w:val="32"/>
        </w:rPr>
      </w:pPr>
      <w:r w:rsidRPr="007A061E">
        <w:rPr>
          <w:rFonts w:eastAsia="楷体"/>
          <w:snapToGrid w:val="0"/>
          <w:kern w:val="0"/>
          <w:sz w:val="32"/>
          <w:szCs w:val="32"/>
        </w:rPr>
        <w:t>1.</w:t>
      </w:r>
      <w:r w:rsidRPr="007A061E">
        <w:rPr>
          <w:rFonts w:eastAsia="楷体"/>
          <w:snapToGrid w:val="0"/>
          <w:kern w:val="0"/>
          <w:sz w:val="32"/>
          <w:szCs w:val="32"/>
        </w:rPr>
        <w:t>本公报</w:t>
      </w:r>
      <w:r w:rsidRPr="007A061E">
        <w:rPr>
          <w:rFonts w:eastAsia="楷体"/>
          <w:snapToGrid w:val="0"/>
          <w:kern w:val="0"/>
          <w:sz w:val="32"/>
          <w:szCs w:val="32"/>
        </w:rPr>
        <w:t>202</w:t>
      </w:r>
      <w:r w:rsidRPr="007A061E">
        <w:rPr>
          <w:rFonts w:eastAsia="楷体" w:hint="eastAsia"/>
          <w:snapToGrid w:val="0"/>
          <w:kern w:val="0"/>
          <w:sz w:val="32"/>
          <w:szCs w:val="32"/>
        </w:rPr>
        <w:t>5</w:t>
      </w:r>
      <w:r w:rsidRPr="007A061E">
        <w:rPr>
          <w:rFonts w:eastAsia="楷体"/>
          <w:snapToGrid w:val="0"/>
          <w:kern w:val="0"/>
          <w:sz w:val="32"/>
          <w:szCs w:val="32"/>
        </w:rPr>
        <w:t>年数据为初步统计结果。部分数据因四舍五入的原因，存在着</w:t>
      </w:r>
      <w:r w:rsidR="00343B77" w:rsidRPr="007A061E">
        <w:rPr>
          <w:rFonts w:eastAsia="楷体" w:hint="eastAsia"/>
          <w:snapToGrid w:val="0"/>
          <w:kern w:val="0"/>
          <w:sz w:val="32"/>
          <w:szCs w:val="32"/>
        </w:rPr>
        <w:t>总计</w:t>
      </w:r>
      <w:r w:rsidRPr="007A061E">
        <w:rPr>
          <w:rFonts w:eastAsia="楷体"/>
          <w:snapToGrid w:val="0"/>
          <w:kern w:val="0"/>
          <w:sz w:val="32"/>
          <w:szCs w:val="32"/>
        </w:rPr>
        <w:t>与分项合计不等的情况。</w:t>
      </w:r>
    </w:p>
    <w:p w:rsidR="00024185" w:rsidRPr="007A061E" w:rsidRDefault="00707518">
      <w:pPr>
        <w:adjustRightInd w:val="0"/>
        <w:snapToGrid w:val="0"/>
        <w:spacing w:line="288" w:lineRule="auto"/>
        <w:ind w:firstLineChars="200" w:firstLine="640"/>
        <w:rPr>
          <w:rFonts w:eastAsia="楷体"/>
          <w:snapToGrid w:val="0"/>
          <w:kern w:val="0"/>
          <w:sz w:val="32"/>
          <w:szCs w:val="32"/>
        </w:rPr>
      </w:pPr>
      <w:r w:rsidRPr="007A061E">
        <w:rPr>
          <w:rFonts w:eastAsia="楷体"/>
          <w:snapToGrid w:val="0"/>
          <w:kern w:val="0"/>
          <w:sz w:val="32"/>
          <w:szCs w:val="32"/>
        </w:rPr>
        <w:t>2.</w:t>
      </w:r>
      <w:r w:rsidRPr="007A061E">
        <w:rPr>
          <w:rFonts w:eastAsia="楷体"/>
          <w:snapToGrid w:val="0"/>
          <w:kern w:val="0"/>
          <w:sz w:val="32"/>
          <w:szCs w:val="32"/>
        </w:rPr>
        <w:t>生产总值、各产业增加值绝对数按现价计算，增长速度按不变价格计算。</w:t>
      </w:r>
      <w:bookmarkStart w:id="6" w:name="OLE_LINK3"/>
      <w:bookmarkStart w:id="7" w:name="OLE_LINK7"/>
      <w:r w:rsidR="0022377D" w:rsidRPr="007A061E">
        <w:rPr>
          <w:rFonts w:eastAsia="楷体" w:hint="eastAsia"/>
          <w:snapToGrid w:val="0"/>
          <w:kern w:val="0"/>
          <w:sz w:val="32"/>
          <w:szCs w:val="32"/>
        </w:rPr>
        <w:t>根据我国国民经济核算制度和第五次全国经济普查结果</w:t>
      </w:r>
      <w:r w:rsidRPr="007A061E">
        <w:rPr>
          <w:rFonts w:eastAsia="楷体"/>
          <w:snapToGrid w:val="0"/>
          <w:kern w:val="0"/>
          <w:sz w:val="32"/>
          <w:szCs w:val="32"/>
        </w:rPr>
        <w:t>，</w:t>
      </w:r>
      <w:r w:rsidRPr="007A061E">
        <w:rPr>
          <w:rFonts w:eastAsia="楷体"/>
          <w:snapToGrid w:val="0"/>
          <w:kern w:val="0"/>
          <w:sz w:val="32"/>
          <w:szCs w:val="32"/>
        </w:rPr>
        <w:t>202</w:t>
      </w:r>
      <w:r w:rsidRPr="007A061E">
        <w:rPr>
          <w:rFonts w:eastAsia="楷体" w:hint="eastAsia"/>
          <w:snapToGrid w:val="0"/>
          <w:kern w:val="0"/>
          <w:sz w:val="32"/>
          <w:szCs w:val="32"/>
        </w:rPr>
        <w:t>4</w:t>
      </w:r>
      <w:r w:rsidRPr="007A061E">
        <w:rPr>
          <w:rFonts w:eastAsia="楷体" w:hint="eastAsia"/>
          <w:snapToGrid w:val="0"/>
          <w:kern w:val="0"/>
          <w:sz w:val="32"/>
          <w:szCs w:val="32"/>
        </w:rPr>
        <w:t>年全市生产总值</w:t>
      </w:r>
      <w:r w:rsidR="0022377D" w:rsidRPr="007A061E">
        <w:rPr>
          <w:rFonts w:eastAsia="楷体" w:hint="eastAsia"/>
          <w:snapToGrid w:val="0"/>
          <w:kern w:val="0"/>
          <w:sz w:val="32"/>
          <w:szCs w:val="32"/>
        </w:rPr>
        <w:t>修订</w:t>
      </w:r>
      <w:r w:rsidRPr="007A061E">
        <w:rPr>
          <w:rFonts w:eastAsia="楷体" w:hint="eastAsia"/>
          <w:snapToGrid w:val="0"/>
          <w:kern w:val="0"/>
          <w:sz w:val="32"/>
          <w:szCs w:val="32"/>
        </w:rPr>
        <w:t>为</w:t>
      </w:r>
      <w:r w:rsidRPr="007A061E">
        <w:rPr>
          <w:rFonts w:eastAsia="楷体" w:hint="eastAsia"/>
          <w:snapToGrid w:val="0"/>
          <w:kern w:val="0"/>
          <w:sz w:val="32"/>
          <w:szCs w:val="32"/>
        </w:rPr>
        <w:t>4888.74</w:t>
      </w:r>
      <w:r w:rsidRPr="007A061E">
        <w:rPr>
          <w:rFonts w:eastAsia="楷体" w:hint="eastAsia"/>
          <w:snapToGrid w:val="0"/>
          <w:kern w:val="0"/>
          <w:sz w:val="32"/>
          <w:szCs w:val="32"/>
        </w:rPr>
        <w:t>亿元，比上年增长</w:t>
      </w:r>
      <w:r w:rsidRPr="007A061E">
        <w:rPr>
          <w:rFonts w:eastAsia="楷体" w:hint="eastAsia"/>
          <w:snapToGrid w:val="0"/>
          <w:kern w:val="0"/>
          <w:sz w:val="32"/>
          <w:szCs w:val="32"/>
        </w:rPr>
        <w:t>5.5%</w:t>
      </w:r>
      <w:bookmarkEnd w:id="6"/>
      <w:bookmarkEnd w:id="7"/>
      <w:r w:rsidRPr="007A061E">
        <w:rPr>
          <w:rFonts w:eastAsia="楷体" w:hint="eastAsia"/>
          <w:snapToGrid w:val="0"/>
          <w:kern w:val="0"/>
          <w:sz w:val="32"/>
          <w:szCs w:val="32"/>
        </w:rPr>
        <w:t>，三次产业结构为</w:t>
      </w:r>
      <w:r w:rsidRPr="007A061E">
        <w:rPr>
          <w:rFonts w:eastAsia="楷体" w:hint="eastAsia"/>
          <w:snapToGrid w:val="0"/>
          <w:kern w:val="0"/>
          <w:sz w:val="32"/>
          <w:szCs w:val="32"/>
        </w:rPr>
        <w:t>15.7</w:t>
      </w:r>
      <w:r w:rsidRPr="007A061E">
        <w:rPr>
          <w:rFonts w:eastAsia="楷体" w:hint="eastAsia"/>
          <w:snapToGrid w:val="0"/>
          <w:kern w:val="0"/>
          <w:sz w:val="32"/>
          <w:szCs w:val="32"/>
        </w:rPr>
        <w:t>：</w:t>
      </w:r>
      <w:r w:rsidRPr="007A061E">
        <w:rPr>
          <w:rFonts w:eastAsia="楷体" w:hint="eastAsia"/>
          <w:snapToGrid w:val="0"/>
          <w:kern w:val="0"/>
          <w:sz w:val="32"/>
          <w:szCs w:val="32"/>
        </w:rPr>
        <w:t>32.6</w:t>
      </w:r>
      <w:r w:rsidRPr="007A061E">
        <w:rPr>
          <w:rFonts w:eastAsia="楷体" w:hint="eastAsia"/>
          <w:snapToGrid w:val="0"/>
          <w:kern w:val="0"/>
          <w:sz w:val="32"/>
          <w:szCs w:val="32"/>
        </w:rPr>
        <w:t>：</w:t>
      </w:r>
      <w:r w:rsidRPr="007A061E">
        <w:rPr>
          <w:rFonts w:eastAsia="楷体" w:hint="eastAsia"/>
          <w:snapToGrid w:val="0"/>
          <w:kern w:val="0"/>
          <w:sz w:val="32"/>
          <w:szCs w:val="32"/>
        </w:rPr>
        <w:t>51.7</w:t>
      </w:r>
      <w:r w:rsidR="00343B77" w:rsidRPr="007A061E">
        <w:rPr>
          <w:rFonts w:eastAsia="楷体" w:hint="eastAsia"/>
          <w:snapToGrid w:val="0"/>
          <w:kern w:val="0"/>
          <w:sz w:val="32"/>
          <w:szCs w:val="32"/>
        </w:rPr>
        <w:t>，并对历史数据进行了修订</w:t>
      </w:r>
      <w:r w:rsidRPr="007A061E">
        <w:rPr>
          <w:rFonts w:eastAsia="楷体" w:hint="eastAsia"/>
          <w:snapToGrid w:val="0"/>
          <w:kern w:val="0"/>
          <w:sz w:val="32"/>
          <w:szCs w:val="32"/>
        </w:rPr>
        <w:t>。</w:t>
      </w:r>
    </w:p>
    <w:p w:rsidR="00024185" w:rsidRPr="007A061E" w:rsidRDefault="00707518">
      <w:pPr>
        <w:adjustRightInd w:val="0"/>
        <w:snapToGrid w:val="0"/>
        <w:spacing w:line="288" w:lineRule="auto"/>
        <w:ind w:firstLineChars="200" w:firstLine="640"/>
        <w:rPr>
          <w:rFonts w:eastAsia="楷体"/>
          <w:snapToGrid w:val="0"/>
          <w:kern w:val="0"/>
          <w:sz w:val="32"/>
          <w:szCs w:val="32"/>
        </w:rPr>
      </w:pPr>
      <w:r w:rsidRPr="007A061E">
        <w:rPr>
          <w:rFonts w:eastAsia="楷体"/>
          <w:snapToGrid w:val="0"/>
          <w:kern w:val="0"/>
          <w:sz w:val="32"/>
          <w:szCs w:val="32"/>
        </w:rPr>
        <w:t>3.</w:t>
      </w:r>
      <w:r w:rsidRPr="007A061E">
        <w:rPr>
          <w:rFonts w:eastAsia="楷体"/>
          <w:snapToGrid w:val="0"/>
          <w:kern w:val="0"/>
          <w:sz w:val="32"/>
          <w:szCs w:val="32"/>
        </w:rPr>
        <w:t>三次产业分类依据国家统计局</w:t>
      </w:r>
      <w:r w:rsidRPr="007A061E">
        <w:rPr>
          <w:rFonts w:eastAsia="楷体"/>
          <w:snapToGrid w:val="0"/>
          <w:kern w:val="0"/>
          <w:sz w:val="32"/>
          <w:szCs w:val="32"/>
        </w:rPr>
        <w:t>2018</w:t>
      </w:r>
      <w:r w:rsidRPr="007A061E">
        <w:rPr>
          <w:rFonts w:eastAsia="楷体"/>
          <w:snapToGrid w:val="0"/>
          <w:kern w:val="0"/>
          <w:sz w:val="32"/>
          <w:szCs w:val="32"/>
        </w:rPr>
        <w:t>年修订的《三次产业划分规定》，第一产业是指农、林、牧、渔业（不含农、林、牧、</w:t>
      </w:r>
      <w:proofErr w:type="gramStart"/>
      <w:r w:rsidRPr="007A061E">
        <w:rPr>
          <w:rFonts w:eastAsia="楷体"/>
          <w:snapToGrid w:val="0"/>
          <w:kern w:val="0"/>
          <w:sz w:val="32"/>
          <w:szCs w:val="32"/>
        </w:rPr>
        <w:t>渔专业</w:t>
      </w:r>
      <w:proofErr w:type="gramEnd"/>
      <w:r w:rsidRPr="007A061E">
        <w:rPr>
          <w:rFonts w:eastAsia="楷体"/>
          <w:snapToGrid w:val="0"/>
          <w:kern w:val="0"/>
          <w:sz w:val="32"/>
          <w:szCs w:val="32"/>
        </w:rPr>
        <w:t>及辅助性活动）；第二产业是指采矿业（不含开采专业及辅助性活动），制造业（不含金属制品、机械</w:t>
      </w:r>
      <w:r w:rsidRPr="007A061E">
        <w:rPr>
          <w:rFonts w:eastAsia="楷体"/>
          <w:snapToGrid w:val="0"/>
          <w:kern w:val="0"/>
          <w:sz w:val="32"/>
          <w:szCs w:val="32"/>
        </w:rPr>
        <w:lastRenderedPageBreak/>
        <w:t>和设备修理业），电力、热力、燃气及水生产和供应业，建筑业；第三产业即服务业，是指除第一产业、第二产业以外的其他行业（剔除国际组织）。</w:t>
      </w:r>
    </w:p>
    <w:p w:rsidR="00024185" w:rsidRPr="007A061E" w:rsidRDefault="00707518">
      <w:pPr>
        <w:adjustRightInd w:val="0"/>
        <w:snapToGrid w:val="0"/>
        <w:spacing w:line="288" w:lineRule="auto"/>
        <w:ind w:firstLineChars="200" w:firstLine="640"/>
        <w:rPr>
          <w:rFonts w:eastAsia="楷体"/>
          <w:snapToGrid w:val="0"/>
          <w:kern w:val="0"/>
          <w:sz w:val="32"/>
          <w:szCs w:val="32"/>
        </w:rPr>
      </w:pPr>
      <w:r w:rsidRPr="007A061E">
        <w:rPr>
          <w:rFonts w:eastAsia="楷体"/>
          <w:snapToGrid w:val="0"/>
          <w:kern w:val="0"/>
          <w:sz w:val="32"/>
          <w:szCs w:val="32"/>
        </w:rPr>
        <w:t>4.</w:t>
      </w:r>
      <w:r w:rsidRPr="007A061E">
        <w:rPr>
          <w:rFonts w:eastAsia="楷体"/>
          <w:snapToGrid w:val="0"/>
          <w:kern w:val="0"/>
          <w:sz w:val="32"/>
          <w:szCs w:val="32"/>
        </w:rPr>
        <w:t>年末农业机械总动力与农用拖拉机为上报数。</w:t>
      </w:r>
    </w:p>
    <w:p w:rsidR="00024185" w:rsidRPr="007A061E" w:rsidRDefault="00707518">
      <w:pPr>
        <w:adjustRightInd w:val="0"/>
        <w:snapToGrid w:val="0"/>
        <w:spacing w:line="288" w:lineRule="auto"/>
        <w:ind w:firstLineChars="200" w:firstLine="640"/>
        <w:rPr>
          <w:rFonts w:eastAsia="楷体"/>
          <w:snapToGrid w:val="0"/>
          <w:kern w:val="0"/>
          <w:sz w:val="32"/>
          <w:szCs w:val="32"/>
        </w:rPr>
      </w:pPr>
      <w:r w:rsidRPr="007A061E">
        <w:rPr>
          <w:rFonts w:eastAsia="楷体" w:hint="eastAsia"/>
          <w:snapToGrid w:val="0"/>
          <w:kern w:val="0"/>
          <w:sz w:val="32"/>
          <w:szCs w:val="32"/>
        </w:rPr>
        <w:t>5.</w:t>
      </w:r>
      <w:r w:rsidRPr="007A061E">
        <w:rPr>
          <w:rFonts w:eastAsia="楷体"/>
          <w:snapToGrid w:val="0"/>
          <w:kern w:val="0"/>
          <w:sz w:val="32"/>
          <w:szCs w:val="32"/>
        </w:rPr>
        <w:t>工业战略性新兴产业根据国务院第五次全国经济普查领导小组办公室印发的《工业战略性新兴产业分类目录（</w:t>
      </w:r>
      <w:r w:rsidRPr="007A061E">
        <w:rPr>
          <w:rFonts w:eastAsia="楷体"/>
          <w:snapToGrid w:val="0"/>
          <w:kern w:val="0"/>
          <w:sz w:val="32"/>
          <w:szCs w:val="32"/>
        </w:rPr>
        <w:t>2023</w:t>
      </w:r>
      <w:r w:rsidRPr="007A061E">
        <w:rPr>
          <w:rFonts w:eastAsia="楷体"/>
          <w:snapToGrid w:val="0"/>
          <w:kern w:val="0"/>
          <w:sz w:val="32"/>
          <w:szCs w:val="32"/>
        </w:rPr>
        <w:t>）》确定。</w:t>
      </w:r>
    </w:p>
    <w:p w:rsidR="00024185" w:rsidRDefault="00C03E4E">
      <w:pPr>
        <w:adjustRightInd w:val="0"/>
        <w:snapToGrid w:val="0"/>
        <w:spacing w:line="288" w:lineRule="auto"/>
        <w:ind w:firstLineChars="200" w:firstLine="640"/>
        <w:rPr>
          <w:rFonts w:eastAsia="楷体"/>
          <w:color w:val="FF0000"/>
          <w:kern w:val="0"/>
          <w:sz w:val="32"/>
          <w:szCs w:val="32"/>
        </w:rPr>
      </w:pPr>
      <w:r w:rsidRPr="007A061E">
        <w:rPr>
          <w:rFonts w:eastAsia="楷体" w:hint="eastAsia"/>
          <w:snapToGrid w:val="0"/>
          <w:kern w:val="0"/>
          <w:sz w:val="32"/>
          <w:szCs w:val="32"/>
        </w:rPr>
        <w:t>6</w:t>
      </w:r>
      <w:r w:rsidR="00707518" w:rsidRPr="007A061E">
        <w:rPr>
          <w:rFonts w:eastAsia="楷体" w:hint="eastAsia"/>
          <w:snapToGrid w:val="0"/>
          <w:kern w:val="0"/>
          <w:sz w:val="32"/>
          <w:szCs w:val="32"/>
        </w:rPr>
        <w:t>.</w:t>
      </w:r>
      <w:r w:rsidR="00707518" w:rsidRPr="007A061E">
        <w:rPr>
          <w:rFonts w:eastAsia="楷体"/>
          <w:snapToGrid w:val="0"/>
          <w:kern w:val="0"/>
          <w:sz w:val="32"/>
          <w:szCs w:val="32"/>
        </w:rPr>
        <w:t>资料来源：本公报中城镇新增就业、失业人员再就业、就业困难人员就业、参加城镇养老、失业保险数据来自市人力资源和社会保障局；参加城镇职工医疗保险数据来自市医疗保障局；财政数据来自市财政局；农业机械总动力、农用拖拉机数据来自市农业农村局；进出口数据来自市商务局；高速公路通车里程数据来自市交通运输局；</w:t>
      </w:r>
      <w:r w:rsidR="004620B7" w:rsidRPr="007A061E">
        <w:rPr>
          <w:rFonts w:eastAsia="楷体" w:hint="eastAsia"/>
          <w:snapToGrid w:val="0"/>
          <w:kern w:val="0"/>
          <w:sz w:val="32"/>
          <w:szCs w:val="32"/>
        </w:rPr>
        <w:t>货物运输量、货物运输周转量、旅客运输量、旅客运输周转量</w:t>
      </w:r>
      <w:r w:rsidR="00707518" w:rsidRPr="007A061E">
        <w:rPr>
          <w:rFonts w:eastAsia="楷体"/>
          <w:snapToGrid w:val="0"/>
          <w:kern w:val="0"/>
          <w:sz w:val="32"/>
          <w:szCs w:val="32"/>
        </w:rPr>
        <w:t>为综合数据，数据来自市交通运输局、中国南方航空股份有限公司南阳基地等部门；汽车保有量数据来自市公安局交警大队；邮政业务总量、快递业务数据来自市邮政管理局；电信业务总量、局用交换机总容量、固定电话用户、移动电话用户、互联网用户数据来自市移动公司、市联通公司、市电信公司；上市公司、发行股票数据来自市政府办；保险数据来自国家金融监督管理总局南阳监管分局；金融机构本外币各项存贷款数据来自</w:t>
      </w:r>
      <w:bookmarkStart w:id="8" w:name="OLE_LINK1"/>
      <w:bookmarkStart w:id="9" w:name="OLE_LINK2"/>
      <w:r w:rsidR="00707518" w:rsidRPr="007A061E">
        <w:rPr>
          <w:rFonts w:eastAsia="楷体"/>
          <w:snapToGrid w:val="0"/>
          <w:kern w:val="0"/>
          <w:sz w:val="32"/>
          <w:szCs w:val="32"/>
        </w:rPr>
        <w:t>中国人民银行南阳市分行</w:t>
      </w:r>
      <w:bookmarkEnd w:id="8"/>
      <w:bookmarkEnd w:id="9"/>
      <w:r w:rsidR="00707518" w:rsidRPr="007A061E">
        <w:rPr>
          <w:rFonts w:eastAsia="楷体"/>
          <w:snapToGrid w:val="0"/>
          <w:kern w:val="0"/>
          <w:sz w:val="32"/>
          <w:szCs w:val="32"/>
        </w:rPr>
        <w:t>；教育数据来自市教育局；省级及以上企业技术中心、省级及以上工程研究中心（工程实验室）数据来自市发展和改革委员会；省级工程技术研究中心、省级重点实验室、重大科技专项、获得省级科技进步奖项、签订技术合同、技术合同成交额数据来自市科技局；授权专利、</w:t>
      </w:r>
      <w:r w:rsidR="00707518" w:rsidRPr="007A061E">
        <w:rPr>
          <w:rFonts w:eastAsia="楷体" w:hint="eastAsia"/>
          <w:snapToGrid w:val="0"/>
          <w:kern w:val="0"/>
          <w:sz w:val="32"/>
          <w:szCs w:val="32"/>
        </w:rPr>
        <w:t>有效发明专利、</w:t>
      </w:r>
      <w:r w:rsidR="00707518" w:rsidRPr="007A061E">
        <w:rPr>
          <w:rFonts w:eastAsia="楷体"/>
          <w:snapToGrid w:val="0"/>
          <w:kern w:val="0"/>
          <w:sz w:val="32"/>
          <w:szCs w:val="32"/>
        </w:rPr>
        <w:t>国家地理标志</w:t>
      </w:r>
      <w:r w:rsidR="00707518" w:rsidRPr="007A061E">
        <w:rPr>
          <w:rFonts w:eastAsia="楷体" w:hint="eastAsia"/>
          <w:snapToGrid w:val="0"/>
          <w:kern w:val="0"/>
          <w:sz w:val="32"/>
          <w:szCs w:val="32"/>
        </w:rPr>
        <w:t>保护</w:t>
      </w:r>
      <w:r w:rsidR="00707518" w:rsidRPr="007A061E">
        <w:rPr>
          <w:rFonts w:eastAsia="楷体"/>
          <w:snapToGrid w:val="0"/>
          <w:kern w:val="0"/>
          <w:sz w:val="32"/>
          <w:szCs w:val="32"/>
        </w:rPr>
        <w:t>产品、检验检测机构、产品质量、体系认证机构、完成产品认证的企业、</w:t>
      </w:r>
      <w:r w:rsidR="00707518" w:rsidRPr="007A061E">
        <w:rPr>
          <w:rFonts w:eastAsia="楷体"/>
          <w:snapToGrid w:val="0"/>
          <w:kern w:val="0"/>
          <w:sz w:val="32"/>
          <w:szCs w:val="32"/>
        </w:rPr>
        <w:lastRenderedPageBreak/>
        <w:t>法定计量技术机构、强制检定计量器具、制定、修订地方标</w:t>
      </w:r>
      <w:r w:rsidR="00707518" w:rsidRPr="00E06322">
        <w:rPr>
          <w:rFonts w:eastAsia="楷体"/>
          <w:snapToGrid w:val="0"/>
          <w:kern w:val="0"/>
          <w:sz w:val="32"/>
          <w:szCs w:val="32"/>
        </w:rPr>
        <w:t>准</w:t>
      </w:r>
      <w:r w:rsidR="00707518" w:rsidRPr="00E06322">
        <w:rPr>
          <w:rFonts w:eastAsia="楷体" w:hint="eastAsia"/>
          <w:snapToGrid w:val="0"/>
          <w:kern w:val="0"/>
          <w:sz w:val="32"/>
          <w:szCs w:val="32"/>
        </w:rPr>
        <w:t>、新建计量标准</w:t>
      </w:r>
      <w:r w:rsidR="00707518" w:rsidRPr="00E06322">
        <w:rPr>
          <w:rFonts w:eastAsia="楷体"/>
          <w:snapToGrid w:val="0"/>
          <w:kern w:val="0"/>
          <w:sz w:val="32"/>
          <w:szCs w:val="32"/>
        </w:rPr>
        <w:t>数据来自市市场监督管理局；天气雷达观测站点、卫星数据广播接收系统</w:t>
      </w:r>
      <w:r w:rsidR="00707518" w:rsidRPr="00E06322">
        <w:rPr>
          <w:rFonts w:eastAsia="楷体" w:hint="eastAsia"/>
          <w:snapToGrid w:val="0"/>
          <w:kern w:val="0"/>
          <w:sz w:val="32"/>
          <w:szCs w:val="32"/>
        </w:rPr>
        <w:t>、</w:t>
      </w:r>
      <w:r w:rsidR="00707518" w:rsidRPr="00E06322">
        <w:rPr>
          <w:rFonts w:eastAsia="楷体"/>
          <w:snapToGrid w:val="0"/>
          <w:kern w:val="0"/>
          <w:sz w:val="32"/>
          <w:szCs w:val="32"/>
        </w:rPr>
        <w:t>区域气象观测</w:t>
      </w:r>
      <w:proofErr w:type="gramStart"/>
      <w:r w:rsidR="00707518" w:rsidRPr="00E06322">
        <w:rPr>
          <w:rFonts w:eastAsia="楷体"/>
          <w:snapToGrid w:val="0"/>
          <w:kern w:val="0"/>
          <w:sz w:val="32"/>
          <w:szCs w:val="32"/>
        </w:rPr>
        <w:t>站数据</w:t>
      </w:r>
      <w:proofErr w:type="gramEnd"/>
      <w:r w:rsidR="00707518" w:rsidRPr="00E06322">
        <w:rPr>
          <w:rFonts w:eastAsia="楷体"/>
          <w:snapToGrid w:val="0"/>
          <w:kern w:val="0"/>
          <w:sz w:val="32"/>
          <w:szCs w:val="32"/>
        </w:rPr>
        <w:t>来自市气象局；艺术表演团体、文化馆、公共图书馆、博物馆、重点文物保护单位、</w:t>
      </w:r>
      <w:r w:rsidR="00707518" w:rsidRPr="00E06322">
        <w:rPr>
          <w:rFonts w:eastAsia="楷体" w:hint="eastAsia"/>
          <w:snapToGrid w:val="0"/>
          <w:kern w:val="0"/>
          <w:sz w:val="32"/>
          <w:szCs w:val="32"/>
        </w:rPr>
        <w:t>国家级非物质文化遗产名录、</w:t>
      </w:r>
      <w:r w:rsidR="004C2A40">
        <w:rPr>
          <w:rFonts w:eastAsia="楷体"/>
          <w:snapToGrid w:val="0"/>
          <w:kern w:val="0"/>
          <w:sz w:val="32"/>
          <w:szCs w:val="32"/>
        </w:rPr>
        <w:t>广播电视人口覆盖</w:t>
      </w:r>
      <w:r w:rsidR="00707518" w:rsidRPr="00E06322">
        <w:rPr>
          <w:rFonts w:eastAsia="楷体"/>
          <w:snapToGrid w:val="0"/>
          <w:kern w:val="0"/>
          <w:sz w:val="32"/>
          <w:szCs w:val="32"/>
        </w:rPr>
        <w:t>数据来自</w:t>
      </w:r>
      <w:r w:rsidR="00707518" w:rsidRPr="00E06322">
        <w:rPr>
          <w:rFonts w:eastAsia="楷体" w:hint="eastAsia"/>
          <w:snapToGrid w:val="0"/>
          <w:kern w:val="0"/>
          <w:sz w:val="32"/>
          <w:szCs w:val="32"/>
        </w:rPr>
        <w:t>市文化广电和旅游局</w:t>
      </w:r>
      <w:r w:rsidR="00707518" w:rsidRPr="00E06322">
        <w:rPr>
          <w:rFonts w:eastAsia="楷体"/>
          <w:snapToGrid w:val="0"/>
          <w:kern w:val="0"/>
          <w:sz w:val="32"/>
          <w:szCs w:val="32"/>
        </w:rPr>
        <w:t>；医疗卫生、体育数据来自市</w:t>
      </w:r>
      <w:r w:rsidR="00707518" w:rsidRPr="00E06322">
        <w:rPr>
          <w:rFonts w:eastAsia="楷体" w:hint="eastAsia"/>
          <w:snapToGrid w:val="0"/>
          <w:kern w:val="0"/>
          <w:sz w:val="32"/>
          <w:szCs w:val="32"/>
        </w:rPr>
        <w:t>卫生健康体育委员会</w:t>
      </w:r>
      <w:r w:rsidR="00707518" w:rsidRPr="00E06322">
        <w:rPr>
          <w:rFonts w:eastAsia="楷体"/>
          <w:snapToGrid w:val="0"/>
          <w:kern w:val="0"/>
          <w:sz w:val="32"/>
          <w:szCs w:val="32"/>
        </w:rPr>
        <w:t>；</w:t>
      </w:r>
      <w:r w:rsidR="00707518" w:rsidRPr="00E06322">
        <w:rPr>
          <w:rFonts w:eastAsia="楷体" w:hint="eastAsia"/>
          <w:snapToGrid w:val="0"/>
          <w:kern w:val="0"/>
          <w:sz w:val="32"/>
          <w:szCs w:val="32"/>
        </w:rPr>
        <w:t>居民消费价格、</w:t>
      </w:r>
      <w:r w:rsidR="00707518" w:rsidRPr="00E06322">
        <w:rPr>
          <w:rFonts w:eastAsia="楷体"/>
          <w:snapToGrid w:val="0"/>
          <w:kern w:val="0"/>
          <w:sz w:val="32"/>
          <w:szCs w:val="32"/>
        </w:rPr>
        <w:t>粮食、畜产品、城乡居民收支数据来自国家统计局南阳调查队；城乡低保、各类福利院、养老服务机构和设施、各类机构和设施收养、救助和服务人数、销售福利彩票数据来自市民政局；各种矿种</w:t>
      </w:r>
      <w:r w:rsidR="00707518" w:rsidRPr="00E06322">
        <w:rPr>
          <w:rFonts w:eastAsia="楷体" w:hint="eastAsia"/>
          <w:snapToGrid w:val="0"/>
          <w:kern w:val="0"/>
          <w:sz w:val="32"/>
          <w:szCs w:val="32"/>
        </w:rPr>
        <w:t>、国有建设用地供应</w:t>
      </w:r>
      <w:r w:rsidR="00707518" w:rsidRPr="00E06322">
        <w:rPr>
          <w:rFonts w:eastAsia="楷体"/>
          <w:snapToGrid w:val="0"/>
          <w:kern w:val="0"/>
          <w:sz w:val="32"/>
          <w:szCs w:val="32"/>
        </w:rPr>
        <w:t>数据来自市自然资源和规划局；</w:t>
      </w:r>
      <w:r w:rsidR="00707518" w:rsidRPr="00E06322">
        <w:rPr>
          <w:rFonts w:eastAsia="楷体" w:hint="eastAsia"/>
          <w:snapToGrid w:val="0"/>
          <w:kern w:val="0"/>
          <w:sz w:val="32"/>
          <w:szCs w:val="32"/>
        </w:rPr>
        <w:t>发电装机容量、</w:t>
      </w:r>
      <w:r w:rsidR="00707518" w:rsidRPr="00E06322">
        <w:rPr>
          <w:rFonts w:eastAsia="楷体"/>
          <w:snapToGrid w:val="0"/>
          <w:kern w:val="0"/>
          <w:sz w:val="32"/>
          <w:szCs w:val="32"/>
        </w:rPr>
        <w:t>全社会用电量、工业用电量数据来自市供电公司；造林、自然保护区、</w:t>
      </w:r>
      <w:r w:rsidR="00707518" w:rsidRPr="00E06322">
        <w:rPr>
          <w:rFonts w:eastAsia="楷体" w:hint="eastAsia"/>
          <w:snapToGrid w:val="0"/>
          <w:kern w:val="0"/>
          <w:sz w:val="32"/>
          <w:szCs w:val="32"/>
        </w:rPr>
        <w:t>森林公园、</w:t>
      </w:r>
      <w:r w:rsidR="00707518" w:rsidRPr="00E06322">
        <w:rPr>
          <w:rFonts w:eastAsia="楷体"/>
          <w:snapToGrid w:val="0"/>
          <w:kern w:val="0"/>
          <w:sz w:val="32"/>
          <w:szCs w:val="32"/>
        </w:rPr>
        <w:t>森林覆盖率数据来自市林业局；地震观测站、</w:t>
      </w:r>
      <w:r w:rsidR="00707518" w:rsidRPr="00E06322">
        <w:rPr>
          <w:rFonts w:eastAsia="楷体" w:hint="eastAsia"/>
          <w:snapToGrid w:val="0"/>
          <w:kern w:val="0"/>
          <w:sz w:val="32"/>
          <w:szCs w:val="32"/>
        </w:rPr>
        <w:t>地震观测</w:t>
      </w:r>
      <w:proofErr w:type="gramStart"/>
      <w:r w:rsidR="00707518" w:rsidRPr="00E06322">
        <w:rPr>
          <w:rFonts w:eastAsia="楷体" w:hint="eastAsia"/>
          <w:snapToGrid w:val="0"/>
          <w:kern w:val="0"/>
          <w:sz w:val="32"/>
          <w:szCs w:val="32"/>
        </w:rPr>
        <w:t>测</w:t>
      </w:r>
      <w:proofErr w:type="gramEnd"/>
      <w:r w:rsidR="00707518" w:rsidRPr="00E06322">
        <w:rPr>
          <w:rFonts w:eastAsia="楷体" w:hint="eastAsia"/>
          <w:snapToGrid w:val="0"/>
          <w:kern w:val="0"/>
          <w:sz w:val="32"/>
          <w:szCs w:val="32"/>
        </w:rPr>
        <w:t>项、</w:t>
      </w:r>
      <w:r w:rsidR="00707518" w:rsidRPr="00E06322">
        <w:rPr>
          <w:rFonts w:eastAsia="楷体"/>
          <w:snapToGrid w:val="0"/>
          <w:kern w:val="0"/>
          <w:sz w:val="32"/>
          <w:szCs w:val="32"/>
        </w:rPr>
        <w:t>各类生产安全伤亡数据来自市应急管理局；其他数据来自市统计局。</w:t>
      </w:r>
    </w:p>
    <w:p w:rsidR="00024185" w:rsidRDefault="00024185">
      <w:pPr>
        <w:rPr>
          <w:color w:val="FF0000"/>
          <w:sz w:val="32"/>
          <w:szCs w:val="32"/>
        </w:rPr>
      </w:pPr>
    </w:p>
    <w:p w:rsidR="00024185" w:rsidRDefault="00024185">
      <w:pPr>
        <w:rPr>
          <w:color w:val="FF0000"/>
          <w:sz w:val="32"/>
          <w:szCs w:val="32"/>
        </w:rPr>
      </w:pPr>
    </w:p>
    <w:p w:rsidR="00024185" w:rsidRDefault="00024185">
      <w:pPr>
        <w:rPr>
          <w:color w:val="FF0000"/>
          <w:sz w:val="32"/>
          <w:szCs w:val="32"/>
        </w:rPr>
      </w:pPr>
    </w:p>
    <w:sectPr w:rsidR="00024185">
      <w:footerReference w:type="default" r:id="rId15"/>
      <w:footerReference w:type="first" r:id="rId16"/>
      <w:pgSz w:w="11907" w:h="16839"/>
      <w:pgMar w:top="1440" w:right="1758" w:bottom="1440" w:left="1797" w:header="0" w:footer="737"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724" w:rsidRDefault="001B1724">
      <w:r>
        <w:separator/>
      </w:r>
    </w:p>
  </w:endnote>
  <w:endnote w:type="continuationSeparator" w:id="0">
    <w:p w:rsidR="001B1724" w:rsidRDefault="001B1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185" w:rsidRDefault="00707518">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24185" w:rsidRDefault="00707518">
                          <w:pPr>
                            <w:pStyle w:val="a4"/>
                          </w:pPr>
                          <w: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4761CE">
                            <w:rPr>
                              <w:rFonts w:ascii="Times New Roman" w:hAnsi="Times New Roman" w:cs="Times New Roman"/>
                              <w:noProof/>
                              <w:sz w:val="28"/>
                              <w:szCs w:val="28"/>
                            </w:rPr>
                            <w:t>2</w:t>
                          </w:r>
                          <w:r>
                            <w:rPr>
                              <w:rFonts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024185" w:rsidRDefault="00707518">
                    <w:pPr>
                      <w:pStyle w:val="a4"/>
                    </w:pPr>
                    <w: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4761CE">
                      <w:rPr>
                        <w:rFonts w:ascii="Times New Roman" w:hAnsi="Times New Roman" w:cs="Times New Roman"/>
                        <w:noProof/>
                        <w:sz w:val="28"/>
                        <w:szCs w:val="28"/>
                      </w:rPr>
                      <w:t>2</w:t>
                    </w:r>
                    <w:r>
                      <w:rPr>
                        <w:rFonts w:ascii="Times New Roman" w:hAnsi="Times New Roman" w:cs="Times New Roman"/>
                        <w:sz w:val="28"/>
                        <w:szCs w:val="28"/>
                      </w:rPr>
                      <w:fldChar w:fldCharType="end"/>
                    </w:r>
                    <w: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185" w:rsidRDefault="00707518">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24185" w:rsidRDefault="00707518">
                          <w:pPr>
                            <w:pStyle w:val="a4"/>
                          </w:pPr>
                          <w:r>
                            <w:t xml:space="preserve">— </w:t>
                          </w:r>
                          <w:r>
                            <w:fldChar w:fldCharType="begin"/>
                          </w:r>
                          <w:r>
                            <w:instrText xml:space="preserve"> PAGE  \* MERGEFORMAT </w:instrText>
                          </w:r>
                          <w:r>
                            <w:fldChar w:fldCharType="separate"/>
                          </w:r>
                          <w:r w:rsidR="004761CE">
                            <w:rPr>
                              <w:noProof/>
                            </w:rP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rsidR="00024185" w:rsidRDefault="00707518">
                    <w:pPr>
                      <w:pStyle w:val="a4"/>
                    </w:pPr>
                    <w:r>
                      <w:t xml:space="preserve">— </w:t>
                    </w:r>
                    <w:r>
                      <w:fldChar w:fldCharType="begin"/>
                    </w:r>
                    <w:r>
                      <w:instrText xml:space="preserve"> PAGE  \* MERGEFORMAT </w:instrText>
                    </w:r>
                    <w:r>
                      <w:fldChar w:fldCharType="separate"/>
                    </w:r>
                    <w:r w:rsidR="004761CE">
                      <w:rPr>
                        <w:noProof/>
                      </w:rPr>
                      <w:t>1</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724" w:rsidRDefault="001B1724">
      <w:r>
        <w:separator/>
      </w:r>
    </w:p>
  </w:footnote>
  <w:footnote w:type="continuationSeparator" w:id="0">
    <w:p w:rsidR="001B1724" w:rsidRDefault="001B17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9B6"/>
    <w:rsid w:val="00024185"/>
    <w:rsid w:val="00043860"/>
    <w:rsid w:val="000A4DC0"/>
    <w:rsid w:val="001312DE"/>
    <w:rsid w:val="0013197E"/>
    <w:rsid w:val="00152ECF"/>
    <w:rsid w:val="001B1724"/>
    <w:rsid w:val="0022377D"/>
    <w:rsid w:val="0024698A"/>
    <w:rsid w:val="00275CD0"/>
    <w:rsid w:val="002B6C2C"/>
    <w:rsid w:val="002E1CC5"/>
    <w:rsid w:val="002F672C"/>
    <w:rsid w:val="0034388A"/>
    <w:rsid w:val="00343B77"/>
    <w:rsid w:val="003924D0"/>
    <w:rsid w:val="003C10C9"/>
    <w:rsid w:val="004620B7"/>
    <w:rsid w:val="00472A6C"/>
    <w:rsid w:val="004761CE"/>
    <w:rsid w:val="004C1A5E"/>
    <w:rsid w:val="004C2A40"/>
    <w:rsid w:val="004E0863"/>
    <w:rsid w:val="004F0A00"/>
    <w:rsid w:val="00570738"/>
    <w:rsid w:val="00576ABE"/>
    <w:rsid w:val="005B4B62"/>
    <w:rsid w:val="005C0A36"/>
    <w:rsid w:val="005D6DDF"/>
    <w:rsid w:val="005E624C"/>
    <w:rsid w:val="006E23B1"/>
    <w:rsid w:val="00707518"/>
    <w:rsid w:val="007923D8"/>
    <w:rsid w:val="007A061E"/>
    <w:rsid w:val="007D72ED"/>
    <w:rsid w:val="007F3AFC"/>
    <w:rsid w:val="008233BC"/>
    <w:rsid w:val="00862410"/>
    <w:rsid w:val="0086665F"/>
    <w:rsid w:val="008B5D9F"/>
    <w:rsid w:val="008C380F"/>
    <w:rsid w:val="00911B55"/>
    <w:rsid w:val="00960E6F"/>
    <w:rsid w:val="009737F8"/>
    <w:rsid w:val="00993CD6"/>
    <w:rsid w:val="009C79F7"/>
    <w:rsid w:val="009D47B9"/>
    <w:rsid w:val="00A15F47"/>
    <w:rsid w:val="00A7403F"/>
    <w:rsid w:val="00AC0EA9"/>
    <w:rsid w:val="00AD2260"/>
    <w:rsid w:val="00B837BA"/>
    <w:rsid w:val="00B96FFE"/>
    <w:rsid w:val="00BC463D"/>
    <w:rsid w:val="00C03E4E"/>
    <w:rsid w:val="00C43757"/>
    <w:rsid w:val="00C4401A"/>
    <w:rsid w:val="00C5567D"/>
    <w:rsid w:val="00C65396"/>
    <w:rsid w:val="00C76998"/>
    <w:rsid w:val="00CB4100"/>
    <w:rsid w:val="00CF5EEB"/>
    <w:rsid w:val="00D1662F"/>
    <w:rsid w:val="00D6233C"/>
    <w:rsid w:val="00DA0639"/>
    <w:rsid w:val="00DA1700"/>
    <w:rsid w:val="00DB36FD"/>
    <w:rsid w:val="00DB78C3"/>
    <w:rsid w:val="00DE3336"/>
    <w:rsid w:val="00E06322"/>
    <w:rsid w:val="00E17E40"/>
    <w:rsid w:val="00E57F25"/>
    <w:rsid w:val="00EE19B6"/>
    <w:rsid w:val="00F1087F"/>
    <w:rsid w:val="00F31017"/>
    <w:rsid w:val="00F41690"/>
    <w:rsid w:val="00F453D7"/>
    <w:rsid w:val="00F676AD"/>
    <w:rsid w:val="00F82322"/>
    <w:rsid w:val="00FA5AB0"/>
    <w:rsid w:val="00FD7F97"/>
    <w:rsid w:val="01747E56"/>
    <w:rsid w:val="01FF3BC3"/>
    <w:rsid w:val="04B018D3"/>
    <w:rsid w:val="0575123A"/>
    <w:rsid w:val="075447C7"/>
    <w:rsid w:val="0797664C"/>
    <w:rsid w:val="095567BF"/>
    <w:rsid w:val="0A165F4E"/>
    <w:rsid w:val="0A4F76B2"/>
    <w:rsid w:val="0A6968A6"/>
    <w:rsid w:val="0C44291F"/>
    <w:rsid w:val="0C572C4B"/>
    <w:rsid w:val="0C923886"/>
    <w:rsid w:val="0F0543E0"/>
    <w:rsid w:val="0F545B4D"/>
    <w:rsid w:val="0FC85F3C"/>
    <w:rsid w:val="10342B50"/>
    <w:rsid w:val="10390BE8"/>
    <w:rsid w:val="11733C86"/>
    <w:rsid w:val="12E642C5"/>
    <w:rsid w:val="14332434"/>
    <w:rsid w:val="152A6D51"/>
    <w:rsid w:val="153A3533"/>
    <w:rsid w:val="15D019F7"/>
    <w:rsid w:val="16790431"/>
    <w:rsid w:val="1706734A"/>
    <w:rsid w:val="1820443C"/>
    <w:rsid w:val="191915B7"/>
    <w:rsid w:val="1BBE4697"/>
    <w:rsid w:val="1CEE2E8E"/>
    <w:rsid w:val="1D320E99"/>
    <w:rsid w:val="1D3D339A"/>
    <w:rsid w:val="1D6D7E11"/>
    <w:rsid w:val="1DC00253"/>
    <w:rsid w:val="1E547A1D"/>
    <w:rsid w:val="1EB77BDB"/>
    <w:rsid w:val="1EC975DB"/>
    <w:rsid w:val="1FBF39F9"/>
    <w:rsid w:val="20120908"/>
    <w:rsid w:val="20A756FA"/>
    <w:rsid w:val="211B5721"/>
    <w:rsid w:val="22717D6E"/>
    <w:rsid w:val="22FB1D2D"/>
    <w:rsid w:val="23307C60"/>
    <w:rsid w:val="234C2589"/>
    <w:rsid w:val="24EF7670"/>
    <w:rsid w:val="25951FC5"/>
    <w:rsid w:val="25CB3C39"/>
    <w:rsid w:val="25EE5B79"/>
    <w:rsid w:val="279A23C7"/>
    <w:rsid w:val="27D8088F"/>
    <w:rsid w:val="2C245E51"/>
    <w:rsid w:val="2CE11F94"/>
    <w:rsid w:val="2D964B2C"/>
    <w:rsid w:val="2E7F7CB6"/>
    <w:rsid w:val="2F6F7D2B"/>
    <w:rsid w:val="308A649E"/>
    <w:rsid w:val="30E608F5"/>
    <w:rsid w:val="31435C67"/>
    <w:rsid w:val="31C51746"/>
    <w:rsid w:val="325110CD"/>
    <w:rsid w:val="344D2255"/>
    <w:rsid w:val="350766CD"/>
    <w:rsid w:val="366E2AEA"/>
    <w:rsid w:val="36C46BAE"/>
    <w:rsid w:val="38A02D03"/>
    <w:rsid w:val="39241B86"/>
    <w:rsid w:val="3A612966"/>
    <w:rsid w:val="3A77059E"/>
    <w:rsid w:val="3BF21AC7"/>
    <w:rsid w:val="3C5661D3"/>
    <w:rsid w:val="3D7D7AB7"/>
    <w:rsid w:val="3E7C7D6E"/>
    <w:rsid w:val="3F163D1F"/>
    <w:rsid w:val="3F3B4811"/>
    <w:rsid w:val="3F424B14"/>
    <w:rsid w:val="3FE71217"/>
    <w:rsid w:val="40CB0B39"/>
    <w:rsid w:val="413A1211"/>
    <w:rsid w:val="42DC2915"/>
    <w:rsid w:val="434D7F2B"/>
    <w:rsid w:val="465160C2"/>
    <w:rsid w:val="489108BA"/>
    <w:rsid w:val="48A8053D"/>
    <w:rsid w:val="4B257098"/>
    <w:rsid w:val="4BE56F53"/>
    <w:rsid w:val="4CB9218D"/>
    <w:rsid w:val="4D3C7046"/>
    <w:rsid w:val="4E346A58"/>
    <w:rsid w:val="4EAE2AF7"/>
    <w:rsid w:val="4F0C3BD5"/>
    <w:rsid w:val="4F0D785A"/>
    <w:rsid w:val="50967EB0"/>
    <w:rsid w:val="51005079"/>
    <w:rsid w:val="511F18B7"/>
    <w:rsid w:val="51255D0E"/>
    <w:rsid w:val="51E952C3"/>
    <w:rsid w:val="520C2D5F"/>
    <w:rsid w:val="54B07912"/>
    <w:rsid w:val="55446DED"/>
    <w:rsid w:val="55834254"/>
    <w:rsid w:val="55DB3175"/>
    <w:rsid w:val="567C297F"/>
    <w:rsid w:val="5B77250D"/>
    <w:rsid w:val="5D6E66E0"/>
    <w:rsid w:val="5D775E79"/>
    <w:rsid w:val="5E8C7702"/>
    <w:rsid w:val="5FCD3B2E"/>
    <w:rsid w:val="609F1BF8"/>
    <w:rsid w:val="60DF620F"/>
    <w:rsid w:val="614C3776"/>
    <w:rsid w:val="624F2F20"/>
    <w:rsid w:val="62690026"/>
    <w:rsid w:val="64C25C2B"/>
    <w:rsid w:val="653603C7"/>
    <w:rsid w:val="653D3504"/>
    <w:rsid w:val="66012783"/>
    <w:rsid w:val="66882EA5"/>
    <w:rsid w:val="670C5884"/>
    <w:rsid w:val="678C7CE1"/>
    <w:rsid w:val="67AF7FBD"/>
    <w:rsid w:val="67C779FD"/>
    <w:rsid w:val="6A3C1FDC"/>
    <w:rsid w:val="6B820CC0"/>
    <w:rsid w:val="6BA3608B"/>
    <w:rsid w:val="6BD9385B"/>
    <w:rsid w:val="6C254A9A"/>
    <w:rsid w:val="6E7C509D"/>
    <w:rsid w:val="6F4436E1"/>
    <w:rsid w:val="709D579F"/>
    <w:rsid w:val="70C409A2"/>
    <w:rsid w:val="71245578"/>
    <w:rsid w:val="720A716D"/>
    <w:rsid w:val="720A7EC3"/>
    <w:rsid w:val="757005AB"/>
    <w:rsid w:val="77151B22"/>
    <w:rsid w:val="7783749C"/>
    <w:rsid w:val="78852DA0"/>
    <w:rsid w:val="797D43BF"/>
    <w:rsid w:val="7A270FBC"/>
    <w:rsid w:val="7A933843"/>
    <w:rsid w:val="7ABB0CFB"/>
    <w:rsid w:val="7C570EF7"/>
    <w:rsid w:val="7D2012E9"/>
    <w:rsid w:val="7EEC1DCB"/>
    <w:rsid w:val="7F587460"/>
    <w:rsid w:val="7F8E4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Subtitle"/>
    <w:basedOn w:val="a"/>
    <w:next w:val="a"/>
    <w:link w:val="Char2"/>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a7">
    <w:name w:val="Title"/>
    <w:basedOn w:val="a"/>
    <w:link w:val="Char3"/>
    <w:qFormat/>
    <w:pPr>
      <w:spacing w:before="240" w:after="60"/>
      <w:jc w:val="center"/>
      <w:outlineLvl w:val="0"/>
    </w:pPr>
    <w:rPr>
      <w:rFonts w:ascii="Arial" w:hAnsi="Arial" w:cs="Arial"/>
      <w:b/>
      <w:bCs/>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3">
    <w:name w:val="标题 Char"/>
    <w:basedOn w:val="a0"/>
    <w:link w:val="a7"/>
    <w:qFormat/>
    <w:rPr>
      <w:rFonts w:ascii="Arial" w:eastAsia="宋体" w:hAnsi="Arial" w:cs="Arial"/>
      <w:b/>
      <w:bCs/>
      <w:sz w:val="32"/>
      <w:szCs w:val="32"/>
    </w:rPr>
  </w:style>
  <w:style w:type="character" w:customStyle="1" w:styleId="Char10">
    <w:name w:val="标题 Char1"/>
    <w:basedOn w:val="a0"/>
    <w:uiPriority w:val="10"/>
    <w:qFormat/>
    <w:rPr>
      <w:rFonts w:asciiTheme="majorHAnsi" w:eastAsia="宋体" w:hAnsiTheme="majorHAnsi" w:cstheme="majorBidi"/>
      <w:b/>
      <w:bCs/>
      <w:sz w:val="32"/>
      <w:szCs w:val="32"/>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character" w:customStyle="1" w:styleId="Char2">
    <w:name w:val="副标题 Char"/>
    <w:basedOn w:val="a0"/>
    <w:link w:val="a6"/>
    <w:uiPriority w:val="11"/>
    <w:qFormat/>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Subtitle"/>
    <w:basedOn w:val="a"/>
    <w:next w:val="a"/>
    <w:link w:val="Char2"/>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a7">
    <w:name w:val="Title"/>
    <w:basedOn w:val="a"/>
    <w:link w:val="Char3"/>
    <w:qFormat/>
    <w:pPr>
      <w:spacing w:before="240" w:after="60"/>
      <w:jc w:val="center"/>
      <w:outlineLvl w:val="0"/>
    </w:pPr>
    <w:rPr>
      <w:rFonts w:ascii="Arial" w:hAnsi="Arial" w:cs="Arial"/>
      <w:b/>
      <w:bCs/>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3">
    <w:name w:val="标题 Char"/>
    <w:basedOn w:val="a0"/>
    <w:link w:val="a7"/>
    <w:qFormat/>
    <w:rPr>
      <w:rFonts w:ascii="Arial" w:eastAsia="宋体" w:hAnsi="Arial" w:cs="Arial"/>
      <w:b/>
      <w:bCs/>
      <w:sz w:val="32"/>
      <w:szCs w:val="32"/>
    </w:rPr>
  </w:style>
  <w:style w:type="character" w:customStyle="1" w:styleId="Char10">
    <w:name w:val="标题 Char1"/>
    <w:basedOn w:val="a0"/>
    <w:uiPriority w:val="10"/>
    <w:qFormat/>
    <w:rPr>
      <w:rFonts w:asciiTheme="majorHAnsi" w:eastAsia="宋体" w:hAnsiTheme="majorHAnsi" w:cstheme="majorBidi"/>
      <w:b/>
      <w:bCs/>
      <w:sz w:val="32"/>
      <w:szCs w:val="32"/>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character" w:customStyle="1" w:styleId="Char2">
    <w:name w:val="副标题 Char"/>
    <w:basedOn w:val="a0"/>
    <w:link w:val="a6"/>
    <w:uiPriority w:val="11"/>
    <w:qFormat/>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5&#24180;&#20844;&#25253;&#25628;&#38598;\2025&#20844;&#25253;&#20316;&#2227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844;&#25253;\2025&#24180;&#20844;&#25253;&#25628;&#38598;\2025&#20844;&#25253;&#20316;&#2227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5&#24180;&#20844;&#25253;&#25628;&#38598;\2025&#20844;&#25253;&#20316;&#2227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5&#24180;&#20844;&#25253;&#25628;&#38598;\2025&#20844;&#25253;&#20316;&#2227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5&#24180;&#20844;&#25253;&#25628;&#38598;\2025&#20844;&#25253;&#20316;&#2227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5&#20844;&#25253;&#20316;&#2227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9125435813061"/>
          <c:y val="0.12564957264957299"/>
          <c:w val="0.79653778352332805"/>
          <c:h val="0.76365562678062704"/>
        </c:manualLayout>
      </c:layout>
      <c:barChart>
        <c:barDir val="col"/>
        <c:grouping val="clustered"/>
        <c:varyColors val="0"/>
        <c:ser>
          <c:idx val="0"/>
          <c:order val="0"/>
          <c:tx>
            <c:strRef>
              <c:f>[2025公报作图.xls]Sheet1!$B$43</c:f>
              <c:strCache>
                <c:ptCount val="1"/>
                <c:pt idx="0">
                  <c:v>地区生产总值</c:v>
                </c:pt>
              </c:strCache>
            </c:strRef>
          </c:tx>
          <c:spPr>
            <a:solidFill>
              <a:srgbClr val="FF7C80"/>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[2025公报作图.xls]Sheet1!$A$44:$A$49</c:f>
              <c:strCache>
                <c:ptCount val="5"/>
                <c:pt idx="0">
                  <c:v>2021年</c:v>
                </c:pt>
                <c:pt idx="1">
                  <c:v>2022年</c:v>
                </c:pt>
                <c:pt idx="2">
                  <c:v>2023年</c:v>
                </c:pt>
                <c:pt idx="3">
                  <c:v>2024年</c:v>
                </c:pt>
                <c:pt idx="4">
                  <c:v>2025年</c:v>
                </c:pt>
              </c:strCache>
            </c:strRef>
          </c:cat>
          <c:val>
            <c:numRef>
              <c:f>[2025公报作图.xls]Sheet1!$B$44:$B$49</c:f>
              <c:numCache>
                <c:formatCode>0.00</c:formatCode>
                <c:ptCount val="5"/>
                <c:pt idx="0">
                  <c:v>4293.73554212211</c:v>
                </c:pt>
                <c:pt idx="1">
                  <c:v>4436.0611983408198</c:v>
                </c:pt>
                <c:pt idx="2">
                  <c:v>4628.1187</c:v>
                </c:pt>
                <c:pt idx="3">
                  <c:v>4888.74</c:v>
                </c:pt>
                <c:pt idx="4">
                  <c:v>5167.8599999999997</c:v>
                </c:pt>
              </c:numCache>
            </c:numRef>
          </c:val>
        </c:ser>
        <c:dLbls>
          <c:showLegendKey val="0"/>
          <c:showVal val="0"/>
          <c:showCatName val="0"/>
          <c:showSerName val="0"/>
          <c:showPercent val="0"/>
          <c:showBubbleSize val="0"/>
        </c:dLbls>
        <c:gapWidth val="150"/>
        <c:axId val="61866752"/>
        <c:axId val="61868288"/>
      </c:barChart>
      <c:lineChart>
        <c:grouping val="standard"/>
        <c:varyColors val="0"/>
        <c:ser>
          <c:idx val="1"/>
          <c:order val="1"/>
          <c:tx>
            <c:strRef>
              <c:f>[2025公报作图.xls]Sheet1!$C$43</c:f>
              <c:strCache>
                <c:ptCount val="1"/>
                <c:pt idx="0">
                  <c:v>比上年增长</c:v>
                </c:pt>
              </c:strCache>
            </c:strRef>
          </c:tx>
          <c:spPr>
            <a:ln w="28575" cap="rnd" cmpd="sng" algn="ctr">
              <a:solidFill>
                <a:srgbClr val="8AAC46"/>
              </a:solidFill>
              <a:prstDash val="solid"/>
              <a:round/>
            </a:ln>
          </c:spPr>
          <c:marker>
            <c:symbol val="diamond"/>
            <c:size val="8"/>
            <c:spPr>
              <a:solidFill>
                <a:schemeClr val="accent3">
                  <a:lumMod val="20000"/>
                  <a:lumOff val="80000"/>
                </a:schemeClr>
              </a:solidFill>
              <a:ln w="9525" cap="flat" cmpd="sng" algn="ctr">
                <a:solidFill>
                  <a:schemeClr val="accent3"/>
                </a:solidFill>
                <a:prstDash val="solid"/>
                <a:round/>
              </a:ln>
            </c:spPr>
          </c:marker>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[2025公报作图.xls]Sheet1!$A$44:$A$49</c:f>
              <c:strCache>
                <c:ptCount val="5"/>
                <c:pt idx="0">
                  <c:v>2021年</c:v>
                </c:pt>
                <c:pt idx="1">
                  <c:v>2022年</c:v>
                </c:pt>
                <c:pt idx="2">
                  <c:v>2023年</c:v>
                </c:pt>
                <c:pt idx="3">
                  <c:v>2024年</c:v>
                </c:pt>
                <c:pt idx="4">
                  <c:v>2025年</c:v>
                </c:pt>
              </c:strCache>
            </c:strRef>
          </c:cat>
          <c:val>
            <c:numRef>
              <c:f>[2025公报作图.xls]Sheet1!$C$44:$C$49</c:f>
              <c:numCache>
                <c:formatCode>0.0</c:formatCode>
                <c:ptCount val="5"/>
                <c:pt idx="0">
                  <c:v>8.6999999999999993</c:v>
                </c:pt>
                <c:pt idx="1">
                  <c:v>4.2</c:v>
                </c:pt>
                <c:pt idx="2">
                  <c:v>4.9000000000000004</c:v>
                </c:pt>
                <c:pt idx="3">
                  <c:v>5.5</c:v>
                </c:pt>
                <c:pt idx="4">
                  <c:v>6.5</c:v>
                </c:pt>
              </c:numCache>
            </c:numRef>
          </c:val>
          <c:smooth val="0"/>
        </c:ser>
        <c:dLbls>
          <c:showLegendKey val="0"/>
          <c:showVal val="0"/>
          <c:showCatName val="0"/>
          <c:showSerName val="0"/>
          <c:showPercent val="0"/>
          <c:showBubbleSize val="0"/>
        </c:dLbls>
        <c:marker val="1"/>
        <c:smooth val="0"/>
        <c:axId val="61874560"/>
        <c:axId val="61876096"/>
      </c:lineChart>
      <c:catAx>
        <c:axId val="61866752"/>
        <c:scaling>
          <c:orientation val="minMax"/>
        </c:scaling>
        <c:delete val="0"/>
        <c:axPos val="b"/>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61868288"/>
        <c:crosses val="autoZero"/>
        <c:auto val="1"/>
        <c:lblAlgn val="ctr"/>
        <c:lblOffset val="100"/>
        <c:noMultiLvlLbl val="0"/>
      </c:catAx>
      <c:valAx>
        <c:axId val="61868288"/>
        <c:scaling>
          <c:orientation val="minMax"/>
          <c:max val="6000"/>
          <c:min val="0"/>
        </c:scaling>
        <c:delete val="0"/>
        <c:axPos val="l"/>
        <c:majorGridlines>
          <c:spPr>
            <a:ln w="9525" cap="flat" cmpd="sng" algn="ctr">
              <a:solidFill>
                <a:schemeClr val="accent1">
                  <a:alpha val="30000"/>
                </a:schemeClr>
              </a:solidFill>
              <a:prstDash val="solid"/>
              <a:round/>
            </a:ln>
          </c:spPr>
        </c:majorGridlines>
        <c:title>
          <c:tx>
            <c:rich>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b="0"/>
                  <a:t>亿元</a:t>
                </a:r>
                <a:endParaRPr lang="zh-CN" altLang="en-US"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3.5205514483656497E-2"/>
              <c:y val="7.5112669003505302E-3"/>
            </c:manualLayout>
          </c:layout>
          <c:overlay val="0"/>
        </c:title>
        <c:numFmt formatCode="#,##0_);[Red]\(#,##0\)" sourceLinked="0"/>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61866752"/>
        <c:crosses val="autoZero"/>
        <c:crossBetween val="between"/>
      </c:valAx>
      <c:catAx>
        <c:axId val="61874560"/>
        <c:scaling>
          <c:orientation val="minMax"/>
        </c:scaling>
        <c:delete val="1"/>
        <c:axPos val="b"/>
        <c:majorTickMark val="out"/>
        <c:minorTickMark val="none"/>
        <c:tickLblPos val="nextTo"/>
        <c:crossAx val="61876096"/>
        <c:crosses val="autoZero"/>
        <c:auto val="1"/>
        <c:lblAlgn val="ctr"/>
        <c:lblOffset val="100"/>
        <c:noMultiLvlLbl val="0"/>
      </c:catAx>
      <c:valAx>
        <c:axId val="61876096"/>
        <c:scaling>
          <c:orientation val="minMax"/>
          <c:max val="16"/>
          <c:min val="0"/>
        </c:scaling>
        <c:delete val="0"/>
        <c:axPos val="r"/>
        <c:title>
          <c:tx>
            <c:rich>
              <a:bodyPr rot="0" spcFirstLastPara="0" vertOverflow="ellipsis" vert="horz" wrap="square" anchor="ctr" anchorCtr="1"/>
              <a:lstStyle/>
              <a:p>
                <a:pPr>
                  <a:defRPr lang="zh-CN" sz="1200" b="0"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lang="en-US" altLang="zh-CN" b="0"/>
                  <a:t>%</a:t>
                </a:r>
                <a:endParaRPr lang="zh-CN" altLang="en-US" sz="1200" b="0" i="0" u="none" strike="noStrike"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endParaRPr>
              </a:p>
            </c:rich>
          </c:tx>
          <c:layout>
            <c:manualLayout>
              <c:xMode val="edge"/>
              <c:yMode val="edge"/>
              <c:x val="0.93476377952755896"/>
              <c:y val="1.20820263320743E-2"/>
            </c:manualLayout>
          </c:layout>
          <c:overlay val="0"/>
        </c:title>
        <c:numFmt formatCode="#,##0.0_ " sourceLinked="0"/>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61874560"/>
        <c:crosses val="max"/>
        <c:crossBetween val="between"/>
        <c:majorUnit val="4"/>
      </c:valAx>
      <c:spPr>
        <a:noFill/>
        <a:ln w="3175">
          <a:noFill/>
        </a:ln>
      </c:spPr>
    </c:plotArea>
    <c:legend>
      <c:legendPos val="r"/>
      <c:layout>
        <c:manualLayout>
          <c:xMode val="edge"/>
          <c:yMode val="edge"/>
          <c:x val="0.17862850467289701"/>
          <c:y val="7.5112669003505302E-3"/>
          <c:w val="0.62575000000000003"/>
          <c:h val="9.4500000000000001E-2"/>
        </c:manualLayout>
      </c:layout>
      <c:overlay val="0"/>
      <c:txPr>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53352fc5-a027-417b-8c9f-64f83f8cb79d}"/>
      </c:ext>
    </c:extLst>
  </c:chart>
  <c:spPr>
    <a:noFill/>
    <a:ln w="9525" cap="flat" cmpd="sng" algn="ctr">
      <a:noFill/>
      <a:prstDash val="solid"/>
      <a:round/>
    </a:ln>
  </c:spPr>
  <c:txPr>
    <a:bodyPr wrap="square"/>
    <a:lstStyle/>
    <a:p>
      <a:pPr>
        <a:defRPr lang="zh-CN" sz="120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4866630043338"/>
          <c:y val="5.57435897435897E-2"/>
          <c:w val="0.85670959734684304"/>
          <c:h val="0.75307656695156699"/>
        </c:manualLayout>
      </c:layout>
      <c:barChart>
        <c:barDir val="col"/>
        <c:grouping val="percentStacked"/>
        <c:varyColors val="0"/>
        <c:ser>
          <c:idx val="0"/>
          <c:order val="0"/>
          <c:tx>
            <c:strRef>
              <c:f>[2025公报作图.xls]Sheet1!$B$59</c:f>
              <c:strCache>
                <c:ptCount val="1"/>
                <c:pt idx="0">
                  <c:v>第一产业</c:v>
                </c:pt>
              </c:strCache>
            </c:strRef>
          </c:tx>
          <c:spPr>
            <a:solidFill>
              <a:srgbClr val="33CC33"/>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[2025公报作图.xls]Sheet1!$A$60:$A$64</c:f>
              <c:strCache>
                <c:ptCount val="5"/>
                <c:pt idx="0">
                  <c:v>2021年</c:v>
                </c:pt>
                <c:pt idx="1">
                  <c:v>2022年</c:v>
                </c:pt>
                <c:pt idx="2">
                  <c:v>2023年</c:v>
                </c:pt>
                <c:pt idx="3">
                  <c:v>2024年</c:v>
                </c:pt>
                <c:pt idx="4">
                  <c:v>2025年</c:v>
                </c:pt>
              </c:strCache>
            </c:strRef>
          </c:cat>
          <c:val>
            <c:numRef>
              <c:f>[2025公报作图.xls]Sheet1!$B$60:$B$64</c:f>
              <c:numCache>
                <c:formatCode>0.0_ </c:formatCode>
                <c:ptCount val="5"/>
                <c:pt idx="0">
                  <c:v>16.8</c:v>
                </c:pt>
                <c:pt idx="1">
                  <c:v>16.5</c:v>
                </c:pt>
                <c:pt idx="2">
                  <c:v>16</c:v>
                </c:pt>
                <c:pt idx="3">
                  <c:v>15.7</c:v>
                </c:pt>
                <c:pt idx="4">
                  <c:v>15.3</c:v>
                </c:pt>
              </c:numCache>
            </c:numRef>
          </c:val>
        </c:ser>
        <c:ser>
          <c:idx val="1"/>
          <c:order val="1"/>
          <c:tx>
            <c:strRef>
              <c:f>[2025公报作图.xls]Sheet1!$C$59</c:f>
              <c:strCache>
                <c:ptCount val="1"/>
                <c:pt idx="0">
                  <c:v>第二产业</c:v>
                </c:pt>
              </c:strCache>
            </c:strRef>
          </c:tx>
          <c:spPr>
            <a:solidFill>
              <a:schemeClr val="tx2">
                <a:lumMod val="40000"/>
                <a:lumOff val="60000"/>
              </a:schemeClr>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[2025公报作图.xls]Sheet1!$A$60:$A$64</c:f>
              <c:strCache>
                <c:ptCount val="5"/>
                <c:pt idx="0">
                  <c:v>2021年</c:v>
                </c:pt>
                <c:pt idx="1">
                  <c:v>2022年</c:v>
                </c:pt>
                <c:pt idx="2">
                  <c:v>2023年</c:v>
                </c:pt>
                <c:pt idx="3">
                  <c:v>2024年</c:v>
                </c:pt>
                <c:pt idx="4">
                  <c:v>2025年</c:v>
                </c:pt>
              </c:strCache>
            </c:strRef>
          </c:cat>
          <c:val>
            <c:numRef>
              <c:f>[2025公报作图.xls]Sheet1!$C$60:$C$64</c:f>
              <c:numCache>
                <c:formatCode>0.0_ </c:formatCode>
                <c:ptCount val="5"/>
                <c:pt idx="0">
                  <c:v>31.9</c:v>
                </c:pt>
                <c:pt idx="1">
                  <c:v>31.4</c:v>
                </c:pt>
                <c:pt idx="2">
                  <c:v>32</c:v>
                </c:pt>
                <c:pt idx="3">
                  <c:v>32.6</c:v>
                </c:pt>
                <c:pt idx="4">
                  <c:v>31.9</c:v>
                </c:pt>
              </c:numCache>
            </c:numRef>
          </c:val>
        </c:ser>
        <c:ser>
          <c:idx val="2"/>
          <c:order val="2"/>
          <c:tx>
            <c:strRef>
              <c:f>[2025公报作图.xls]Sheet1!$D$59</c:f>
              <c:strCache>
                <c:ptCount val="1"/>
                <c:pt idx="0">
                  <c:v>第三产业</c:v>
                </c:pt>
              </c:strCache>
            </c:strRef>
          </c:tx>
          <c:spPr>
            <a:solidFill>
              <a:srgbClr val="FF9B9B"/>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[2025公报作图.xls]Sheet1!$A$60:$A$64</c:f>
              <c:strCache>
                <c:ptCount val="5"/>
                <c:pt idx="0">
                  <c:v>2021年</c:v>
                </c:pt>
                <c:pt idx="1">
                  <c:v>2022年</c:v>
                </c:pt>
                <c:pt idx="2">
                  <c:v>2023年</c:v>
                </c:pt>
                <c:pt idx="3">
                  <c:v>2024年</c:v>
                </c:pt>
                <c:pt idx="4">
                  <c:v>2025年</c:v>
                </c:pt>
              </c:strCache>
            </c:strRef>
          </c:cat>
          <c:val>
            <c:numRef>
              <c:f>[2025公报作图.xls]Sheet1!$D$60:$D$64</c:f>
              <c:numCache>
                <c:formatCode>0.0_ </c:formatCode>
                <c:ptCount val="5"/>
                <c:pt idx="0">
                  <c:v>51.3</c:v>
                </c:pt>
                <c:pt idx="1">
                  <c:v>52.2</c:v>
                </c:pt>
                <c:pt idx="2">
                  <c:v>52</c:v>
                </c:pt>
                <c:pt idx="3">
                  <c:v>51.7</c:v>
                </c:pt>
                <c:pt idx="4">
                  <c:v>52.8</c:v>
                </c:pt>
              </c:numCache>
            </c:numRef>
          </c:val>
        </c:ser>
        <c:dLbls>
          <c:showLegendKey val="0"/>
          <c:showVal val="0"/>
          <c:showCatName val="0"/>
          <c:showSerName val="0"/>
          <c:showPercent val="0"/>
          <c:showBubbleSize val="0"/>
        </c:dLbls>
        <c:gapWidth val="150"/>
        <c:overlap val="100"/>
        <c:axId val="61915904"/>
        <c:axId val="61917440"/>
      </c:barChart>
      <c:catAx>
        <c:axId val="61915904"/>
        <c:scaling>
          <c:orientation val="minMax"/>
        </c:scaling>
        <c:delete val="0"/>
        <c:axPos val="b"/>
        <c:majorTickMark val="in"/>
        <c:minorTickMark val="none"/>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61917440"/>
        <c:crosses val="autoZero"/>
        <c:auto val="1"/>
        <c:lblAlgn val="ctr"/>
        <c:lblOffset val="100"/>
        <c:noMultiLvlLbl val="0"/>
      </c:catAx>
      <c:valAx>
        <c:axId val="61917440"/>
        <c:scaling>
          <c:orientation val="minMax"/>
          <c:max val="1"/>
        </c:scaling>
        <c:delete val="0"/>
        <c:axPos val="l"/>
        <c:majorGridlines>
          <c:spPr>
            <a:ln w="9525" cap="flat" cmpd="sng" algn="ctr">
              <a:solidFill>
                <a:schemeClr val="tx1">
                  <a:lumMod val="50000"/>
                  <a:lumOff val="50000"/>
                  <a:alpha val="34000"/>
                </a:schemeClr>
              </a:solidFill>
              <a:prstDash val="solid"/>
              <a:round/>
            </a:ln>
          </c:spPr>
        </c:majorGridlines>
        <c:numFmt formatCode="0%" sourceLinked="1"/>
        <c:majorTickMark val="in"/>
        <c:minorTickMark val="none"/>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61915904"/>
        <c:crosses val="autoZero"/>
        <c:crossBetween val="between"/>
        <c:majorUnit val="0.2"/>
      </c:valAx>
      <c:spPr>
        <a:noFill/>
        <a:ln>
          <a:noFill/>
        </a:ln>
        <a:effectLst/>
      </c:spPr>
    </c:plotArea>
    <c:legend>
      <c:legendPos val="b"/>
      <c:layout>
        <c:manualLayout>
          <c:xMode val="edge"/>
          <c:yMode val="edge"/>
          <c:x val="0.26672885572139299"/>
          <c:y val="0.91289159836845601"/>
          <c:w val="0.54893195485748203"/>
          <c:h val="8.0168776371307995E-2"/>
        </c:manualLayout>
      </c:layout>
      <c:overlay val="0"/>
      <c:txPr>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09e5bd64-9344-42cf-a4db-4a7dfc2ca85b}"/>
      </c:ext>
    </c:extLst>
  </c:chart>
  <c:spPr>
    <a:noFill/>
    <a:ln w="9525" cap="flat" cmpd="sng" algn="ctr">
      <a:noFill/>
      <a:prstDash val="solid"/>
      <a:round/>
    </a:ln>
  </c:spPr>
  <c:txPr>
    <a:bodyPr wrap="square"/>
    <a:lstStyle/>
    <a:p>
      <a:pPr>
        <a:defRPr lang="zh-CN" sz="1200"/>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3402747733456401E-2"/>
          <c:y val="0.16287088669076499"/>
          <c:w val="0.87973522540451699"/>
          <c:h val="0.67473160161029699"/>
        </c:manualLayout>
      </c:layout>
      <c:lineChart>
        <c:grouping val="standard"/>
        <c:varyColors val="0"/>
        <c:ser>
          <c:idx val="0"/>
          <c:order val="0"/>
          <c:tx>
            <c:strRef>
              <c:f>[2025公报作图.xls]Sheet1!$B$1</c:f>
              <c:strCache>
                <c:ptCount val="1"/>
                <c:pt idx="0">
                  <c:v>月度同比</c:v>
                </c:pt>
              </c:strCache>
            </c:strRef>
          </c:tx>
          <c:dLbls>
            <c:dLbl>
              <c:idx val="3"/>
              <c:layout>
                <c:manualLayout>
                  <c:x val="-1.3380367351903701E-3"/>
                  <c:y val="-2.4441833137485301E-2"/>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
                  <c:y val="-1.88014101057579E-2"/>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1.4596764383894901E-3"/>
                  <c:y val="-0.13301997649823699"/>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2.79771317357986E-3"/>
                  <c:y val="-0.143595769682726"/>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1.3988565867899301E-2"/>
                  <c:y val="-2.4441833137485301E-2"/>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1.3988565867899301E-2"/>
                  <c:y val="-0.13842538190364301"/>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1.26505291327089E-2"/>
                  <c:y val="-2.1621621621621599E-2"/>
                </c:manualLayout>
              </c:layout>
              <c:dLblPos val="b"/>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b"/>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[2025公报作图.xls]Sheet1!$B$2:$B$13</c:f>
              <c:numCache>
                <c:formatCode>0.0</c:formatCode>
                <c:ptCount val="12"/>
                <c:pt idx="0">
                  <c:v>0.202772229999994</c:v>
                </c:pt>
                <c:pt idx="1">
                  <c:v>-0.51918186999999705</c:v>
                </c:pt>
                <c:pt idx="2">
                  <c:v>-0.486433539999993</c:v>
                </c:pt>
                <c:pt idx="3">
                  <c:v>-0.62926233999999703</c:v>
                </c:pt>
                <c:pt idx="4">
                  <c:v>-0.417843349999998</c:v>
                </c:pt>
                <c:pt idx="5">
                  <c:v>7.6235449999998595E-2</c:v>
                </c:pt>
                <c:pt idx="6">
                  <c:v>-0.26219032000000198</c:v>
                </c:pt>
                <c:pt idx="7">
                  <c:v>-0.556824180000007</c:v>
                </c:pt>
                <c:pt idx="8">
                  <c:v>-0.89188688999999499</c:v>
                </c:pt>
                <c:pt idx="9">
                  <c:v>-0.58821478999999499</c:v>
                </c:pt>
                <c:pt idx="10">
                  <c:v>0.50012042999999595</c:v>
                </c:pt>
                <c:pt idx="11">
                  <c:v>0.84607594000000597</c:v>
                </c:pt>
              </c:numCache>
            </c:numRef>
          </c:val>
          <c:smooth val="0"/>
        </c:ser>
        <c:ser>
          <c:idx val="1"/>
          <c:order val="1"/>
          <c:tx>
            <c:strRef>
              <c:f>[2025公报作图.xls]Sheet1!$C$1</c:f>
              <c:strCache>
                <c:ptCount val="1"/>
                <c:pt idx="0">
                  <c:v>月度环比</c:v>
                </c:pt>
              </c:strCache>
            </c:strRef>
          </c:tx>
          <c:dLbls>
            <c:dLbl>
              <c:idx val="3"/>
              <c:layout>
                <c:manualLayout>
                  <c:x val="-2.79771317357986E-3"/>
                  <c:y val="2.1621621621621599E-2"/>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4.3790293151684699E-3"/>
                  <c:y val="0.124559341950646"/>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1.3380367351903701E-3"/>
                  <c:y val="1.9036427732079898E-2"/>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2.9193528767789802E-3"/>
                  <c:y val="0.135605170387779"/>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8.3931395207395704E-3"/>
                  <c:y val="0.135605170387779"/>
                </c:manualLayout>
              </c:layout>
              <c:dLblPos val="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[2025公报作图.xls]Sheet1!$C$2:$C$13</c:f>
              <c:numCache>
                <c:formatCode>0.0</c:formatCode>
                <c:ptCount val="12"/>
                <c:pt idx="0">
                  <c:v>0.40000000000000602</c:v>
                </c:pt>
                <c:pt idx="1">
                  <c:v>-9.9999999999994302E-2</c:v>
                </c:pt>
                <c:pt idx="2">
                  <c:v>-0.29999999999999699</c:v>
                </c:pt>
                <c:pt idx="3">
                  <c:v>9.9999999999994302E-2</c:v>
                </c:pt>
                <c:pt idx="4">
                  <c:v>0</c:v>
                </c:pt>
                <c:pt idx="5">
                  <c:v>-0.20000000000000301</c:v>
                </c:pt>
                <c:pt idx="6">
                  <c:v>-9.9999999999994302E-2</c:v>
                </c:pt>
                <c:pt idx="7">
                  <c:v>9.9999999999994302E-2</c:v>
                </c:pt>
                <c:pt idx="8">
                  <c:v>0.20000000000000301</c:v>
                </c:pt>
                <c:pt idx="9">
                  <c:v>9.9999999999994302E-2</c:v>
                </c:pt>
                <c:pt idx="10">
                  <c:v>0.20000000000000301</c:v>
                </c:pt>
                <c:pt idx="11">
                  <c:v>0.29999999999999699</c:v>
                </c:pt>
              </c:numCache>
            </c:numRef>
          </c:val>
          <c:smooth val="0"/>
        </c:ser>
        <c:dLbls>
          <c:showLegendKey val="0"/>
          <c:showVal val="0"/>
          <c:showCatName val="0"/>
          <c:showSerName val="0"/>
          <c:showPercent val="0"/>
          <c:showBubbleSize val="0"/>
        </c:dLbls>
        <c:marker val="1"/>
        <c:smooth val="0"/>
        <c:axId val="171450368"/>
        <c:axId val="171451904"/>
      </c:lineChart>
      <c:catAx>
        <c:axId val="171450368"/>
        <c:scaling>
          <c:orientation val="minMax"/>
        </c:scaling>
        <c:delete val="0"/>
        <c:axPos val="b"/>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451904"/>
        <c:crossesAt val="-1"/>
        <c:auto val="1"/>
        <c:lblAlgn val="ctr"/>
        <c:lblOffset val="100"/>
        <c:noMultiLvlLbl val="0"/>
      </c:catAx>
      <c:valAx>
        <c:axId val="171451904"/>
        <c:scaling>
          <c:orientation val="minMax"/>
          <c:min val="-1"/>
        </c:scaling>
        <c:delete val="0"/>
        <c:axPos val="l"/>
        <c:majorGridlines>
          <c:spPr>
            <a:ln w="9525" cap="flat" cmpd="sng" algn="ctr">
              <a:solidFill>
                <a:schemeClr val="tx1">
                  <a:tint val="75000"/>
                  <a:shade val="95000"/>
                  <a:satMod val="105000"/>
                  <a:alpha val="27000"/>
                </a:schemeClr>
              </a:solidFill>
              <a:prstDash val="solid"/>
              <a:round/>
            </a:ln>
          </c:spPr>
        </c:majorGridlines>
        <c:title>
          <c:tx>
            <c:rich>
              <a:bodyPr rot="0" spcFirstLastPara="0" vertOverflow="ellipsis" vert="horz" wrap="square" anchor="ctr" anchorCtr="1"/>
              <a:lstStyle/>
              <a:p>
                <a:pPr>
                  <a:defRPr lang="zh-CN" sz="1200" b="1"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lang="en-US" altLang="zh-CN"/>
                  <a:t>%</a:t>
                </a:r>
                <a:endParaRPr lang="zh-CN" altLang="en-US" sz="1200" b="1" i="0" u="none" strike="noStrike"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endParaRPr>
              </a:p>
            </c:rich>
          </c:tx>
          <c:layout>
            <c:manualLayout>
              <c:xMode val="edge"/>
              <c:yMode val="edge"/>
              <c:x val="4.3956134881966702E-2"/>
              <c:y val="5.6418282396784002E-2"/>
            </c:manualLayout>
          </c:layout>
          <c:overlay val="0"/>
        </c:title>
        <c:numFmt formatCode="0.0" sourceLinked="1"/>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450368"/>
        <c:crosses val="autoZero"/>
        <c:crossBetween val="between"/>
        <c:majorUnit val="0.5"/>
      </c:valAx>
      <c:spPr>
        <a:noFill/>
        <a:ln w="3175">
          <a:noFill/>
        </a:ln>
      </c:spPr>
    </c:plotArea>
    <c:legend>
      <c:legendPos val="r"/>
      <c:layout>
        <c:manualLayout>
          <c:xMode val="edge"/>
          <c:yMode val="edge"/>
          <c:x val="0.2225"/>
          <c:y val="8.0000000000000002E-3"/>
          <c:w val="0.55874999999999997"/>
          <c:h val="8.6499999999999994E-2"/>
        </c:manualLayout>
      </c:layout>
      <c:overlay val="0"/>
      <c:spPr>
        <a:noFill/>
        <a:ln w="3175">
          <a:noFill/>
        </a:ln>
      </c:spPr>
      <c:txPr>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d3043f90-1785-4866-8af9-d913ef01fc42}"/>
      </c:ext>
    </c:extLst>
  </c:chart>
  <c:spPr>
    <a:noFill/>
    <a:ln w="9525" cap="flat" cmpd="sng" algn="ctr">
      <a:noFill/>
      <a:prstDash val="solid"/>
      <a:round/>
    </a:ln>
  </c:spPr>
  <c:txPr>
    <a:bodyPr wrap="square"/>
    <a:lstStyle/>
    <a:p>
      <a:pPr>
        <a:defRPr lang="zh-CN" sz="1200"/>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487234550226704E-2"/>
          <c:y val="0.12102766724052"/>
          <c:w val="0.87430188109603202"/>
          <c:h val="0.741496721511961"/>
        </c:manualLayout>
      </c:layout>
      <c:barChart>
        <c:barDir val="col"/>
        <c:grouping val="clustered"/>
        <c:varyColors val="0"/>
        <c:ser>
          <c:idx val="1"/>
          <c:order val="0"/>
          <c:spPr>
            <a:solidFill>
              <a:srgbClr val="FF7C80"/>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[2025公报作图.xls]Sheet1!$A$78:$A$82</c:f>
              <c:strCache>
                <c:ptCount val="5"/>
                <c:pt idx="0">
                  <c:v>2021年</c:v>
                </c:pt>
                <c:pt idx="1">
                  <c:v>2022年</c:v>
                </c:pt>
                <c:pt idx="2">
                  <c:v>2023年</c:v>
                </c:pt>
                <c:pt idx="3">
                  <c:v>2024年</c:v>
                </c:pt>
                <c:pt idx="4">
                  <c:v>2025年</c:v>
                </c:pt>
              </c:strCache>
            </c:strRef>
          </c:cat>
          <c:val>
            <c:numRef>
              <c:f>[2025公报作图.xls]Sheet1!$B$78:$B$82</c:f>
              <c:numCache>
                <c:formatCode>0.00</c:formatCode>
                <c:ptCount val="5"/>
                <c:pt idx="0">
                  <c:v>713.33</c:v>
                </c:pt>
                <c:pt idx="1">
                  <c:v>715.53</c:v>
                </c:pt>
                <c:pt idx="2">
                  <c:v>694.2</c:v>
                </c:pt>
                <c:pt idx="3">
                  <c:v>668.01</c:v>
                </c:pt>
                <c:pt idx="4">
                  <c:v>670.35</c:v>
                </c:pt>
              </c:numCache>
            </c:numRef>
          </c:val>
        </c:ser>
        <c:dLbls>
          <c:showLegendKey val="0"/>
          <c:showVal val="0"/>
          <c:showCatName val="0"/>
          <c:showSerName val="0"/>
          <c:showPercent val="0"/>
          <c:showBubbleSize val="0"/>
        </c:dLbls>
        <c:gapWidth val="150"/>
        <c:axId val="171473152"/>
        <c:axId val="171503616"/>
      </c:barChart>
      <c:catAx>
        <c:axId val="171473152"/>
        <c:scaling>
          <c:orientation val="minMax"/>
        </c:scaling>
        <c:delete val="0"/>
        <c:axPos val="b"/>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503616"/>
        <c:crosses val="autoZero"/>
        <c:auto val="1"/>
        <c:lblAlgn val="ctr"/>
        <c:lblOffset val="100"/>
        <c:noMultiLvlLbl val="0"/>
      </c:catAx>
      <c:valAx>
        <c:axId val="171503616"/>
        <c:scaling>
          <c:orientation val="minMax"/>
          <c:min val="0"/>
        </c:scaling>
        <c:delete val="0"/>
        <c:axPos val="l"/>
        <c:majorGridlines>
          <c:spPr>
            <a:ln w="9525" cap="flat" cmpd="sng" algn="ctr">
              <a:solidFill>
                <a:schemeClr val="tx1">
                  <a:lumMod val="50000"/>
                  <a:lumOff val="50000"/>
                  <a:alpha val="26000"/>
                </a:schemeClr>
              </a:solidFill>
              <a:prstDash val="solid"/>
              <a:round/>
            </a:ln>
          </c:spPr>
        </c:majorGridlines>
        <c:title>
          <c:tx>
            <c:rich>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b="0"/>
                  <a:t>万吨</a:t>
                </a:r>
                <a:endParaRPr lang="en-US" alt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4.90598190151604E-3"/>
              <c:y val="6.3189645937114999E-3"/>
            </c:manualLayout>
          </c:layout>
          <c:overlay val="0"/>
        </c:title>
        <c:numFmt formatCode="#,##0_);[Red]\(#,##0\)" sourceLinked="0"/>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473152"/>
        <c:crosses val="autoZero"/>
        <c:crossBetween val="between"/>
        <c:majorUnit val="200"/>
      </c:valAx>
      <c:spPr>
        <a:noFill/>
        <a:ln w="3175">
          <a:noFill/>
        </a:ln>
      </c:spPr>
    </c:plotArea>
    <c:plotVisOnly val="1"/>
    <c:dispBlanksAs val="gap"/>
    <c:showDLblsOverMax val="0"/>
    <c:extLst>
      <c:ext uri="{0b15fc19-7d7d-44ad-8c2d-2c3a37ce22c3}">
        <chartProps xmlns="https://web.wps.cn/et/2018/main" chartId="{7c10959f-8014-4df5-be2b-20045297b058}"/>
      </c:ext>
    </c:extLst>
  </c:chart>
  <c:spPr>
    <a:noFill/>
    <a:ln w="9525" cap="flat" cmpd="sng" algn="ctr">
      <a:noFill/>
      <a:prstDash val="solid"/>
      <a:round/>
    </a:ln>
  </c:spPr>
  <c:txPr>
    <a:bodyPr wrap="square"/>
    <a:lstStyle/>
    <a:p>
      <a:pPr>
        <a:defRPr lang="zh-CN" sz="1200"/>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9125435813061"/>
          <c:y val="0.12564957264957299"/>
          <c:w val="0.79653778352332805"/>
          <c:h val="0.76365562678062704"/>
        </c:manualLayout>
      </c:layout>
      <c:barChart>
        <c:barDir val="col"/>
        <c:grouping val="clustered"/>
        <c:varyColors val="0"/>
        <c:ser>
          <c:idx val="0"/>
          <c:order val="0"/>
          <c:tx>
            <c:strRef>
              <c:f>[2025公报作图.xls]Sheet1!$B$98</c:f>
              <c:strCache>
                <c:ptCount val="1"/>
                <c:pt idx="0">
                  <c:v>社会消费品零售总额</c:v>
                </c:pt>
              </c:strCache>
            </c:strRef>
          </c:tx>
          <c:spPr>
            <a:solidFill>
              <a:srgbClr val="FF7C80"/>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[2025公报作图.xls]Sheet1!$A$99:$A$104</c:f>
              <c:strCache>
                <c:ptCount val="5"/>
                <c:pt idx="0">
                  <c:v>2021年</c:v>
                </c:pt>
                <c:pt idx="1">
                  <c:v>2022年</c:v>
                </c:pt>
                <c:pt idx="2">
                  <c:v>2023年</c:v>
                </c:pt>
                <c:pt idx="3">
                  <c:v>2024年</c:v>
                </c:pt>
                <c:pt idx="4">
                  <c:v>2025年</c:v>
                </c:pt>
              </c:strCache>
            </c:strRef>
          </c:cat>
          <c:val>
            <c:numRef>
              <c:f>[2025公报作图.xls]Sheet1!$B$99:$B$104</c:f>
              <c:numCache>
                <c:formatCode>0.00</c:formatCode>
                <c:ptCount val="5"/>
                <c:pt idx="0">
                  <c:v>2150.7974058220002</c:v>
                </c:pt>
                <c:pt idx="1">
                  <c:v>2181.8015028760501</c:v>
                </c:pt>
                <c:pt idx="2">
                  <c:v>2315.3110547968899</c:v>
                </c:pt>
                <c:pt idx="3">
                  <c:v>2457.6718999999998</c:v>
                </c:pt>
                <c:pt idx="4" formatCode="General">
                  <c:v>2599.7600000000002</c:v>
                </c:pt>
              </c:numCache>
            </c:numRef>
          </c:val>
        </c:ser>
        <c:dLbls>
          <c:showLegendKey val="0"/>
          <c:showVal val="0"/>
          <c:showCatName val="0"/>
          <c:showSerName val="0"/>
          <c:showPercent val="0"/>
          <c:showBubbleSize val="0"/>
        </c:dLbls>
        <c:gapWidth val="150"/>
        <c:axId val="171653760"/>
        <c:axId val="171659648"/>
      </c:barChart>
      <c:lineChart>
        <c:grouping val="standard"/>
        <c:varyColors val="0"/>
        <c:ser>
          <c:idx val="1"/>
          <c:order val="1"/>
          <c:tx>
            <c:strRef>
              <c:f>[2025公报作图.xls]Sheet1!$C$98</c:f>
              <c:strCache>
                <c:ptCount val="1"/>
                <c:pt idx="0">
                  <c:v>比上年增长</c:v>
                </c:pt>
              </c:strCache>
            </c:strRef>
          </c:tx>
          <c:spPr>
            <a:ln w="28575" cap="rnd" cmpd="sng" algn="ctr">
              <a:solidFill>
                <a:srgbClr val="95B850"/>
              </a:solidFill>
              <a:prstDash val="solid"/>
              <a:round/>
            </a:ln>
          </c:spPr>
          <c:marker>
            <c:symbol val="diamond"/>
            <c:size val="8"/>
            <c:spPr>
              <a:solidFill>
                <a:schemeClr val="accent3">
                  <a:lumMod val="20000"/>
                  <a:lumOff val="80000"/>
                </a:schemeClr>
              </a:solidFill>
              <a:ln w="9525" cap="flat" cmpd="sng" algn="ctr">
                <a:solidFill>
                  <a:schemeClr val="accent3"/>
                </a:solidFill>
                <a:prstDash val="solid"/>
                <a:round/>
              </a:ln>
            </c:spPr>
          </c:marker>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[2025公报作图.xls]Sheet1!$A$99:$A$104</c:f>
              <c:strCache>
                <c:ptCount val="5"/>
                <c:pt idx="0">
                  <c:v>2021年</c:v>
                </c:pt>
                <c:pt idx="1">
                  <c:v>2022年</c:v>
                </c:pt>
                <c:pt idx="2">
                  <c:v>2023年</c:v>
                </c:pt>
                <c:pt idx="3">
                  <c:v>2024年</c:v>
                </c:pt>
                <c:pt idx="4">
                  <c:v>2025年</c:v>
                </c:pt>
              </c:strCache>
            </c:strRef>
          </c:cat>
          <c:val>
            <c:numRef>
              <c:f>[2025公报作图.xls]Sheet1!$C$99:$C$104</c:f>
              <c:numCache>
                <c:formatCode>0.0</c:formatCode>
                <c:ptCount val="5"/>
                <c:pt idx="0">
                  <c:v>9.0162443116740398</c:v>
                </c:pt>
                <c:pt idx="1">
                  <c:v>1.4415163869049099</c:v>
                </c:pt>
                <c:pt idx="2">
                  <c:v>6.1192345749532002</c:v>
                </c:pt>
                <c:pt idx="3">
                  <c:v>6.1486703874265602</c:v>
                </c:pt>
                <c:pt idx="4">
                  <c:v>5.8</c:v>
                </c:pt>
              </c:numCache>
            </c:numRef>
          </c:val>
          <c:smooth val="0"/>
        </c:ser>
        <c:dLbls>
          <c:showLegendKey val="0"/>
          <c:showVal val="0"/>
          <c:showCatName val="0"/>
          <c:showSerName val="0"/>
          <c:showPercent val="0"/>
          <c:showBubbleSize val="0"/>
        </c:dLbls>
        <c:marker val="1"/>
        <c:smooth val="0"/>
        <c:axId val="171661568"/>
        <c:axId val="171671552"/>
      </c:lineChart>
      <c:catAx>
        <c:axId val="171653760"/>
        <c:scaling>
          <c:orientation val="minMax"/>
        </c:scaling>
        <c:delete val="0"/>
        <c:axPos val="b"/>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659648"/>
        <c:crosses val="autoZero"/>
        <c:auto val="1"/>
        <c:lblAlgn val="ctr"/>
        <c:lblOffset val="100"/>
        <c:noMultiLvlLbl val="0"/>
      </c:catAx>
      <c:valAx>
        <c:axId val="171659648"/>
        <c:scaling>
          <c:orientation val="minMax"/>
          <c:max val="3000"/>
          <c:min val="0"/>
        </c:scaling>
        <c:delete val="0"/>
        <c:axPos val="l"/>
        <c:majorGridlines>
          <c:spPr>
            <a:ln w="9525" cap="flat" cmpd="sng" algn="ctr">
              <a:solidFill>
                <a:schemeClr val="accent1">
                  <a:alpha val="30000"/>
                </a:schemeClr>
              </a:solidFill>
              <a:prstDash val="solid"/>
              <a:round/>
            </a:ln>
          </c:spPr>
        </c:majorGridlines>
        <c:title>
          <c:tx>
            <c:rich>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b="0"/>
                  <a:t>亿元</a:t>
                </a:r>
                <a:endParaRPr lang="zh-CN" altLang="en-US"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2.0421486689612099E-2"/>
              <c:y val="7.1959702566562703E-3"/>
            </c:manualLayout>
          </c:layout>
          <c:overlay val="0"/>
        </c:title>
        <c:numFmt formatCode="#,##0_);[Red]\(#,##0\)" sourceLinked="0"/>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653760"/>
        <c:crosses val="autoZero"/>
        <c:crossBetween val="between"/>
        <c:majorUnit val="1000"/>
      </c:valAx>
      <c:catAx>
        <c:axId val="171661568"/>
        <c:scaling>
          <c:orientation val="minMax"/>
        </c:scaling>
        <c:delete val="1"/>
        <c:axPos val="b"/>
        <c:majorTickMark val="out"/>
        <c:minorTickMark val="none"/>
        <c:tickLblPos val="nextTo"/>
        <c:crossAx val="171671552"/>
        <c:crosses val="autoZero"/>
        <c:auto val="1"/>
        <c:lblAlgn val="ctr"/>
        <c:lblOffset val="100"/>
        <c:noMultiLvlLbl val="0"/>
      </c:catAx>
      <c:valAx>
        <c:axId val="171671552"/>
        <c:scaling>
          <c:orientation val="minMax"/>
          <c:max val="16"/>
          <c:min val="0"/>
        </c:scaling>
        <c:delete val="0"/>
        <c:axPos val="r"/>
        <c:title>
          <c:tx>
            <c:rich>
              <a:bodyPr rot="0" spcFirstLastPara="0" vertOverflow="ellipsis" vert="horz" wrap="square" anchor="ctr" anchorCtr="1"/>
              <a:lstStyle/>
              <a:p>
                <a:pPr>
                  <a:defRPr lang="zh-CN" sz="1200" b="0"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lang="en-US" altLang="zh-CN" b="0"/>
                  <a:t>%</a:t>
                </a:r>
                <a:endParaRPr lang="zh-CN" altLang="en-US" sz="1200" b="0" i="0" u="none" strike="noStrike"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endParaRPr>
              </a:p>
            </c:rich>
          </c:tx>
          <c:layout>
            <c:manualLayout>
              <c:xMode val="edge"/>
              <c:yMode val="edge"/>
              <c:x val="0.93476377952755896"/>
              <c:y val="1.20820263320743E-2"/>
            </c:manualLayout>
          </c:layout>
          <c:overlay val="0"/>
        </c:title>
        <c:numFmt formatCode="#,##0.0_ " sourceLinked="0"/>
        <c:majorTickMark val="in"/>
        <c:minorTickMark val="none"/>
        <c:tickLblPos val="nextTo"/>
        <c:spPr>
          <a:ln w="952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661568"/>
        <c:crosses val="max"/>
        <c:crossBetween val="between"/>
        <c:majorUnit val="4"/>
      </c:valAx>
      <c:spPr>
        <a:noFill/>
        <a:ln w="3175">
          <a:noFill/>
        </a:ln>
      </c:spPr>
    </c:plotArea>
    <c:legend>
      <c:legendPos val="t"/>
      <c:layout>
        <c:manualLayout>
          <c:xMode val="edge"/>
          <c:yMode val="edge"/>
          <c:x val="0.233997771449796"/>
          <c:y val="7.1292775665399198E-3"/>
          <c:w val="0.56394701002847603"/>
          <c:h val="9.5532319391635007E-2"/>
        </c:manualLayout>
      </c:layout>
      <c:overlay val="0"/>
      <c:txPr>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f27ddbc7-1ea9-4d38-b51f-f5377ecbbbc1}"/>
      </c:ext>
    </c:extLst>
  </c:chart>
  <c:spPr>
    <a:noFill/>
    <a:ln w="9525" cap="flat" cmpd="sng" algn="ctr">
      <a:noFill/>
      <a:prstDash val="solid"/>
      <a:round/>
    </a:ln>
  </c:spPr>
  <c:txPr>
    <a:bodyPr wrap="square"/>
    <a:lstStyle/>
    <a:p>
      <a:pPr>
        <a:defRPr lang="zh-CN" sz="1200"/>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9125435813061"/>
          <c:y val="0.12564957264957299"/>
          <c:w val="0.79653778352332805"/>
          <c:h val="0.76365562678062704"/>
        </c:manualLayout>
      </c:layout>
      <c:barChart>
        <c:barDir val="col"/>
        <c:grouping val="clustered"/>
        <c:varyColors val="0"/>
        <c:ser>
          <c:idx val="0"/>
          <c:order val="0"/>
          <c:tx>
            <c:strRef>
              <c:f>Sheet1!$B$115</c:f>
              <c:strCache>
                <c:ptCount val="1"/>
                <c:pt idx="0">
                  <c:v>居民人均可支配收入</c:v>
                </c:pt>
              </c:strCache>
            </c:strRef>
          </c:tx>
          <c:spPr>
            <a:solidFill>
              <a:srgbClr val="FF7C80"/>
            </a:solidFill>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Sheet1!$A$116:$A$121</c:f>
              <c:strCache>
                <c:ptCount val="5"/>
                <c:pt idx="0">
                  <c:v>2021年</c:v>
                </c:pt>
                <c:pt idx="1">
                  <c:v>2022年</c:v>
                </c:pt>
                <c:pt idx="2">
                  <c:v>2023年</c:v>
                </c:pt>
                <c:pt idx="3">
                  <c:v>2024年</c:v>
                </c:pt>
                <c:pt idx="4">
                  <c:v>2025年</c:v>
                </c:pt>
              </c:strCache>
            </c:strRef>
          </c:cat>
          <c:val>
            <c:numRef>
              <c:f>Sheet1!$B$116:$B$121</c:f>
              <c:numCache>
                <c:formatCode>0</c:formatCode>
                <c:ptCount val="5"/>
                <c:pt idx="0">
                  <c:v>25489</c:v>
                </c:pt>
                <c:pt idx="1">
                  <c:v>26869</c:v>
                </c:pt>
                <c:pt idx="2">
                  <c:v>28742</c:v>
                </c:pt>
                <c:pt idx="3">
                  <c:v>30522</c:v>
                </c:pt>
                <c:pt idx="4">
                  <c:v>32011.7660040673</c:v>
                </c:pt>
              </c:numCache>
            </c:numRef>
          </c:val>
        </c:ser>
        <c:dLbls>
          <c:showLegendKey val="0"/>
          <c:showVal val="0"/>
          <c:showCatName val="0"/>
          <c:showSerName val="0"/>
          <c:showPercent val="0"/>
          <c:showBubbleSize val="0"/>
        </c:dLbls>
        <c:gapWidth val="150"/>
        <c:axId val="171703296"/>
        <c:axId val="200676096"/>
      </c:barChart>
      <c:lineChart>
        <c:grouping val="standard"/>
        <c:varyColors val="0"/>
        <c:ser>
          <c:idx val="1"/>
          <c:order val="1"/>
          <c:tx>
            <c:strRef>
              <c:f>Sheet1!$C$115</c:f>
              <c:strCache>
                <c:ptCount val="1"/>
                <c:pt idx="0">
                  <c:v>比上年增长</c:v>
                </c:pt>
              </c:strCache>
            </c:strRef>
          </c:tx>
          <c:spPr>
            <a:ln w="28575" cap="rnd" cmpd="sng" algn="ctr">
              <a:solidFill>
                <a:srgbClr val="8AAC46"/>
              </a:solidFill>
              <a:prstDash val="solid"/>
              <a:round/>
            </a:ln>
          </c:spPr>
          <c:marker>
            <c:symbol val="diamond"/>
            <c:size val="8"/>
            <c:spPr>
              <a:solidFill>
                <a:schemeClr val="accent3">
                  <a:lumMod val="20000"/>
                  <a:lumOff val="80000"/>
                </a:schemeClr>
              </a:solidFill>
              <a:ln w="9525" cap="flat" cmpd="sng" algn="ctr">
                <a:solidFill>
                  <a:schemeClr val="accent3"/>
                </a:solidFill>
                <a:prstDash val="solid"/>
                <a:round/>
              </a:ln>
            </c:spPr>
          </c:marker>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Sheet1!$A$116:$A$121</c:f>
              <c:strCache>
                <c:ptCount val="5"/>
                <c:pt idx="0">
                  <c:v>2021年</c:v>
                </c:pt>
                <c:pt idx="1">
                  <c:v>2022年</c:v>
                </c:pt>
                <c:pt idx="2">
                  <c:v>2023年</c:v>
                </c:pt>
                <c:pt idx="3">
                  <c:v>2024年</c:v>
                </c:pt>
                <c:pt idx="4">
                  <c:v>2025年</c:v>
                </c:pt>
              </c:strCache>
            </c:strRef>
          </c:cat>
          <c:val>
            <c:numRef>
              <c:f>Sheet1!$C$116:$C$121</c:f>
              <c:numCache>
                <c:formatCode>0.0</c:formatCode>
                <c:ptCount val="5"/>
                <c:pt idx="0">
                  <c:v>8.6</c:v>
                </c:pt>
                <c:pt idx="1">
                  <c:v>5.4</c:v>
                </c:pt>
                <c:pt idx="2">
                  <c:v>7</c:v>
                </c:pt>
                <c:pt idx="3">
                  <c:v>6.2</c:v>
                </c:pt>
                <c:pt idx="4" formatCode="General">
                  <c:v>4.9000000000000004</c:v>
                </c:pt>
              </c:numCache>
            </c:numRef>
          </c:val>
          <c:smooth val="0"/>
        </c:ser>
        <c:dLbls>
          <c:showLegendKey val="0"/>
          <c:showVal val="0"/>
          <c:showCatName val="0"/>
          <c:showSerName val="0"/>
          <c:showPercent val="0"/>
          <c:showBubbleSize val="0"/>
        </c:dLbls>
        <c:marker val="1"/>
        <c:smooth val="0"/>
        <c:axId val="200678016"/>
        <c:axId val="200683904"/>
      </c:lineChart>
      <c:catAx>
        <c:axId val="171703296"/>
        <c:scaling>
          <c:orientation val="minMax"/>
        </c:scaling>
        <c:delete val="0"/>
        <c:axPos val="b"/>
        <c:numFmt formatCode="General" sourceLinked="1"/>
        <c:majorTickMark val="in"/>
        <c:minorTickMark val="none"/>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200676096"/>
        <c:crosses val="autoZero"/>
        <c:auto val="1"/>
        <c:lblAlgn val="ctr"/>
        <c:lblOffset val="100"/>
        <c:noMultiLvlLbl val="0"/>
      </c:catAx>
      <c:valAx>
        <c:axId val="200676096"/>
        <c:scaling>
          <c:orientation val="minMax"/>
          <c:max val="35000"/>
        </c:scaling>
        <c:delete val="0"/>
        <c:axPos val="l"/>
        <c:majorGridlines>
          <c:spPr>
            <a:ln w="9525" cap="flat" cmpd="sng" algn="ctr">
              <a:solidFill>
                <a:schemeClr val="accent1">
                  <a:alpha val="30000"/>
                </a:schemeClr>
              </a:solidFill>
              <a:prstDash val="solid"/>
              <a:round/>
            </a:ln>
          </c:spPr>
        </c:majorGridlines>
        <c:title>
          <c:tx>
            <c:rich>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r>
                  <a:rPr lang="zh-CN" altLang="en-US" b="0"/>
                  <a:t>元</a:t>
                </a:r>
              </a:p>
            </c:rich>
          </c:tx>
          <c:layout>
            <c:manualLayout>
              <c:xMode val="edge"/>
              <c:yMode val="edge"/>
              <c:x val="1.99004975124378E-2"/>
              <c:y val="1.17106880627263E-2"/>
            </c:manualLayout>
          </c:layout>
          <c:overlay val="0"/>
        </c:title>
        <c:numFmt formatCode="#,##0_);[Red]\(#,##0\)" sourceLinked="0"/>
        <c:majorTickMark val="in"/>
        <c:minorTickMark val="none"/>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171703296"/>
        <c:crosses val="autoZero"/>
        <c:crossBetween val="between"/>
        <c:majorUnit val="5000"/>
      </c:valAx>
      <c:catAx>
        <c:axId val="200678016"/>
        <c:scaling>
          <c:orientation val="minMax"/>
        </c:scaling>
        <c:delete val="1"/>
        <c:axPos val="b"/>
        <c:majorTickMark val="out"/>
        <c:minorTickMark val="none"/>
        <c:tickLblPos val="nextTo"/>
        <c:crossAx val="200683904"/>
        <c:crosses val="autoZero"/>
        <c:auto val="1"/>
        <c:lblAlgn val="ctr"/>
        <c:lblOffset val="100"/>
        <c:noMultiLvlLbl val="0"/>
      </c:catAx>
      <c:valAx>
        <c:axId val="200683904"/>
        <c:scaling>
          <c:orientation val="minMax"/>
          <c:max val="16"/>
          <c:min val="0"/>
        </c:scaling>
        <c:delete val="0"/>
        <c:axPos val="r"/>
        <c:title>
          <c:tx>
            <c:rich>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r>
                  <a:rPr lang="en-US" altLang="zh-CN" b="0"/>
                  <a:t>%</a:t>
                </a:r>
                <a:endParaRPr lang="zh-CN" altLang="en-US" b="0"/>
              </a:p>
            </c:rich>
          </c:tx>
          <c:layout>
            <c:manualLayout>
              <c:xMode val="edge"/>
              <c:yMode val="edge"/>
              <c:x val="0.93476377952755896"/>
              <c:y val="1.2082128974384499E-2"/>
            </c:manualLayout>
          </c:layout>
          <c:overlay val="0"/>
        </c:title>
        <c:numFmt formatCode="#,##0.0_ " sourceLinked="0"/>
        <c:majorTickMark val="in"/>
        <c:minorTickMark val="none"/>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crossAx val="200678016"/>
        <c:crosses val="max"/>
        <c:crossBetween val="between"/>
        <c:majorUnit val="4"/>
      </c:valAx>
      <c:spPr>
        <a:noFill/>
        <a:ln w="25400">
          <a:noFill/>
        </a:ln>
      </c:spPr>
    </c:plotArea>
    <c:legend>
      <c:legendPos val="r"/>
      <c:layout>
        <c:manualLayout>
          <c:xMode val="edge"/>
          <c:yMode val="edge"/>
          <c:x val="0.18457731029889901"/>
          <c:y val="5.9071729957805904E-3"/>
          <c:w val="0.62686645512594497"/>
          <c:h val="8.6920163460580097E-2"/>
        </c:manualLayout>
      </c:layout>
      <c:overlay val="0"/>
      <c:txPr>
        <a:bodyPr rot="0" spcFirstLastPara="0" vertOverflow="ellipsis" vert="horz" wrap="square" anchor="ctr" anchorCtr="1"/>
        <a:lstStyle/>
        <a:p>
          <a:pPr>
            <a:defRPr lang="zh-CN" sz="12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5cdac5f2-9433-4886-9665-c2e1989e3480}"/>
      </c:ext>
    </c:extLst>
  </c:chart>
  <c:spPr>
    <a:noFill/>
    <a:ln w="9525" cap="flat" cmpd="sng" algn="ctr">
      <a:noFill/>
      <a:prstDash val="solid"/>
      <a:round/>
    </a:ln>
  </c:spPr>
  <c:txPr>
    <a:bodyPr/>
    <a:lstStyle/>
    <a:p>
      <a:pPr>
        <a:defRPr lang="zh-CN" sz="1200"/>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1D53D5-61D8-4644-821E-80BFE67B9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1367</Words>
  <Characters>7796</Characters>
  <Application>Microsoft Office Word</Application>
  <DocSecurity>0</DocSecurity>
  <Lines>64</Lines>
  <Paragraphs>18</Paragraphs>
  <ScaleCrop>false</ScaleCrop>
  <Company/>
  <LinksUpToDate>false</LinksUpToDate>
  <CharactersWithSpaces>9145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SKUser</dc:creator>
  <cp:lastModifiedBy>SKUser</cp:lastModifiedBy>
  <cp:revision>2</cp:revision>
  <cp:lastPrinted>2026-04-10T09:47:00Z</cp:lastPrinted>
  <dcterms:created xsi:type="dcterms:W3CDTF">2026-04-20T00:50:00Z</dcterms:created>
  <dcterms:modified xsi:type="dcterms:W3CDTF">2026-04-20T00:50:00Z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eyJoZGlkIjoiNzUxMGZjODZiMDU2YzEzN2E3N2Y3MDgyZWRlZGI2ZDEifQ==</vt:lpwstr>
  </property>
  <property fmtid="{D5CDD505-2E9C-101B-9397-08002B2CF9AE}" pid="3" name="KSOProductBuildVer">
    <vt:lpwstr>2052-12.1.0.25865</vt:lpwstr>
  </property>
  <property fmtid="{D5CDD505-2E9C-101B-9397-08002B2CF9AE}" pid="4" name="ICV">
    <vt:lpwstr>84E89F56B7014589AB0F36DF883B0F12_13</vt:lpwstr>
  </property>
</Properties>
</file>