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5F6D4">
      <w:pPr>
        <w:spacing w:after="120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</w:p>
    <w:p w14:paraId="3C173EE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highlight w:val="none"/>
          <w:lang w:val="en-US" w:eastAsia="zh-CN"/>
        </w:rPr>
        <w:t>第WQ19—B8街坊等14个区域</w:t>
      </w:r>
      <w:r>
        <w:rPr>
          <w:rFonts w:hint="eastAsia" w:ascii="黑体" w:hAnsi="黑体" w:eastAsia="黑体" w:cs="黑体"/>
          <w:sz w:val="36"/>
          <w:szCs w:val="36"/>
        </w:rPr>
        <w:t>控制性详细规划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主要控制指标</w:t>
      </w:r>
    </w:p>
    <w:tbl>
      <w:tblPr>
        <w:tblStyle w:val="4"/>
        <w:tblW w:w="14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2658"/>
        <w:gridCol w:w="3098"/>
        <w:gridCol w:w="7848"/>
      </w:tblGrid>
      <w:tr w14:paraId="0C234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550D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2F82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规划名称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EE1AC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规划基本情况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70B8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主要控制指标</w:t>
            </w:r>
          </w:p>
        </w:tc>
      </w:tr>
      <w:tr w14:paraId="580C3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51A2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9758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宛城区雪枫路以北、城南大道以西区域（第WQ19-B8街坊）控制性详细规划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88A4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该规划位于隐山路以东、中商大街以南、城南大道以西、雪枫路以北区域，规划总用地面积约232.199亩（用地面积以实测为准）。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ECC4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约99.259亩，其中WQ19-B8-2、WQ19-B8-6、WQ19-B8-7地块容积率大于1.0且不大于2.5，建筑密度不大于22%，建筑限高70米，绿地率不小于35%；WQ19-B8-8地块为现状保留。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科研用地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约17.133亩，容积率不小于0.8且不大于2.5，建筑密度不大于35%，建筑限高50米，绿地率不小于35%。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医院用地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约21.176亩，容积率不大于2.0，建筑密度不大于23%，建筑限高50米，绿地率不小于35%。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约33.368亩，容积率不大于0.1，建筑密度不大于5%，建筑限高12米，绿地率不小于65%。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约61.263亩。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各类用地面积以实测为准。</w:t>
            </w:r>
          </w:p>
        </w:tc>
      </w:tr>
      <w:tr w14:paraId="05C92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7D7A8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2C8E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宛城区涧河大道以南、长江路以西区域（第WQ20-C2、C4街坊）控制性详细规划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8893F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该规划位于碧宛大街以东、涧河大道以南、长江路以西、清河大道以北区域，规划总用地面积约1001.568亩（用地面积以实测为准）。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7EC3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 w:bidi="ar-SA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ar-SA"/>
              </w:rPr>
              <w:t>总面积约681.135亩，容积率不小于1.2，建筑系数不小于40%，建筑限高50米，绿地率不小于12%且不大于20%。其中WQ20-C4-3地块为已批用地，按原规划条件执行。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ar-SA"/>
              </w:rPr>
              <w:t>总面积约162.015亩，容积率不大于0.1，建筑密度不大于5%，建筑限高12米，绿地率不小于65%。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 w:bidi="ar-SA"/>
              </w:rPr>
              <w:t>面积约158.418亩。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各类用地面积以实测为准。</w:t>
            </w:r>
          </w:p>
        </w:tc>
      </w:tr>
      <w:tr w14:paraId="32DC2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ED97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AD9C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宛城区白河大道以东、中商大街以南区域（第WQ18-D3、D4街坊）控制性详细规划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26D2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位于白河大道以东、中商大街以南区域，规划总用地面积约390.553亩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5A650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约292.944亩，其中WQ18-D3-2、WQ18-D4-2地块容积率大于1.0且不大于2.5，建筑密度不大于22%，建筑限高70米，绿地率不小于35%。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约35.744亩，容积率小于等于0.1，建筑密度不大于5%，建筑限高12米，绿地率不小于65%。规划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约61.865亩。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各类用地面积以实测为准。</w:t>
            </w:r>
          </w:p>
        </w:tc>
      </w:tr>
      <w:tr w14:paraId="6A02B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2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E619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878C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宛城区孔明大道以东、建设路以南区域（第WQ11-B1、B2、B3街坊）控制性详细规划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300FB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位于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孔明大道以东、建设路以南区域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，规划总用地面积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约303.600亩（用地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  <w:t>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D9DE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147.556亩，其中WQ11-B1-5地块容积率大于1.0且不大于3.1，建筑密度不大于23%，建筑限高80米，绿地率不小于35%;WQ11-B2-1地块容积率大于1.0且不大于1.8，建筑密度不大于30%，建筑限高27米，绿地率不小于35%;WQ11-B3-1地块容积率大于1.0且不大于1.8，建筑密度不大于22%，建筑限高27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二类城镇住宅用地、商业用地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约10.884亩，为已批用地，按规划条件执行。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约50.691亩，容积率小于等于0.1，建筑密度不大于5%，建筑限高12米，绿地率不小于65%。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规划城镇村道路用地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约93.953亩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各类用地面积以实测为准。</w:t>
            </w:r>
          </w:p>
        </w:tc>
      </w:tr>
      <w:tr w14:paraId="565641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4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5950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AE32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卧龙区青华镇36MV分散式风电项目控制性详细规划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4A70A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卧龙区青华镇，规划总用地面积约12.475亩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0DA4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12.475亩，其中A-10地块容积率不大于0.5，建筑系数不大于35%，建筑限高20米，绿地率不小于25%；A-01、A-02、A-03、A-04、A-05、A-06、A-07、A-08、A-09地块容积率不大于1.0，建筑密度不大于10%，建筑限高260米，绿地率不大于10%。各类用地面积以实测为准。</w:t>
            </w:r>
          </w:p>
        </w:tc>
      </w:tr>
      <w:tr w14:paraId="5FB9B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CF0CD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A597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卧龙区南都路以东、玉山南路以北区域（第WL15-A3、WL15-C1、WL15-C2街坊）控制性详细规划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ACF2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该规划位于环山路和南都路以东、规划一支路以南、邕河和白冯路以西、玉山南路以北区域，规划总用地面积约530.808亩（用地面积以实测为准）。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EA5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216.055亩，其中WL15-A3-5、WL15-A3-6、WL15-A3-7地块容积率大于1.0且不大于1.3，建筑密度不大于32%，建筑限高18米，绿地率不小于35%；WL15-C1-2地块容积率大于1.0且不大于1.6，建筑密度不大于32%，建筑限高24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科研用地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约14.970亩，容积率不小于0.8且不大于1.2，建筑密度不大于30%，建筑限高15米，绿地率不小于35%。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约29.720亩，容积率不小于1.0且不大于1.5，建筑密度不大于50%，建筑限高15米，绿地率不小于25%。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约128.640亩，容积率不大于0.1，建筑密度不大于5%，建筑限高12米，绿地率不小于65%。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约55.428亩。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约25.399亩。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农村宅基地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约2.200亩，为现状保留。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各类用地面积以实测为准。</w:t>
            </w:r>
          </w:p>
        </w:tc>
      </w:tr>
      <w:tr w14:paraId="01449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26CF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BDF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卧龙区雪枫路以南、车站路以西区域（第WL35-A4、A5、A6、A7、A8街坊）控制性详细规划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2848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该规划位于岐黄路以东、雪枫路以南、车站路以西、高科大街以北区域，规划总用地面积约352.554亩（用地面积以实测为准）。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AF9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总面积约141.262亩，WL35-A4-3、WL35-A5-2、WL35-A7-2地块容积率大于1.0且不大于2.5，建筑密度不大于22%，建筑限高80米，绿地率不小于35%；WL35-A4-2、WL35-A4-4、WL35-A6-2、WL35-A8-2地块为现状保留。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中小学用地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总面积约32.324亩，其中WL35-A6-3地块容积率不大于1.5，建筑密度不大于30%，建筑限高36米，绿地率不小于30%；WL35-A8-1地块容积率不大于1.2，建筑密度不大于25%，建筑限高36米，绿地率不小于35%。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总面积约66.347亩，容积率不大于0.1，建筑密度不大于5%，建筑限高12米，绿地率不小于65%。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社会停车场用地、公共交通场站用地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面积约5.879亩，容积率不大于0.5，建筑密度不大于10%，建筑限高24米，绿地率不小于25%，公共交通场站用地面积占地块总用地面积比例不大于10%。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面积约106.742亩。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各类用地面积以实测为准。</w:t>
            </w:r>
          </w:p>
        </w:tc>
      </w:tr>
      <w:tr w14:paraId="07941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2E353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5FB8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卧龙区南泰路以南、信臣大道以北、南都路以东、邓禹路以西区域（第WL04-C1、C2、C3街坊）控制性详细规划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2CF61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位于南泰路以南、信臣大道以北、南都路以东、邓禹路以西区域，规划总用地面积约469.201亩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（用地面积以实测为准）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C986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总面积约133.751亩，其中WL04-C1-04地块容积率大于1.0且不大于2.5，建筑密度不大于22%，建筑限高39米，绿地率不小于35%；WL04-C2-02地块容积率不小于1.0且不大于2.2，建筑密度不大于22%，建筑限高40米，绿地率不小于35%；WL04-C1-02地块为已批已建地块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总面积约52.214亩，其中WL04-C3-01地块容积率不小于1.0且不大于2.0，建筑密度不大于50%，建筑限高10米，绿地率不小于25%；WL04-C2-04地块为现状保留。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面积约11.515亩，容积率不大于1.0，建筑密度不大于45%，建筑限高10米，绿地率不小于20%。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广场用地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面积约48.590亩，容积率不大于0.2，建筑密度不大于10%，建筑限高10米，绿地率不小于35%。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面积约98.732亩，容积率不大于0.1，建筑密度不大于5%，建筑限高10米，绿地率不小于65%。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面积约12.904亩，容积率不大于0.05，建筑密度不大于1%，建筑限高10米，绿地率不小于85%。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面积约111.495亩。各类用地面积以实测为准。</w:t>
            </w:r>
          </w:p>
        </w:tc>
      </w:tr>
      <w:tr w14:paraId="7921B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B68E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290C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卧龙区独山以西、精武路以南区域（第WL14-B2街坊）控制性详细规划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A29B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位于独山以西、精武路以南区域，规划总用地面积约119.041亩（用地面积以实测为准）。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12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社会福利用地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约17.733亩，容积率不小于0.5且不大于1.0，建筑密度不大于35%，建筑限高12米，绿地率不小于35%。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 19.669亩，容积率不大于0.1，建筑密度不大于5%，建筑限高12米，绿地率不小于65%。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机关团体用地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约1.162亩，为现状保留。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广场用地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约9.489亩，为现状保留。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约6.296亩。各类用地面积以实测为准。</w:t>
            </w:r>
          </w:p>
        </w:tc>
      </w:tr>
      <w:tr w14:paraId="72609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1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08D9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CB0A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卧龙区信臣大道以北、龙安路以东区域（第WL37-B2、B4、B5、B6、B7、第WL38-A1街坊）控制性详细规划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A8037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位于信臣大道以北、龙安路以东区域，规划总用地面积约2519.345亩（用地面积以实测为准）。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7BB3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二类工业用地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约1762.563亩，其中WL37-B2-01、WL37-B4-02、WL37-B5-05、WL37-B6-01、WL37-B7-01、WL38-A1-07、WL38-A1-08地块容积率不小于1.2，建筑系数不小于40%，建筑限高50米，绿地率不小于12%且不大于20%；其他已批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按原规划条件执行。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排水用地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约6.215亩，容积率不大于1.0，建筑密度不大于45%，建筑限高20米，绿地率不小于30%。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二类城镇住宅用地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约22.108亩，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二类城镇住宅用地、商业用地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约22.526亩，为已批用地，按原规划条件执行。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约7.192亩，为现状保留用地。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约24.818亩。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约148.409亩。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约484.956亩。河流水面约40.558亩。规划新增科创大道（红线宽度60米）、通捷路（红线宽度40米）、龙海路（红线宽度20米）、通宁巷（红线宽度24米）。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highlight w:val="none"/>
              </w:rPr>
              <w:t>各类用地面积以实测为准。</w:t>
            </w:r>
          </w:p>
        </w:tc>
      </w:tr>
      <w:tr w14:paraId="32604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CF9C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13C1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卧龙区七一路以南以西、滨河大道以北区域（第WL27-D3、D4街坊）控制性详细规划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0D52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位于七一路以南以西、滨河大道以北区域，规划总用地面积约108.839亩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（用地面积以实测为准）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D838A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二类城镇住宅用地、商业用地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约62.282亩，容积率大于1.0且不大于3.1，建筑密度不大于22%，建筑限高80米，绿地率不小于35%，商业建筑面积占地上总建筑面积的比例不小于1%（不含配套商业服务设施）。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约46.557亩。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各类用地面积以实测为准。</w:t>
            </w:r>
          </w:p>
        </w:tc>
      </w:tr>
      <w:tr w14:paraId="5682D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4D9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9C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示范区山河大道以南、白河北路以西区域（第SF06-A1街坊）控制性详细规划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0E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该规划位于宝天曼路以东、山河大道以南、白河北路以西、规划区间路以北区域，规划总用地面积约270.600亩（用地面积以实测为准）。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3E03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高等教育用地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约153.389亩，容积率不大于1.0，建筑密度不大于25%，建筑限高50米，绿地率不小于35%。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约60.104亩，容积率不大于0.1，建筑密度不大于5%，建筑限高12米，绿地率不小于65%。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约57.107亩。各类用地面积以实测为准。</w:t>
            </w:r>
          </w:p>
        </w:tc>
      </w:tr>
      <w:tr w14:paraId="6236A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035BB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13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5A68D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示范区湖阳大道以西、永昌大街以北区域（第SF10-A3街坊）控制性详细规划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6D60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该规划位于湖阳大道以西、永昌大街以北区域，规划总用地面积约204.201亩（用地面积以实测为准）。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9680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一类物流仓储用地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约147.787亩，容积率不小于1.0，建筑系数不小于40%，建筑限高36米，绿地率不小于12%且不大于20%。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约8.493亩，容积率不大于0.05，建筑密度不大于1%，建筑限高12米，绿地率不小于85%。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约47.921亩。各类用地面积以实测为准。</w:t>
            </w:r>
          </w:p>
        </w:tc>
      </w:tr>
      <w:tr w14:paraId="224B2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0E6F0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9F0FB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示范区东环路以东、月季大道以北区域（第SF14-C4街坊）控制性详细规划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4B9A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该规划位于东环路以东、永吉大街以南、湖阳大道以西、月季大道以北区域，规划总用地面积约1202.427亩（用地面积以实测为准）。</w:t>
            </w:r>
          </w:p>
        </w:tc>
        <w:tc>
          <w:tcPr>
            <w:tcW w:w="7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E118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625.869亩，其中SF14-C4-5地块容积率不小于1.0且不大于1.2，建筑密度不大于50%，建筑限高30米，绿地率不小于25%；SF14-C4-8、SF14-C4-13地块容积率不小于1.0且不大于2.5，建筑密度不大于50%，建筑限高40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公用设施营业网点用地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约6.586亩，容积率不小于0.1且不大于0.3，建筑密度不大于30%，建筑限高15米，绿地率不小于20%。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社会停车场用地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约25.313亩，容积率不大于0.5，建筑密度不大于10%，建筑限高24米，绿地率不小于25%。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供电用地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约11.046亩，容积率不大于0.3，建筑密度不大于35%，建筑限高24米，绿地率不小于25%。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约242.534亩，容积率不大于0.1，建筑密度不大于5%，建筑限高12米，绿地率不小于65%。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约161.914亩。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约129.165亩。各类用地面积以实测为准。</w:t>
            </w:r>
          </w:p>
        </w:tc>
      </w:tr>
    </w:tbl>
    <w:p w14:paraId="3CC7617F">
      <w:pPr>
        <w:spacing w:after="12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01E81B35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 w14:paraId="7ADA6AA5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2883689B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6803B963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204669A2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4150DEB6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56E24FD8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52C50076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2AD2C13B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5D24D19E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70B68782">
      <w:pPr>
        <w:spacing w:after="0"/>
        <w:rPr>
          <w:rFonts w:hint="eastAsia" w:ascii="黑体" w:hAnsi="黑体" w:eastAsia="黑体" w:cs="黑体"/>
          <w:color w:val="000000"/>
          <w:sz w:val="32"/>
          <w:szCs w:val="32"/>
        </w:rPr>
      </w:pPr>
    </w:p>
    <w:p w14:paraId="401F598A">
      <w:pPr>
        <w:keepNext w:val="0"/>
        <w:keepLines w:val="0"/>
        <w:pageBreakBefore w:val="0"/>
        <w:widowControl w:val="0"/>
        <w:tabs>
          <w:tab w:val="left" w:pos="58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120" w:line="20" w:lineRule="exact"/>
        <w:textAlignment w:val="auto"/>
        <w:rPr>
          <w:rFonts w:hint="eastAsia" w:ascii="Calibri" w:hAnsi="Calibri"/>
          <w:b/>
          <w:bCs/>
          <w:color w:val="FF0000"/>
          <w:szCs w:val="24"/>
        </w:rPr>
      </w:pPr>
    </w:p>
    <w:p w14:paraId="332DBDA0">
      <w:pPr>
        <w:rPr>
          <w:rFonts w:ascii="仿宋_GB2312" w:eastAsia="仿宋_GB2312"/>
          <w:sz w:val="32"/>
          <w:szCs w:val="32"/>
        </w:rPr>
      </w:pPr>
    </w:p>
    <w:p w14:paraId="44040FE4">
      <w:pPr>
        <w:rPr>
          <w:rFonts w:ascii="仿宋_GB2312" w:eastAsia="仿宋_GB2312"/>
          <w:sz w:val="32"/>
          <w:szCs w:val="32"/>
        </w:rPr>
      </w:pPr>
    </w:p>
    <w:p w14:paraId="57B5401D">
      <w:pPr>
        <w:rPr>
          <w:rFonts w:ascii="仿宋_GB2312" w:eastAsia="仿宋_GB2312"/>
          <w:sz w:val="32"/>
          <w:szCs w:val="32"/>
        </w:rPr>
      </w:pPr>
      <w:bookmarkStart w:id="6" w:name="_GoBack"/>
      <w:bookmarkEnd w:id="6"/>
    </w:p>
    <w:p w14:paraId="458CDA07">
      <w:pPr>
        <w:rPr>
          <w:rFonts w:ascii="仿宋_GB2312" w:eastAsia="仿宋_GB2312"/>
          <w:sz w:val="32"/>
          <w:szCs w:val="32"/>
        </w:rPr>
      </w:pPr>
    </w:p>
    <w:p w14:paraId="2A958558">
      <w:pPr>
        <w:rPr>
          <w:rFonts w:ascii="仿宋_GB2312" w:eastAsia="仿宋_GB2312"/>
          <w:sz w:val="32"/>
          <w:szCs w:val="32"/>
        </w:rPr>
      </w:pPr>
    </w:p>
    <w:p w14:paraId="1B2ADF38">
      <w:pPr>
        <w:rPr>
          <w:rFonts w:ascii="仿宋_GB2312" w:eastAsia="仿宋_GB2312"/>
          <w:sz w:val="32"/>
          <w:szCs w:val="32"/>
        </w:rPr>
      </w:pPr>
    </w:p>
    <w:tbl>
      <w:tblPr>
        <w:tblStyle w:val="5"/>
        <w:tblW w:w="8845" w:type="dxa"/>
        <w:jc w:val="center"/>
        <w:tblBorders>
          <w:top w:val="single" w:color="FF0000" w:sz="12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9"/>
        <w:gridCol w:w="318"/>
        <w:gridCol w:w="3628"/>
      </w:tblGrid>
      <w:tr w14:paraId="1BDBCA8A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single" w:color="000000" w:sz="18" w:space="0"/>
              <w:right w:val="nil"/>
            </w:tcBorders>
          </w:tcPr>
          <w:p w14:paraId="49674235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</w:tc>
      </w:tr>
      <w:tr w14:paraId="0898DDD6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9" w:type="dxa"/>
            <w:tcBorders>
              <w:top w:val="single" w:color="000000" w:sz="18" w:space="0"/>
              <w:left w:val="nil"/>
              <w:bottom w:val="single" w:color="000000" w:sz="12" w:space="0"/>
              <w:right w:val="nil"/>
            </w:tcBorders>
          </w:tcPr>
          <w:p w14:paraId="3C300CE0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主办：</w:t>
            </w:r>
            <w:bookmarkStart w:id="0" w:name="主办2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市自然资源和规划局</w:t>
            </w:r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</w:t>
            </w:r>
          </w:p>
        </w:tc>
        <w:tc>
          <w:tcPr>
            <w:tcW w:w="3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58717553">
            <w:pPr>
              <w:jc w:val="right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督办：</w:t>
            </w:r>
            <w:bookmarkStart w:id="1" w:name="督办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市政府办公室五科</w:t>
            </w:r>
            <w:bookmarkEnd w:id="1"/>
          </w:p>
        </w:tc>
      </w:tr>
      <w:tr w14:paraId="0C5B99B6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single" w:color="000000" w:sz="12" w:space="0"/>
              <w:left w:val="nil"/>
              <w:bottom w:val="single" w:color="000000" w:themeColor="text1" w:sz="4" w:space="0"/>
              <w:right w:val="nil"/>
            </w:tcBorders>
          </w:tcPr>
          <w:p w14:paraId="5F3F58C2"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抄送</w:t>
            </w:r>
            <w:r>
              <w:rPr>
                <w:rFonts w:ascii="仿宋_GB2312" w:eastAsia="仿宋_GB2312"/>
                <w:sz w:val="32"/>
                <w:szCs w:val="32"/>
              </w:rPr>
              <w:t>：</w:t>
            </w:r>
            <w:bookmarkStart w:id="2" w:name="抄送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宛城区、卧龙区人民政府，城乡一体化示范区管委会</w:t>
            </w:r>
            <w:bookmarkEnd w:id="2"/>
          </w:p>
        </w:tc>
      </w:tr>
      <w:tr w14:paraId="2FB42FCD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7" w:type="dxa"/>
            <w:gridSpan w:val="2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5256C087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南阳市人民政府办公室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3628" w:type="dxa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66A35508">
            <w:pPr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bookmarkStart w:id="3" w:name="年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20XX</w:t>
            </w:r>
            <w:bookmarkEnd w:id="3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年</w:t>
            </w:r>
            <w:bookmarkStart w:id="4" w:name="月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4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月</w:t>
            </w:r>
            <w:bookmarkStart w:id="5" w:name="日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5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日印发</w:t>
            </w:r>
          </w:p>
        </w:tc>
      </w:tr>
    </w:tbl>
    <w:p w14:paraId="24EA17E6"/>
    <w:p w14:paraId="545711AD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4B0C48"/>
    <w:rsid w:val="7F4B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2026-04-10T01:53:00Z</dcterms:created>
  <dc:creator>zkyyyy</dc:creator>
  <cp:lastModifiedBy>zkyyyy</cp:lastModifiedBy>
  <dcterms:modified xsi:type="dcterms:W3CDTF">2026-04-10T01:54:06Z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CFBD713A894447BFB64ED25B35015DF4_11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