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D3DE4">
      <w:pPr>
        <w:pStyle w:val="7"/>
        <w:spacing w:beforeLines="0" w:afterLines="0"/>
        <w:ind w:left="0" w:leftChars="0" w:firstLine="0" w:firstLineChars="0"/>
        <w:rPr>
          <w:rFonts w:hint="default"/>
          <w:color w:val="auto"/>
          <w:sz w:val="21"/>
        </w:rPr>
      </w:pPr>
      <w:r>
        <w:rPr>
          <w:rFonts w:hint="eastAsia" w:ascii="黑体" w:hAnsi="黑体" w:eastAsia="黑体"/>
          <w:color w:val="auto"/>
          <w:sz w:val="32"/>
        </w:rPr>
        <w:t>附件</w:t>
      </w:r>
    </w:p>
    <w:p w14:paraId="7846D570">
      <w:pPr>
        <w:spacing w:beforeLines="0" w:afterLines="0" w:line="700" w:lineRule="exact"/>
        <w:jc w:val="center"/>
        <w:outlineLvl w:val="0"/>
        <w:rPr>
          <w:rFonts w:hint="eastAsia" w:ascii="方正小标宋简体" w:hAnsi="方正小标宋简体" w:eastAsia="方正小标宋简体"/>
          <w:color w:val="auto"/>
          <w:sz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lang w:val="en"/>
        </w:rPr>
        <w:t>南阳</w:t>
      </w:r>
      <w:r>
        <w:rPr>
          <w:rFonts w:hint="eastAsia" w:ascii="方正小标宋简体" w:hAnsi="方正小标宋简体" w:eastAsia="方正小标宋简体"/>
          <w:color w:val="auto"/>
          <w:sz w:val="44"/>
        </w:rPr>
        <w:t>市推进“人工智能</w:t>
      </w:r>
      <w:r>
        <w:rPr>
          <w:rFonts w:hint="eastAsia" w:ascii="宋体" w:hAnsi="宋体" w:eastAsia="宋体" w:cs="宋体"/>
          <w:color w:val="auto"/>
          <w:sz w:val="44"/>
        </w:rPr>
        <w:t>＋</w:t>
      </w:r>
      <w:r>
        <w:rPr>
          <w:rFonts w:hint="eastAsia" w:ascii="方正小标宋简体" w:hAnsi="方正小标宋简体" w:eastAsia="方正小标宋简体"/>
          <w:color w:val="auto"/>
          <w:sz w:val="44"/>
        </w:rPr>
        <w:t>”行动重点任务台账</w:t>
      </w:r>
    </w:p>
    <w:p w14:paraId="1136A2C6">
      <w:pPr>
        <w:pStyle w:val="7"/>
        <w:spacing w:beforeLines="0" w:afterLines="0"/>
        <w:rPr>
          <w:rFonts w:hint="eastAsia"/>
          <w:color w:val="auto"/>
          <w:sz w:val="21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697"/>
        <w:gridCol w:w="6930"/>
        <w:gridCol w:w="1549"/>
        <w:gridCol w:w="3032"/>
      </w:tblGrid>
      <w:tr w14:paraId="28B0E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tblHeader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15AABC">
            <w:pPr>
              <w:pStyle w:val="2"/>
              <w:ind w:firstLine="0"/>
              <w:jc w:val="center"/>
              <w:rPr>
                <w:rFonts w:hint="eastAsia"/>
                <w:color w:val="auto"/>
                <w:sz w:val="32"/>
              </w:rPr>
            </w:pPr>
            <w:r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  <w:t>序号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04E632">
            <w:pPr>
              <w:pStyle w:val="2"/>
              <w:ind w:firstLine="0"/>
              <w:jc w:val="center"/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</w:pPr>
            <w:r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  <w:t>重点任务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75EA21">
            <w:pPr>
              <w:pStyle w:val="2"/>
              <w:ind w:firstLine="0"/>
              <w:jc w:val="center"/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</w:pPr>
            <w:r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  <w:t>任务内容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9A87915">
            <w:pPr>
              <w:pStyle w:val="2"/>
              <w:ind w:firstLine="0"/>
              <w:jc w:val="center"/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</w:pPr>
            <w:r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  <w:t>时间节点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D089351">
            <w:pPr>
              <w:pStyle w:val="2"/>
              <w:ind w:firstLine="0"/>
              <w:jc w:val="center"/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</w:pPr>
            <w:r>
              <w:rPr>
                <w:rFonts w:hint="eastAsia" w:ascii="黑体" w:hAnsi="黑体" w:eastAsia="黑体"/>
                <w:color w:val="auto"/>
                <w:kern w:val="2"/>
                <w:sz w:val="32"/>
                <w:lang w:val="en-US"/>
              </w:rPr>
              <w:t>责任单位</w:t>
            </w:r>
          </w:p>
        </w:tc>
      </w:tr>
      <w:tr w14:paraId="22264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8C489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</w:t>
            </w:r>
          </w:p>
        </w:tc>
        <w:tc>
          <w:tcPr>
            <w:tcW w:w="1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B44A40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增强算力服务能力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FD16A4">
            <w:pPr>
              <w:pStyle w:val="7"/>
              <w:spacing w:beforeLines="0" w:after="0" w:afterLines="0"/>
              <w:ind w:left="0" w:leftChars="0" w:firstLine="0" w:firstLineChars="0"/>
              <w:rPr>
                <w:rFonts w:hint="default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布局建设智能算力中心，积极接入省算力调度服务平台</w:t>
            </w:r>
            <w:r>
              <w:rPr>
                <w:rFonts w:hint="eastAsia" w:ascii="仿宋" w:hAnsi="仿宋" w:eastAsia="仿宋"/>
                <w:color w:val="auto"/>
                <w:sz w:val="28"/>
              </w:rPr>
              <w:t>，推动算力资源有序开发和集约化利用。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F052D2">
            <w:pPr>
              <w:pStyle w:val="2"/>
              <w:ind w:firstLine="0"/>
              <w:jc w:val="center"/>
              <w:rPr>
                <w:rFonts w:hint="eastAsia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600D0C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市行政审批和政务信息管理局、发展改革委</w:t>
            </w:r>
          </w:p>
        </w:tc>
      </w:tr>
      <w:tr w14:paraId="3F7AF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49FC20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2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E91C5A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D74A06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"/>
                <w:color w:val="auto"/>
                <w:sz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</w:rPr>
              <w:t>支持具备条件的工业园区、大型企业自建或共建边缘数据中心。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B3666A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168C4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市行政审批和政务信息管理局、发展改革委</w:t>
            </w:r>
          </w:p>
        </w:tc>
      </w:tr>
      <w:tr w14:paraId="74D00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4197A3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3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2D04F1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41A87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" w:hAnsi="仿宋" w:eastAsia="仿宋"/>
                <w:color w:val="auto"/>
                <w:sz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</w:rPr>
              <w:t>鼓励各类有算力需求的企业主体和科研机构以算力租赁、购买服务等方式使用算力，积极争取省级“算力券”等补贴。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42C20B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2028年底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6FD6C2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市发展改革委、工业和信息化局、财政局</w:t>
            </w:r>
          </w:p>
        </w:tc>
      </w:tr>
      <w:tr w14:paraId="59D9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1A2774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4</w:t>
            </w:r>
          </w:p>
        </w:tc>
        <w:tc>
          <w:tcPr>
            <w:tcW w:w="1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EF622C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both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加快数据开发利用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0031C4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开展全市公共数据治理行动，贯彻落实《</w:t>
            </w:r>
            <w:r>
              <w:rPr>
                <w:rFonts w:hint="eastAsia" w:ascii="仿宋_GB2312" w:hAnsi="仿宋_GB2312"/>
                <w:color w:val="auto"/>
                <w:sz w:val="28"/>
                <w:lang w:eastAsia="zh-CN"/>
              </w:rPr>
              <w:t>南阳市人民政府办公室关于印发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南阳市公共数据资源授权运营实施方案（试行）</w:t>
            </w:r>
            <w:r>
              <w:rPr>
                <w:rFonts w:hint="eastAsia" w:ascii="仿宋_GB2312" w:hAnsi="仿宋_GB2312"/>
                <w:color w:val="auto"/>
                <w:sz w:val="28"/>
                <w:lang w:eastAsia="zh-CN"/>
              </w:rPr>
              <w:t>的通知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》。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02D235">
            <w:pPr>
              <w:pStyle w:val="7"/>
              <w:spacing w:beforeLines="0" w:after="0" w:afterLines="0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2026年底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103FE0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市行政审批和政务信息管理局</w:t>
            </w:r>
          </w:p>
        </w:tc>
      </w:tr>
      <w:tr w14:paraId="69230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A53744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5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5DFD39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6DA223">
            <w:pPr>
              <w:pStyle w:val="7"/>
              <w:spacing w:beforeLines="0" w:after="0" w:afterLines="0"/>
              <w:ind w:left="0" w:leftChars="0" w:firstLine="0" w:firstLineChars="0"/>
              <w:rPr>
                <w:rFonts w:hint="default"/>
                <w:color w:val="auto"/>
                <w:sz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</w:rPr>
              <w:t>以省级数据标注基地建设试点为契机，积极发展数据标注产业。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346CAB">
            <w:pPr>
              <w:pStyle w:val="2"/>
              <w:ind w:firstLine="0"/>
              <w:jc w:val="center"/>
              <w:rPr>
                <w:rFonts w:hint="eastAsia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2026年底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38A1A0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市发展改革委</w:t>
            </w:r>
          </w:p>
        </w:tc>
      </w:tr>
      <w:tr w14:paraId="238D5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F52FD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6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811F42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7E76CF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推进大中小企业数据资源融通发展，支持行业企业向产业链中小微企业开放数据资源。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D49416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0793C6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市发展改革委</w:t>
            </w:r>
          </w:p>
        </w:tc>
      </w:tr>
      <w:tr w14:paraId="20369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859AD3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7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9D19C5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65D487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面向医疗健康、中医药、文化旅游等领域，打造具有区域优势的高质量数据集。加快中原（南阳）数谷科技园建设。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AE5A99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5E04C3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</w:t>
            </w:r>
            <w:r>
              <w:rPr>
                <w:rFonts w:hint="eastAsia" w:ascii="仿宋_GB2312" w:hAnsi="仿宋_GB2312"/>
                <w:color w:val="auto"/>
                <w:sz w:val="28"/>
                <w:lang w:val="en-US" w:eastAsia="zh-CN"/>
              </w:rPr>
              <w:t>卫生健康体育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委、中医药管理局、文化广电和旅游局、行政审批和政务信息管理局</w:t>
            </w:r>
          </w:p>
        </w:tc>
      </w:tr>
      <w:tr w14:paraId="2B050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911758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8</w:t>
            </w:r>
          </w:p>
        </w:tc>
        <w:tc>
          <w:tcPr>
            <w:tcW w:w="1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F6973B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both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开展关键技术攻关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44E7A1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鼓励行业企业与高校、科研院所联合攻关，加强在大数据智能分析、工业视觉算法、多模态智能控制等方面的研究，着力攻克一批关键技术。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62ACB5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6679AD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市科技局</w:t>
            </w:r>
          </w:p>
        </w:tc>
      </w:tr>
      <w:tr w14:paraId="14EB9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87E156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9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ED996E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8A9AAF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支持行业优势主体与大模型企业联合研发，开展基于国产大模型技术底座的垂直大模型应用示范，形成一批“人工智能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”行业解决方案。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DF932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EB9673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市科技局、发展改革委、工业和信息化局</w:t>
            </w:r>
          </w:p>
        </w:tc>
      </w:tr>
      <w:tr w14:paraId="1834A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7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7EF603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10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FC582F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医疗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3F2119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推进万名中医师家庭签约服务，推动AI在基层中医智能辅诊、四诊客观化采集、个性化方剂推荐等场景的规模化应用，构建“智慧中医药”诊疗服务新模式。鼓励中医药企业将大数据和人工智能应用于中医药创新，围绕“治未病”理念构建智能健康管理服务。汇聚南阳市全民健康信息平台和云影像平台数据，打造一批高质量行业通识数据集和专科专病数据集。着力发展智能医疗设备产业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6DA17E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9C21F3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</w:t>
            </w:r>
            <w:r>
              <w:rPr>
                <w:rFonts w:hint="eastAsia" w:ascii="仿宋_GB2312" w:hAnsi="仿宋_GB2312"/>
                <w:color w:val="auto"/>
                <w:sz w:val="28"/>
                <w:lang w:val="en-US" w:eastAsia="zh-CN"/>
              </w:rPr>
              <w:t>卫生健康体育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委、中医药管理局、工业和信息化局</w:t>
            </w:r>
          </w:p>
        </w:tc>
      </w:tr>
      <w:tr w14:paraId="30410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B6F8D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11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91B26D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教育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2CD9EB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推广人工智能在教师备课、课堂教学、作业管理、答疑辅导等教学全场景应用。探索课堂教学监测服务，开展智能学情分析，动态跟踪学生学习进度与反馈，优化教学策略。持续推动智慧校园建设，积极参与“河南省中小学智慧校园示范校”评选活动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AE5081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1EA9F7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市教育局</w:t>
            </w:r>
          </w:p>
        </w:tc>
      </w:tr>
      <w:tr w14:paraId="63A01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5BDDD0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12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708DB4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科研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C697FB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推动人工智能技术在科研领域应用，缩短科研实验周期，提高科研能力。支持高校、企业、科研机构联合研发人工智能垂直大模型和专用平台，搭建科技创新智能体，打造科创生态矩阵。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6B2E4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2028年底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F1E6C3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市科技局</w:t>
            </w:r>
          </w:p>
        </w:tc>
      </w:tr>
      <w:tr w14:paraId="001C4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6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70E836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13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635161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制造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6AB6D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聚焦先进制造业产业链，推动人工智能技术在制造业各环节广泛应用，构建一批工业高质量数据集。探索建设适应复杂任务环境、具备跨模态数据处理能力的工业领域垂直大模型。深入推进企业上云上平台。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FD435A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1F2E0D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市工业和信息化局</w:t>
            </w:r>
          </w:p>
        </w:tc>
      </w:tr>
      <w:tr w14:paraId="5BA71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80BDF6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14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48C118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农业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102C14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加快5G、物联网、大数据、人工智能等现代信息技术在农业领域的应用，打造一批智能种植、智能养殖、智能农机等应用场景。依托“河南农机云平台”，推广智能农机装备应用。加强省人工智能行业赋能中心（养殖领域）建设，构建“智慧兽医”大模型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79983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5577E6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市农业农村局</w:t>
            </w:r>
          </w:p>
        </w:tc>
      </w:tr>
      <w:tr w14:paraId="5F5B2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54C55B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15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3697A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文旅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07A01A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依托河南文旅垂直大模型，拓展“一部手机游南阳”数字文旅云平台功能，推广人工智能技术在智慧化景区服务、交互式沉浸体验、精准化营销引流等方面应用。积极推进文博场馆数字化提升。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FD13F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74E15C">
            <w:pPr>
              <w:pStyle w:val="2"/>
              <w:ind w:firstLine="0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市文化广电和旅游局</w:t>
            </w:r>
          </w:p>
        </w:tc>
      </w:tr>
      <w:tr w14:paraId="0FAD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A0E73D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16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71E080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城市治理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C01968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加快全域数字化城市建设进程，依托南阳市数字城管系统平台，构建多元融合的“空天地”一体化监测体系。利用“信用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智慧钉”赋能精细化城市治理，构建四维联动智慧治理体系。积极推动城市基础设施生命线安全运行监测系统建设，筑牢智慧城管数字底座。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A70854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2B4EC7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市城市管理局</w:t>
            </w:r>
          </w:p>
        </w:tc>
      </w:tr>
      <w:tr w14:paraId="10D3E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009B5C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17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955C86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生态保护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B96D77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积极探索将人工智能技术应用到生态智能监管、污染防治攻坚、库区水质保护等领域，推进数据融合应用与智能分析。加快南水北调中线丹江口库区及上游区域（南阳段）“三水”一体化数据库与监控能力建设，打造水生态环境数据“一张图”和水环境监管场景应用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09406F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442343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市生态环境局、水利局、自然资源和规划局</w:t>
            </w:r>
          </w:p>
        </w:tc>
      </w:tr>
      <w:tr w14:paraId="371F0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70B604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18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DE541A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防灾减灾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7ED260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汇聚融合自然资源和规划等多个领域行业数据，积极开展灾害预警、防汛抗旱、地质灾害防治、森林火灾防控等应用场景，推动物资、队伍、风险点、监测设备信息数据整合。构建广域覆盖的消防感知网络和智慧联动的火灾防控体系，提高火灾预警防控和应急救援的信息化支撑能力。持续升级迭代智能接警调度指挥系统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B5CED7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C8F281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市应急管理局、自然资源和规划局、林业局、气象局、消防救援支队</w:t>
            </w:r>
          </w:p>
        </w:tc>
      </w:tr>
      <w:tr w14:paraId="57855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5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0F97C8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19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B14FA3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人工智能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  <w:t>公共安全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E4AEE8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依托“星燧”警务大模型及多模态感知体系，融合警务数据等多源信息，深化人工智能在治安态势研判、风险预警、案件侦办与指挥调度等核心环节的应用，提升对各类安全风险的精准防控与高效处置能力。通过强化基于多模态感知数据的异常事件智能发现、现场态势分析与处置闭环管理，推动轻量化智能工具在基层实战中的应用，加快形成“数据驱动、智能研判、精准落地”的公共安全智能化体系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CA0C5B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345E67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市公安局</w:t>
            </w:r>
          </w:p>
        </w:tc>
      </w:tr>
      <w:tr w14:paraId="0DA4F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7D23A1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20</w:t>
            </w:r>
          </w:p>
        </w:tc>
        <w:tc>
          <w:tcPr>
            <w:tcW w:w="1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710501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both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探索多元化应用场景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778E7D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依托“爱南阳”APP和“诸葛码”支付体系，构建“政务大模型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智能化标注</w:t>
            </w:r>
            <w:r>
              <w:rPr>
                <w:rFonts w:hint="eastAsia" w:ascii="宋体" w:hAnsi="宋体" w:eastAsia="宋体" w:cs="宋体"/>
                <w:color w:val="auto"/>
                <w:sz w:val="28"/>
              </w:rPr>
              <w:t>＋</w:t>
            </w: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多模态交互”三位一体技术架构，推动政务服务从“能办”向“智办”升级。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ECC866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2026年底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DCD5D7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市行政审批和政务信息管理局</w:t>
            </w:r>
          </w:p>
        </w:tc>
      </w:tr>
      <w:tr w14:paraId="72D4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6C65B4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21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83F3A8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6316F3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结合南阳区域性消费中心建设与玉器、艾草等特色产品优势，构建高效智能化消费服务平台，催生线上线下融合、个性化体验等新场景新业态新模式。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F4324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2027年底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E1AB9D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市商务局</w:t>
            </w:r>
          </w:p>
        </w:tc>
      </w:tr>
      <w:tr w14:paraId="15A23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3B1EDF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center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22</w:t>
            </w: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28E04F">
            <w:pPr>
              <w:pStyle w:val="6"/>
              <w:widowControl/>
              <w:shd w:val="clear" w:color="auto" w:fill="FFFFFF"/>
              <w:spacing w:before="0" w:beforeLines="0" w:beforeAutospacing="0" w:after="0" w:afterLines="0" w:afterAutospacing="0"/>
              <w:jc w:val="both"/>
              <w:rPr>
                <w:rFonts w:hint="eastAsia"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9D0992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支持建设医养结合的智慧化养老机构、社区，鼓励开发健康养老智能产品，推广运用智能床垫、智能手环、应急援助感应呼叫终端等设备，提升养老服务智能化水平。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2FBED9">
            <w:pPr>
              <w:pStyle w:val="2"/>
              <w:ind w:firstLine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lang w:val="en-US"/>
              </w:rPr>
              <w:t>2028年底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FED28F">
            <w:pPr>
              <w:pStyle w:val="7"/>
              <w:spacing w:beforeLines="0" w:after="0" w:afterLines="0"/>
              <w:ind w:left="0" w:leftChars="0" w:firstLine="0" w:firstLineChars="0"/>
              <w:rPr>
                <w:rFonts w:hint="eastAsia"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市民政局</w:t>
            </w:r>
          </w:p>
        </w:tc>
      </w:tr>
    </w:tbl>
    <w:p w14:paraId="08DB82AE">
      <w:pPr>
        <w:pStyle w:val="6"/>
        <w:widowControl/>
        <w:shd w:val="clear" w:color="auto" w:fill="FFFFFF"/>
        <w:spacing w:before="0" w:beforeLines="0" w:beforeAutospacing="0" w:after="0" w:afterLines="0" w:afterAutospacing="0" w:line="540" w:lineRule="atLeast"/>
        <w:jc w:val="both"/>
        <w:textAlignment w:val="top"/>
        <w:rPr>
          <w:rFonts w:hint="eastAsia" w:ascii="仿宋_GB2312" w:hAnsi="仿宋_GB2312" w:eastAsia="仿宋_GB2312"/>
          <w:color w:val="auto"/>
          <w:kern w:val="2"/>
          <w:sz w:val="32"/>
        </w:rPr>
        <w:sectPr>
          <w:headerReference r:id="rId3" w:type="default"/>
          <w:pgSz w:w="16838" w:h="11906" w:orient="landscape"/>
          <w:pgMar w:top="1588" w:right="2098" w:bottom="1474" w:left="1985" w:header="992" w:footer="1588" w:gutter="0"/>
          <w:cols w:space="720" w:num="1"/>
          <w:docGrid w:type="linesAndChars" w:linePitch="579" w:charSpace="-849"/>
        </w:sectPr>
      </w:pPr>
    </w:p>
    <w:p w14:paraId="09917662">
      <w:pPr>
        <w:pStyle w:val="6"/>
        <w:widowControl/>
        <w:shd w:val="clear" w:color="auto" w:fill="FFFFFF"/>
        <w:spacing w:before="0" w:beforeLines="0" w:beforeAutospacing="0" w:after="0" w:afterLines="0" w:afterAutospacing="0" w:line="540" w:lineRule="atLeast"/>
        <w:jc w:val="both"/>
        <w:textAlignment w:val="top"/>
        <w:rPr>
          <w:rFonts w:hint="eastAsia" w:ascii="仿宋_GB2312" w:hAnsi="仿宋_GB2312" w:eastAsia="仿宋_GB2312"/>
          <w:color w:val="auto"/>
          <w:kern w:val="2"/>
          <w:sz w:val="32"/>
        </w:rPr>
      </w:pPr>
    </w:p>
    <w:p w14:paraId="79237640">
      <w:pPr>
        <w:ind w:firstLine="0" w:firstLineChars="0"/>
        <w:rPr>
          <w:rFonts w:hint="eastAsia" w:ascii="仿宋_GB2312" w:hAnsi="仿宋_GB2312" w:eastAsia="仿宋_GB2312" w:cs="仿宋_GB231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6"/>
        <w:gridCol w:w="3543"/>
        <w:gridCol w:w="851"/>
        <w:gridCol w:w="283"/>
        <w:gridCol w:w="3067"/>
      </w:tblGrid>
      <w:tr w14:paraId="2CB46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45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 w14:paraId="65B2B922">
            <w:pPr>
              <w:spacing w:line="0" w:lineRule="atLeast"/>
              <w:ind w:firstLine="192" w:firstLineChars="200"/>
              <w:rPr>
                <w:rFonts w:hint="eastAsia"/>
                <w:sz w:val="10"/>
                <w:szCs w:val="10"/>
              </w:rPr>
            </w:pPr>
          </w:p>
        </w:tc>
      </w:tr>
      <w:tr w14:paraId="74650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8F38259">
            <w:pPr>
              <w:rPr>
                <w:rFonts w:hint="eastAsia"/>
              </w:rPr>
            </w:pPr>
            <w:r>
              <w:rPr>
                <w:rFonts w:hint="eastAsia"/>
              </w:rPr>
              <w:t>主办</w:t>
            </w:r>
            <w:r>
              <w:t>：</w:t>
            </w:r>
          </w:p>
        </w:tc>
        <w:tc>
          <w:tcPr>
            <w:tcW w:w="354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5AB4AD99">
            <w:pPr>
              <w:rPr>
                <w:rFonts w:hint="eastAsia" w:ascii="仿宋_GB2312" w:eastAsia="仿宋_GB2312"/>
                <w:lang w:eastAsia="zh-CN"/>
              </w:rPr>
            </w:pPr>
            <w:bookmarkStart w:id="0" w:name="主办2"/>
            <w:r>
              <w:rPr>
                <w:rFonts w:hint="eastAsia" w:ascii="仿宋_GB2312"/>
                <w:lang w:eastAsia="zh-CN"/>
              </w:rPr>
              <w:t>市发展改革委</w:t>
            </w:r>
            <w:bookmarkEnd w:id="0"/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6FF583FF">
            <w:pPr>
              <w:rPr>
                <w:rFonts w:hint="eastAsia"/>
              </w:rPr>
            </w:pPr>
            <w:r>
              <w:rPr>
                <w:rFonts w:hint="eastAsia"/>
              </w:rPr>
              <w:t>督办</w:t>
            </w:r>
            <w:r>
              <w:t>：</w:t>
            </w:r>
          </w:p>
        </w:tc>
        <w:tc>
          <w:tcPr>
            <w:tcW w:w="306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D5EA95B">
            <w:pPr>
              <w:rPr>
                <w:rFonts w:hint="eastAsia" w:eastAsia="仿宋_GB2312"/>
                <w:color w:val="000000"/>
                <w:lang w:eastAsia="zh-CN"/>
              </w:rPr>
            </w:pPr>
            <w:bookmarkStart w:id="1" w:name="督办"/>
            <w:r>
              <w:rPr>
                <w:rFonts w:hint="eastAsia" w:ascii="仿宋_GB2312"/>
                <w:color w:val="000000"/>
                <w:lang w:eastAsia="zh-CN"/>
              </w:rPr>
              <w:t>市政府办公室二科</w:t>
            </w:r>
            <w:bookmarkEnd w:id="1"/>
          </w:p>
        </w:tc>
      </w:tr>
      <w:tr w14:paraId="6569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17884DE0">
            <w:pPr>
              <w:rPr>
                <w:rFonts w:hint="eastAsia"/>
              </w:rPr>
            </w:pPr>
            <w:r>
              <w:rPr>
                <w:rFonts w:hint="eastAsia"/>
              </w:rPr>
              <w:t>抄送：</w:t>
            </w:r>
          </w:p>
        </w:tc>
        <w:tc>
          <w:tcPr>
            <w:tcW w:w="7750" w:type="dxa"/>
            <w:gridSpan w:val="5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57039964">
            <w:pPr>
              <w:rPr>
                <w:rFonts w:hint="eastAsia" w:ascii="仿宋_GB2312"/>
              </w:rPr>
            </w:pPr>
            <w:bookmarkStart w:id="2" w:name="抄送"/>
            <w:r>
              <w:rPr>
                <w:rFonts w:hint="eastAsia" w:ascii="仿宋_GB2312"/>
                <w:lang w:eastAsia="zh-CN"/>
              </w:rPr>
              <w:t>市委各部门，市人大办公室，市政协办公室，南阳军分区，市纪委监委，市中级法院，市检察院。</w:t>
            </w:r>
            <w:bookmarkEnd w:id="2"/>
          </w:p>
        </w:tc>
      </w:tr>
      <w:tr w14:paraId="51BC7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gridSpan w:val="4"/>
            <w:tcBorders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 w14:paraId="215138B5">
            <w:pPr>
              <w:rPr>
                <w:rFonts w:hint="eastAsia" w:ascii="仿宋_GB2312" w:eastAsia="仿宋_GB2312"/>
                <w:color w:val="FF000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南阳市人民政府办公室</w:t>
            </w:r>
          </w:p>
        </w:tc>
        <w:tc>
          <w:tcPr>
            <w:tcW w:w="3350" w:type="dxa"/>
            <w:gridSpan w:val="2"/>
            <w:tcBorders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 w14:paraId="5F629C6A">
            <w:pPr>
              <w:jc w:val="right"/>
              <w:rPr>
                <w:rFonts w:hint="eastAsia" w:ascii="仿宋_GB2312"/>
                <w:color w:val="000000"/>
              </w:rPr>
            </w:pPr>
            <w:bookmarkStart w:id="3" w:name="年"/>
            <w:r>
              <w:rPr>
                <w:rFonts w:hint="eastAsia" w:ascii="仿宋_GB2312"/>
                <w:color w:val="000000"/>
              </w:rPr>
              <w:t>20</w:t>
            </w:r>
            <w:r>
              <w:rPr>
                <w:rFonts w:hint="eastAsia" w:ascii="仿宋_GB2312"/>
                <w:color w:val="000000"/>
                <w:lang w:val="en-US" w:eastAsia="zh-CN"/>
              </w:rPr>
              <w:t>XX</w:t>
            </w:r>
            <w:bookmarkEnd w:id="3"/>
            <w:r>
              <w:rPr>
                <w:rFonts w:hint="eastAsia" w:ascii="仿宋_GB2312"/>
                <w:color w:val="000000"/>
              </w:rPr>
              <w:t>年</w:t>
            </w:r>
            <w:bookmarkStart w:id="4" w:name="月"/>
            <w:r>
              <w:rPr>
                <w:rFonts w:hint="eastAsia" w:ascii="仿宋_GB2312"/>
                <w:color w:val="000000"/>
              </w:rPr>
              <w:t xml:space="preserve"> </w:t>
            </w:r>
            <w:bookmarkEnd w:id="4"/>
            <w:r>
              <w:rPr>
                <w:rFonts w:hint="eastAsia" w:ascii="仿宋_GB2312"/>
                <w:color w:val="000000"/>
              </w:rPr>
              <w:t>月</w:t>
            </w:r>
            <w:bookmarkStart w:id="5" w:name="日"/>
            <w:r>
              <w:rPr>
                <w:rFonts w:hint="eastAsia" w:ascii="仿宋_GB2312"/>
                <w:color w:val="000000"/>
              </w:rPr>
              <w:t xml:space="preserve"> </w:t>
            </w:r>
            <w:bookmarkEnd w:id="5"/>
            <w:r>
              <w:rPr>
                <w:rFonts w:hint="eastAsia" w:ascii="仿宋_GB2312"/>
                <w:color w:val="000000"/>
              </w:rPr>
              <w:t>日</w:t>
            </w:r>
            <w:r>
              <w:rPr>
                <w:rFonts w:hint="eastAsia" w:ascii="仿宋_GB2312"/>
                <w:color w:val="000000"/>
                <w:lang w:eastAsia="zh-CN"/>
              </w:rPr>
              <w:t>印发</w:t>
            </w:r>
          </w:p>
        </w:tc>
      </w:tr>
    </w:tbl>
    <w:p w14:paraId="5C5C1062">
      <w:pPr>
        <w:rPr>
          <w:rFonts w:hint="eastAsia"/>
        </w:rPr>
      </w:pPr>
    </w:p>
    <w:p w14:paraId="730767FB">
      <w:pPr>
        <w:rPr>
          <w:rFonts w:hint="eastAsia"/>
        </w:rPr>
      </w:pPr>
    </w:p>
    <w:p w14:paraId="32718A1E">
      <w:bookmarkStart w:id="6" w:name="_GoBack"/>
      <w:bookmarkEnd w:id="6"/>
    </w:p>
    <w:sectPr>
      <w:pgSz w:w="11906" w:h="16838"/>
      <w:pgMar w:top="2098" w:right="1474" w:bottom="1985" w:left="1588" w:header="992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FDDEC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50EA9"/>
    <w:rsid w:val="3BB5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spacing w:before="156" w:beforeLines="50" w:after="156" w:afterLines="50"/>
      <w:ind w:firstLine="420"/>
    </w:pPr>
    <w:rPr>
      <w:rFonts w:hint="eastAsia" w:ascii="宋体" w:hAnsi="宋体"/>
      <w:kern w:val="0"/>
      <w:sz w:val="21"/>
      <w:lang w:val="zh-CN"/>
    </w:rPr>
  </w:style>
  <w:style w:type="paragraph" w:styleId="3">
    <w:name w:val="Body Text Indent"/>
    <w:basedOn w:val="1"/>
    <w:unhideWhenUsed/>
    <w:qFormat/>
    <w:uiPriority w:val="0"/>
    <w:pPr>
      <w:spacing w:beforeLines="0" w:after="120" w:afterLines="0"/>
      <w:ind w:left="420" w:leftChars="200"/>
    </w:pPr>
    <w:rPr>
      <w:rFonts w:hint="default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</w:rPr>
  </w:style>
  <w:style w:type="paragraph" w:styleId="7">
    <w:name w:val="Body Text First Indent 2"/>
    <w:basedOn w:val="3"/>
    <w:unhideWhenUsed/>
    <w:qFormat/>
    <w:uiPriority w:val="0"/>
    <w:pPr>
      <w:spacing w:beforeLines="0" w:afterLines="0"/>
      <w:ind w:firstLine="420" w:firstLineChars="200"/>
    </w:pPr>
    <w:rPr>
      <w:rFonts w:hint="default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2026-02-28T01:55:00Z</dcterms:created>
  <dc:creator>zkyyyy</dc:creator>
  <cp:lastModifiedBy>zkyyyy</cp:lastModifiedBy>
  <dcterms:modified xsi:type="dcterms:W3CDTF">2026-02-28T01:55:59Z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A027FA9840D4433F92E89C13FAAFE26A_11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