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D8D1F6">
      <w:pPr>
        <w:keepNext w:val="0"/>
        <w:keepLines w:val="0"/>
        <w:pageBreakBefore w:val="0"/>
        <w:widowControl w:val="0"/>
        <w:kinsoku/>
        <w:wordWrap/>
        <w:overflowPunct/>
        <w:topLinePunct/>
        <w:autoSpaceDE/>
        <w:autoSpaceDN/>
        <w:bidi w:val="0"/>
        <w:adjustRightInd/>
        <w:snapToGrid/>
        <w:spacing w:line="560" w:lineRule="exact"/>
        <w:jc w:val="lef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附件1</w:t>
      </w:r>
    </w:p>
    <w:p w14:paraId="1E775D3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南阳市人民政府决定修改的</w:t>
      </w:r>
    </w:p>
    <w:p w14:paraId="05AA633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行政规范性文件</w:t>
      </w:r>
    </w:p>
    <w:p w14:paraId="583397F9">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left"/>
        <w:textAlignment w:val="auto"/>
        <w:rPr>
          <w:rFonts w:hint="default" w:ascii="方正小标宋简体" w:hAnsi="方正小标宋简体" w:eastAsia="方正小标宋简体" w:cs="方正小标宋简体"/>
          <w:sz w:val="44"/>
          <w:szCs w:val="44"/>
          <w:lang w:val="en-US" w:eastAsia="zh-CN"/>
        </w:rPr>
      </w:pPr>
    </w:p>
    <w:p w14:paraId="7A325E02">
      <w:pPr>
        <w:keepNext w:val="0"/>
        <w:keepLines w:val="0"/>
        <w:pageBreakBefore w:val="0"/>
        <w:widowControl w:val="0"/>
        <w:numPr>
          <w:ilvl w:val="0"/>
          <w:numId w:val="0"/>
        </w:numPr>
        <w:kinsoku/>
        <w:wordWrap/>
        <w:overflowPunct/>
        <w:autoSpaceDE/>
        <w:bidi w:val="0"/>
        <w:adjustRightInd/>
        <w:snapToGrid/>
        <w:spacing w:before="0" w:beforeLines="0" w:after="0" w:afterLines="0" w:line="560" w:lineRule="exact"/>
        <w:ind w:right="0" w:rightChars="0" w:firstLine="640" w:firstLineChars="200"/>
        <w:jc w:val="left"/>
        <w:textAlignment w:val="baseline"/>
        <w:outlineLvl w:val="9"/>
        <w:rPr>
          <w:rFonts w:hint="default"/>
          <w:lang w:val="en-US" w:eastAsia="zh-CN"/>
        </w:rPr>
      </w:pPr>
      <w:r>
        <w:rPr>
          <w:rFonts w:hint="eastAsia" w:ascii="黑体" w:hAnsi="黑体" w:eastAsia="黑体" w:cs="黑体"/>
          <w:b w:val="0"/>
          <w:bCs w:val="0"/>
          <w:color w:val="auto"/>
          <w:sz w:val="32"/>
          <w:szCs w:val="32"/>
          <w:lang w:val="en-US" w:eastAsia="zh-CN"/>
        </w:rPr>
        <w:t>一、《南阳市人民政府办公室关于印发加快南阳中医药强市建设若干支持措施的通知》（宛政办〔2024〕16号）</w:t>
      </w:r>
    </w:p>
    <w:p w14:paraId="1E816225">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w:t>
      </w:r>
      <w:r>
        <w:rPr>
          <w:rFonts w:hint="eastAsia" w:ascii="仿宋_GB2312" w:hAnsi="仿宋_GB2312" w:cs="仿宋_GB2312"/>
          <w:color w:val="000000"/>
          <w:kern w:val="0"/>
          <w:sz w:val="32"/>
          <w:szCs w:val="32"/>
          <w:lang w:val="en-US" w:eastAsia="zh-CN" w:bidi="ar"/>
        </w:rPr>
        <w:t>将</w:t>
      </w:r>
      <w:r>
        <w:rPr>
          <w:rFonts w:hint="eastAsia" w:ascii="仿宋_GB2312" w:hAnsi="仿宋_GB2312" w:eastAsia="仿宋_GB2312" w:cs="仿宋_GB2312"/>
          <w:color w:val="000000"/>
          <w:kern w:val="0"/>
          <w:sz w:val="32"/>
          <w:szCs w:val="32"/>
          <w:lang w:val="en-US" w:eastAsia="zh-CN" w:bidi="ar"/>
        </w:rPr>
        <w:t>文</w:t>
      </w:r>
      <w:r>
        <w:rPr>
          <w:rFonts w:hint="eastAsia" w:ascii="仿宋_GB2312" w:hAnsi="仿宋_GB2312" w:cs="仿宋_GB2312"/>
          <w:color w:val="000000"/>
          <w:kern w:val="0"/>
          <w:sz w:val="32"/>
          <w:szCs w:val="32"/>
          <w:lang w:val="en-US" w:eastAsia="zh-CN" w:bidi="ar"/>
        </w:rPr>
        <w:t>件</w:t>
      </w:r>
      <w:r>
        <w:rPr>
          <w:rFonts w:hint="eastAsia" w:ascii="仿宋_GB2312" w:hAnsi="仿宋_GB2312" w:eastAsia="仿宋_GB2312" w:cs="仿宋_GB2312"/>
          <w:color w:val="000000"/>
          <w:kern w:val="0"/>
          <w:sz w:val="32"/>
          <w:szCs w:val="32"/>
          <w:lang w:val="en-US" w:eastAsia="zh-CN" w:bidi="ar"/>
        </w:rPr>
        <w:t>责任单位</w:t>
      </w:r>
      <w:r>
        <w:rPr>
          <w:rFonts w:hint="eastAsia" w:ascii="仿宋_GB2312" w:hAnsi="仿宋_GB2312" w:cs="仿宋_GB2312"/>
          <w:color w:val="000000"/>
          <w:kern w:val="0"/>
          <w:sz w:val="32"/>
          <w:szCs w:val="32"/>
          <w:lang w:val="en-US" w:eastAsia="zh-CN" w:bidi="ar"/>
        </w:rPr>
        <w:t>中的</w:t>
      </w:r>
      <w:r>
        <w:rPr>
          <w:rFonts w:hint="eastAsia" w:ascii="仿宋_GB2312" w:hAnsi="仿宋_GB2312" w:eastAsia="仿宋_GB2312" w:cs="仿宋_GB2312"/>
          <w:color w:val="000000"/>
          <w:kern w:val="0"/>
          <w:sz w:val="32"/>
          <w:szCs w:val="32"/>
          <w:lang w:val="en-US" w:eastAsia="zh-CN" w:bidi="ar"/>
        </w:rPr>
        <w:t>“南阳产投集团”“南阳市投资集团”</w:t>
      </w:r>
      <w:r>
        <w:rPr>
          <w:rFonts w:hint="eastAsia" w:ascii="仿宋_GB2312" w:hAnsi="仿宋_GB2312" w:cs="仿宋_GB2312"/>
          <w:color w:val="000000"/>
          <w:kern w:val="0"/>
          <w:sz w:val="32"/>
          <w:szCs w:val="32"/>
          <w:lang w:val="en-US" w:eastAsia="zh-CN" w:bidi="ar"/>
        </w:rPr>
        <w:t>“市金融工作局”</w:t>
      </w:r>
      <w:r>
        <w:rPr>
          <w:rFonts w:hint="eastAsia" w:ascii="仿宋_GB2312" w:hAnsi="仿宋_GB2312" w:eastAsia="仿宋_GB2312" w:cs="仿宋_GB2312"/>
          <w:color w:val="000000"/>
          <w:kern w:val="0"/>
          <w:sz w:val="32"/>
          <w:szCs w:val="32"/>
          <w:lang w:val="en-US" w:eastAsia="zh-CN" w:bidi="ar"/>
        </w:rPr>
        <w:t>删除。</w:t>
      </w:r>
    </w:p>
    <w:p w14:paraId="7E815FF2">
      <w:pPr>
        <w:keepNext w:val="0"/>
        <w:keepLines w:val="0"/>
        <w:pageBreakBefore w:val="0"/>
        <w:numPr>
          <w:ilvl w:val="0"/>
          <w:numId w:val="0"/>
        </w:numPr>
        <w:kinsoku/>
        <w:wordWrap/>
        <w:overflowPunct/>
        <w:bidi w:val="0"/>
        <w:spacing w:line="560" w:lineRule="exact"/>
        <w:ind w:firstLine="640" w:firstLineChars="200"/>
        <w:jc w:val="left"/>
        <w:rPr>
          <w:rFonts w:hint="default"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2.</w:t>
      </w:r>
      <w:r>
        <w:rPr>
          <w:rFonts w:hint="eastAsia" w:ascii="仿宋_GB2312" w:hAnsi="仿宋_GB2312" w:cs="仿宋_GB2312"/>
          <w:color w:val="auto"/>
          <w:kern w:val="2"/>
          <w:sz w:val="32"/>
          <w:szCs w:val="32"/>
          <w:u w:val="none"/>
          <w:lang w:val="en-US" w:eastAsia="zh-CN" w:bidi="ar-SA"/>
        </w:rPr>
        <w:t>将</w:t>
      </w:r>
      <w:r>
        <w:rPr>
          <w:rFonts w:hint="eastAsia" w:ascii="仿宋_GB2312" w:hAnsi="仿宋_GB2312" w:eastAsia="仿宋_GB2312" w:cs="仿宋_GB2312"/>
          <w:color w:val="auto"/>
          <w:kern w:val="2"/>
          <w:sz w:val="32"/>
          <w:szCs w:val="32"/>
          <w:u w:val="none"/>
          <w:lang w:val="en-US" w:eastAsia="zh-CN" w:bidi="ar-SA"/>
        </w:rPr>
        <w:t>第二</w:t>
      </w:r>
      <w:r>
        <w:rPr>
          <w:rFonts w:hint="eastAsia" w:ascii="仿宋_GB2312" w:hAnsi="仿宋_GB2312" w:cs="仿宋_GB2312"/>
          <w:color w:val="auto"/>
          <w:kern w:val="2"/>
          <w:sz w:val="32"/>
          <w:szCs w:val="32"/>
          <w:u w:val="none"/>
          <w:lang w:val="en-US" w:eastAsia="zh-CN" w:bidi="ar-SA"/>
        </w:rPr>
        <w:t>条</w:t>
      </w:r>
      <w:r>
        <w:rPr>
          <w:rFonts w:hint="eastAsia" w:ascii="仿宋_GB2312" w:hAnsi="仿宋_GB2312" w:eastAsia="仿宋_GB2312" w:cs="仿宋_GB2312"/>
          <w:color w:val="auto"/>
          <w:kern w:val="2"/>
          <w:sz w:val="32"/>
          <w:szCs w:val="32"/>
          <w:u w:val="none"/>
          <w:lang w:val="en-US" w:eastAsia="zh-CN" w:bidi="ar-SA"/>
        </w:rPr>
        <w:t>第2</w:t>
      </w:r>
      <w:r>
        <w:rPr>
          <w:rFonts w:hint="eastAsia" w:ascii="仿宋_GB2312" w:hAnsi="仿宋_GB2312" w:cs="仿宋_GB2312"/>
          <w:color w:val="auto"/>
          <w:kern w:val="2"/>
          <w:sz w:val="32"/>
          <w:szCs w:val="32"/>
          <w:u w:val="none"/>
          <w:lang w:val="en-US" w:eastAsia="zh-CN" w:bidi="ar-SA"/>
        </w:rPr>
        <w:t>项</w:t>
      </w:r>
      <w:r>
        <w:rPr>
          <w:rFonts w:hint="eastAsia" w:ascii="仿宋_GB2312" w:hAnsi="仿宋_GB2312" w:eastAsia="仿宋_GB2312" w:cs="仿宋_GB2312"/>
          <w:color w:val="auto"/>
          <w:kern w:val="2"/>
          <w:sz w:val="32"/>
          <w:szCs w:val="32"/>
          <w:u w:val="none"/>
          <w:lang w:val="en-US" w:eastAsia="zh-CN" w:bidi="ar-SA"/>
        </w:rPr>
        <w:t>修改为“落实财政保障。建立持续稳定的中医药发展多元投入机制，统筹安排中医药事业发展经费，并加大公立中医医院基本建设、设备购置、重点学科发展、人才培养等财政投入支持力度。科学界定政府和市场投入责任，鼓励引导社会资本参与中医药事业和产业发展”。</w:t>
      </w:r>
    </w:p>
    <w:p w14:paraId="749FE991">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3.</w:t>
      </w:r>
      <w:r>
        <w:rPr>
          <w:rFonts w:hint="eastAsia" w:ascii="仿宋_GB2312" w:hAnsi="仿宋_GB2312" w:cs="仿宋_GB2312"/>
          <w:color w:val="auto"/>
          <w:kern w:val="2"/>
          <w:sz w:val="32"/>
          <w:szCs w:val="32"/>
          <w:u w:val="none"/>
          <w:lang w:val="en-US" w:eastAsia="zh-CN" w:bidi="ar-SA"/>
        </w:rPr>
        <w:t>将</w:t>
      </w:r>
      <w:r>
        <w:rPr>
          <w:rFonts w:hint="eastAsia" w:ascii="仿宋_GB2312" w:hAnsi="仿宋_GB2312" w:eastAsia="仿宋_GB2312" w:cs="仿宋_GB2312"/>
          <w:color w:val="auto"/>
          <w:kern w:val="2"/>
          <w:sz w:val="32"/>
          <w:szCs w:val="32"/>
          <w:u w:val="none"/>
          <w:lang w:val="en-US" w:eastAsia="zh-CN" w:bidi="ar-SA"/>
        </w:rPr>
        <w:t>第二</w:t>
      </w:r>
      <w:r>
        <w:rPr>
          <w:rFonts w:hint="eastAsia" w:ascii="仿宋_GB2312" w:hAnsi="仿宋_GB2312" w:cs="仿宋_GB2312"/>
          <w:color w:val="auto"/>
          <w:kern w:val="2"/>
          <w:sz w:val="32"/>
          <w:szCs w:val="32"/>
          <w:u w:val="none"/>
          <w:lang w:val="en-US" w:eastAsia="zh-CN" w:bidi="ar-SA"/>
        </w:rPr>
        <w:t>条</w:t>
      </w:r>
      <w:r>
        <w:rPr>
          <w:rFonts w:hint="eastAsia" w:ascii="仿宋_GB2312" w:hAnsi="仿宋_GB2312" w:eastAsia="仿宋_GB2312" w:cs="仿宋_GB2312"/>
          <w:color w:val="auto"/>
          <w:kern w:val="2"/>
          <w:sz w:val="32"/>
          <w:szCs w:val="32"/>
          <w:u w:val="none"/>
          <w:lang w:val="en-US" w:eastAsia="zh-CN" w:bidi="ar-SA"/>
        </w:rPr>
        <w:t>第3</w:t>
      </w:r>
      <w:r>
        <w:rPr>
          <w:rFonts w:hint="eastAsia" w:ascii="仿宋_GB2312" w:hAnsi="仿宋_GB2312" w:cs="仿宋_GB2312"/>
          <w:color w:val="auto"/>
          <w:kern w:val="2"/>
          <w:sz w:val="32"/>
          <w:szCs w:val="32"/>
          <w:u w:val="none"/>
          <w:lang w:val="en-US" w:eastAsia="zh-CN" w:bidi="ar-SA"/>
        </w:rPr>
        <w:t>项</w:t>
      </w:r>
      <w:r>
        <w:rPr>
          <w:rFonts w:hint="eastAsia" w:ascii="仿宋_GB2312" w:hAnsi="仿宋_GB2312" w:eastAsia="仿宋_GB2312" w:cs="仿宋_GB2312"/>
          <w:color w:val="auto"/>
          <w:kern w:val="2"/>
          <w:sz w:val="32"/>
          <w:szCs w:val="32"/>
          <w:u w:val="none"/>
          <w:lang w:val="en-US" w:eastAsia="zh-CN" w:bidi="ar-SA"/>
        </w:rPr>
        <w:t>修改为“创新中医药医保政策。扩大‘中医日间病房’覆盖范围和医保结算病种。将居民医保普通门诊统筹定点扩展至县级定点中医医疗机构，基层定点中医医疗机构不设起付标准。将符合规定的中医治未病等自费项目纳入个人账户支付范围。在DIP（区域点数法总额预算和按病种分值付费）改革中单独设立中医基金池，在总额预算方面适当予以倾斜；遴选中医优势病种，实施按疗效价值付费；合理确定中医优势病种分值并实行动态更新。对中医医疗康复等长期住院治疗且日均费用较稳定的疾病实行按床日收费。鼓励将经省级药品监督管理部门批准的医疗机构中药制剂按规定纳入医保支付范围。设立中医门诊辨证论治费，并纳入医保基金支付。将功能疗效明显、患者广泛接受、特色优势突出的中医医疗服务价格项目及时纳入价格动态调价范围；将疗效确切、具备临床安全性、技术先进性、经济合理性的中医类基本医疗服务项目争取新增为河南省医疗服务价格项目”。</w:t>
      </w:r>
    </w:p>
    <w:p w14:paraId="2A25BBB9">
      <w:pPr>
        <w:pStyle w:val="6"/>
        <w:keepNext w:val="0"/>
        <w:keepLines w:val="0"/>
        <w:pageBreakBefore w:val="0"/>
        <w:kinsoku/>
        <w:wordWrap/>
        <w:overflowPunct/>
        <w:bidi w:val="0"/>
        <w:spacing w:line="560" w:lineRule="exact"/>
        <w:jc w:val="left"/>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kern w:val="2"/>
          <w:sz w:val="32"/>
          <w:szCs w:val="32"/>
          <w:u w:val="none"/>
          <w:lang w:val="en-US" w:eastAsia="zh-CN" w:bidi="ar-SA"/>
        </w:rPr>
        <w:t>4.</w:t>
      </w:r>
      <w:r>
        <w:rPr>
          <w:rFonts w:hint="eastAsia" w:ascii="仿宋_GB2312" w:hAnsi="仿宋_GB2312" w:cs="仿宋_GB2312"/>
          <w:color w:val="auto"/>
          <w:kern w:val="2"/>
          <w:sz w:val="32"/>
          <w:szCs w:val="32"/>
          <w:u w:val="none"/>
          <w:lang w:val="en-US" w:eastAsia="zh-CN" w:bidi="ar-SA"/>
        </w:rPr>
        <w:t>将</w:t>
      </w:r>
      <w:r>
        <w:rPr>
          <w:rFonts w:hint="eastAsia" w:ascii="仿宋_GB2312" w:hAnsi="仿宋_GB2312" w:eastAsia="仿宋_GB2312" w:cs="仿宋_GB2312"/>
          <w:color w:val="auto"/>
          <w:sz w:val="32"/>
          <w:szCs w:val="32"/>
          <w:u w:val="none"/>
          <w:lang w:eastAsia="zh-CN"/>
        </w:rPr>
        <w:t>第二</w:t>
      </w:r>
      <w:r>
        <w:rPr>
          <w:rFonts w:hint="eastAsia" w:ascii="仿宋_GB2312" w:hAnsi="仿宋_GB2312" w:cs="仿宋_GB2312"/>
          <w:color w:val="auto"/>
          <w:sz w:val="32"/>
          <w:szCs w:val="32"/>
          <w:u w:val="none"/>
          <w:lang w:eastAsia="zh-CN"/>
        </w:rPr>
        <w:t>条</w:t>
      </w:r>
      <w:r>
        <w:rPr>
          <w:rFonts w:hint="eastAsia" w:ascii="仿宋_GB2312" w:hAnsi="仿宋_GB2312" w:eastAsia="仿宋_GB2312" w:cs="仿宋_GB2312"/>
          <w:color w:val="auto"/>
          <w:sz w:val="32"/>
          <w:szCs w:val="32"/>
          <w:u w:val="none"/>
          <w:lang w:val="en-US" w:eastAsia="zh-CN"/>
        </w:rPr>
        <w:t>第4</w:t>
      </w:r>
      <w:r>
        <w:rPr>
          <w:rFonts w:hint="eastAsia" w:ascii="仿宋_GB2312" w:hAnsi="仿宋_GB2312" w:cs="仿宋_GB2312"/>
          <w:color w:val="auto"/>
          <w:sz w:val="32"/>
          <w:szCs w:val="32"/>
          <w:u w:val="none"/>
          <w:lang w:val="en-US" w:eastAsia="zh-CN"/>
        </w:rPr>
        <w:t>项</w:t>
      </w:r>
      <w:r>
        <w:rPr>
          <w:rFonts w:hint="eastAsia" w:ascii="仿宋_GB2312" w:hAnsi="仿宋_GB2312" w:eastAsia="仿宋_GB2312" w:cs="仿宋_GB2312"/>
          <w:color w:val="auto"/>
          <w:sz w:val="32"/>
          <w:szCs w:val="32"/>
          <w:u w:val="none"/>
          <w:lang w:val="en-US" w:eastAsia="zh-CN"/>
        </w:rPr>
        <w:t>删除。</w:t>
      </w:r>
    </w:p>
    <w:p w14:paraId="25FCD705">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kern w:val="2"/>
          <w:sz w:val="32"/>
          <w:szCs w:val="32"/>
          <w:highlight w:val="none"/>
          <w:u w:val="none"/>
          <w:lang w:val="en-US" w:eastAsia="zh-CN" w:bidi="ar-SA"/>
        </w:rPr>
      </w:pPr>
      <w:r>
        <w:rPr>
          <w:rFonts w:hint="eastAsia" w:ascii="仿宋_GB2312" w:hAnsi="仿宋_GB2312" w:eastAsia="仿宋_GB2312" w:cs="仿宋_GB2312"/>
          <w:color w:val="auto"/>
          <w:kern w:val="2"/>
          <w:sz w:val="32"/>
          <w:szCs w:val="32"/>
          <w:highlight w:val="none"/>
          <w:u w:val="none"/>
          <w:lang w:val="en-US" w:eastAsia="zh-CN" w:bidi="ar-SA"/>
        </w:rPr>
        <w:t>5.</w:t>
      </w:r>
      <w:r>
        <w:rPr>
          <w:rFonts w:hint="eastAsia" w:ascii="仿宋_GB2312" w:hAnsi="仿宋_GB2312" w:cs="仿宋_GB2312"/>
          <w:color w:val="auto"/>
          <w:kern w:val="2"/>
          <w:sz w:val="32"/>
          <w:szCs w:val="32"/>
          <w:highlight w:val="none"/>
          <w:u w:val="none"/>
          <w:lang w:val="en-US" w:eastAsia="zh-CN" w:bidi="ar-SA"/>
        </w:rPr>
        <w:t>将</w:t>
      </w:r>
      <w:r>
        <w:rPr>
          <w:rFonts w:hint="eastAsia" w:ascii="仿宋_GB2312" w:hAnsi="仿宋_GB2312" w:eastAsia="仿宋_GB2312" w:cs="仿宋_GB2312"/>
          <w:color w:val="auto"/>
          <w:kern w:val="2"/>
          <w:sz w:val="32"/>
          <w:szCs w:val="32"/>
          <w:highlight w:val="none"/>
          <w:u w:val="none"/>
          <w:lang w:val="en-US" w:eastAsia="zh-CN" w:bidi="ar-SA"/>
        </w:rPr>
        <w:t>第二</w:t>
      </w:r>
      <w:r>
        <w:rPr>
          <w:rFonts w:hint="eastAsia" w:ascii="仿宋_GB2312" w:hAnsi="仿宋_GB2312" w:cs="仿宋_GB2312"/>
          <w:color w:val="auto"/>
          <w:kern w:val="2"/>
          <w:sz w:val="32"/>
          <w:szCs w:val="32"/>
          <w:highlight w:val="none"/>
          <w:u w:val="none"/>
          <w:lang w:val="en-US" w:eastAsia="zh-CN" w:bidi="ar-SA"/>
        </w:rPr>
        <w:t>条</w:t>
      </w:r>
      <w:r>
        <w:rPr>
          <w:rFonts w:hint="eastAsia" w:ascii="仿宋_GB2312" w:hAnsi="仿宋_GB2312" w:eastAsia="仿宋_GB2312" w:cs="仿宋_GB2312"/>
          <w:color w:val="auto"/>
          <w:kern w:val="2"/>
          <w:sz w:val="32"/>
          <w:szCs w:val="32"/>
          <w:highlight w:val="none"/>
          <w:u w:val="none"/>
          <w:lang w:val="en-US" w:eastAsia="zh-CN" w:bidi="ar-SA"/>
        </w:rPr>
        <w:t>第5</w:t>
      </w:r>
      <w:r>
        <w:rPr>
          <w:rFonts w:hint="eastAsia" w:ascii="仿宋_GB2312" w:hAnsi="仿宋_GB2312" w:cs="仿宋_GB2312"/>
          <w:color w:val="auto"/>
          <w:kern w:val="2"/>
          <w:sz w:val="32"/>
          <w:szCs w:val="32"/>
          <w:highlight w:val="none"/>
          <w:u w:val="none"/>
          <w:lang w:val="en-US" w:eastAsia="zh-CN" w:bidi="ar-SA"/>
        </w:rPr>
        <w:t>项“加强金融、税收支持”标题修改为“加强金融支持”，内容中</w:t>
      </w:r>
      <w:r>
        <w:rPr>
          <w:rFonts w:hint="eastAsia" w:ascii="仿宋_GB2312" w:hAnsi="仿宋_GB2312" w:eastAsia="仿宋_GB2312" w:cs="仿宋_GB2312"/>
          <w:color w:val="auto"/>
          <w:kern w:val="2"/>
          <w:sz w:val="32"/>
          <w:szCs w:val="32"/>
          <w:highlight w:val="none"/>
          <w:u w:val="none"/>
          <w:lang w:val="en-US" w:eastAsia="zh-CN" w:bidi="ar-SA"/>
        </w:rPr>
        <w:t>涉及税收支持的优惠政策和表达删除。</w:t>
      </w:r>
    </w:p>
    <w:p w14:paraId="7F60DD1C">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sz w:val="32"/>
          <w:szCs w:val="32"/>
          <w:highlight w:val="none"/>
          <w:u w:val="none"/>
          <w:lang w:val="en-US" w:eastAsia="zh-CN"/>
        </w:rPr>
        <w:t>6.</w:t>
      </w:r>
      <w:r>
        <w:rPr>
          <w:rFonts w:hint="eastAsia" w:ascii="仿宋_GB2312" w:hAnsi="仿宋_GB2312" w:cs="仿宋_GB2312"/>
          <w:color w:val="auto"/>
          <w:sz w:val="32"/>
          <w:szCs w:val="32"/>
          <w:highlight w:val="none"/>
          <w:u w:val="none"/>
          <w:lang w:val="en-US" w:eastAsia="zh-CN"/>
        </w:rPr>
        <w:t>将</w:t>
      </w:r>
      <w:r>
        <w:rPr>
          <w:rFonts w:hint="eastAsia" w:ascii="仿宋_GB2312" w:hAnsi="仿宋_GB2312" w:eastAsia="仿宋_GB2312" w:cs="仿宋_GB2312"/>
          <w:color w:val="auto"/>
          <w:sz w:val="32"/>
          <w:szCs w:val="32"/>
          <w:highlight w:val="none"/>
          <w:u w:val="none"/>
          <w:lang w:eastAsia="zh-CN"/>
        </w:rPr>
        <w:t>第二</w:t>
      </w:r>
      <w:r>
        <w:rPr>
          <w:rFonts w:hint="eastAsia" w:ascii="仿宋_GB2312" w:hAnsi="仿宋_GB2312" w:cs="仿宋_GB2312"/>
          <w:color w:val="auto"/>
          <w:sz w:val="32"/>
          <w:szCs w:val="32"/>
          <w:highlight w:val="none"/>
          <w:u w:val="none"/>
          <w:lang w:eastAsia="zh-CN"/>
        </w:rPr>
        <w:t>条</w:t>
      </w:r>
      <w:r>
        <w:rPr>
          <w:rFonts w:hint="eastAsia" w:ascii="仿宋_GB2312" w:hAnsi="仿宋_GB2312" w:eastAsia="仿宋_GB2312" w:cs="仿宋_GB2312"/>
          <w:color w:val="auto"/>
          <w:sz w:val="32"/>
          <w:szCs w:val="32"/>
          <w:highlight w:val="none"/>
          <w:u w:val="none"/>
          <w:lang w:val="en-US" w:eastAsia="zh-CN"/>
        </w:rPr>
        <w:t>第6</w:t>
      </w:r>
      <w:r>
        <w:rPr>
          <w:rFonts w:hint="eastAsia" w:ascii="仿宋_GB2312" w:hAnsi="仿宋_GB2312" w:cs="仿宋_GB2312"/>
          <w:color w:val="auto"/>
          <w:sz w:val="32"/>
          <w:szCs w:val="32"/>
          <w:highlight w:val="none"/>
          <w:u w:val="none"/>
          <w:lang w:val="en-US" w:eastAsia="zh-CN"/>
        </w:rPr>
        <w:t>项</w:t>
      </w:r>
      <w:r>
        <w:rPr>
          <w:rFonts w:hint="eastAsia" w:ascii="仿宋_GB2312" w:hAnsi="仿宋_GB2312" w:eastAsia="仿宋_GB2312" w:cs="仿宋_GB2312"/>
          <w:color w:val="auto"/>
          <w:sz w:val="32"/>
          <w:szCs w:val="32"/>
          <w:highlight w:val="none"/>
          <w:u w:val="none"/>
          <w:lang w:val="en-US" w:eastAsia="zh-CN"/>
        </w:rPr>
        <w:t>“强化用地保障”修改为“强化项目建</w:t>
      </w:r>
      <w:r>
        <w:rPr>
          <w:rFonts w:hint="eastAsia" w:ascii="仿宋_GB2312" w:hAnsi="仿宋_GB2312" w:eastAsia="仿宋_GB2312" w:cs="仿宋_GB2312"/>
          <w:color w:val="auto"/>
          <w:sz w:val="32"/>
          <w:szCs w:val="32"/>
          <w:u w:val="none"/>
          <w:lang w:val="en-US" w:eastAsia="zh-CN"/>
        </w:rPr>
        <w:t>设保障”</w:t>
      </w:r>
      <w:r>
        <w:rPr>
          <w:rFonts w:hint="eastAsia" w:ascii="仿宋_GB2312" w:hAnsi="仿宋_GB2312" w:eastAsia="仿宋_GB2312" w:cs="仿宋_GB2312"/>
          <w:color w:val="auto"/>
          <w:kern w:val="2"/>
          <w:sz w:val="32"/>
          <w:szCs w:val="32"/>
          <w:u w:val="none"/>
          <w:lang w:val="en-US" w:eastAsia="zh-CN" w:bidi="ar-SA"/>
        </w:rPr>
        <w:t>。</w:t>
      </w:r>
    </w:p>
    <w:p w14:paraId="2FBA07A6">
      <w:pPr>
        <w:keepNext w:val="0"/>
        <w:keepLines w:val="0"/>
        <w:pageBreakBefore w:val="0"/>
        <w:numPr>
          <w:ilvl w:val="0"/>
          <w:numId w:val="0"/>
        </w:numPr>
        <w:kinsoku/>
        <w:wordWrap/>
        <w:overflowPunct/>
        <w:bidi w:val="0"/>
        <w:spacing w:line="560" w:lineRule="exact"/>
        <w:ind w:firstLine="640" w:firstLineChars="200"/>
        <w:jc w:val="both"/>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7.</w:t>
      </w:r>
      <w:r>
        <w:rPr>
          <w:rFonts w:hint="eastAsia" w:ascii="仿宋_GB2312" w:hAnsi="仿宋_GB2312" w:cs="仿宋_GB2312"/>
          <w:color w:val="auto"/>
          <w:kern w:val="2"/>
          <w:sz w:val="32"/>
          <w:szCs w:val="32"/>
          <w:u w:val="none"/>
          <w:lang w:val="en-US" w:eastAsia="zh-CN" w:bidi="ar-SA"/>
        </w:rPr>
        <w:t>将</w:t>
      </w:r>
      <w:r>
        <w:rPr>
          <w:rFonts w:hint="eastAsia" w:ascii="仿宋_GB2312" w:hAnsi="仿宋_GB2312" w:eastAsia="仿宋_GB2312" w:cs="仿宋_GB2312"/>
          <w:color w:val="auto"/>
          <w:kern w:val="2"/>
          <w:sz w:val="32"/>
          <w:szCs w:val="32"/>
          <w:u w:val="none"/>
          <w:lang w:val="en-US" w:eastAsia="zh-CN" w:bidi="ar-SA"/>
        </w:rPr>
        <w:t>第二</w:t>
      </w:r>
      <w:r>
        <w:rPr>
          <w:rFonts w:hint="eastAsia" w:ascii="仿宋_GB2312" w:hAnsi="仿宋_GB2312" w:cs="仿宋_GB2312"/>
          <w:color w:val="auto"/>
          <w:kern w:val="2"/>
          <w:sz w:val="32"/>
          <w:szCs w:val="32"/>
          <w:u w:val="none"/>
          <w:lang w:val="en-US" w:eastAsia="zh-CN" w:bidi="ar-SA"/>
        </w:rPr>
        <w:t>条</w:t>
      </w:r>
      <w:r>
        <w:rPr>
          <w:rFonts w:hint="eastAsia" w:ascii="仿宋_GB2312" w:hAnsi="仿宋_GB2312" w:eastAsia="仿宋_GB2312" w:cs="仿宋_GB2312"/>
          <w:color w:val="auto"/>
          <w:kern w:val="2"/>
          <w:sz w:val="32"/>
          <w:szCs w:val="32"/>
          <w:u w:val="none"/>
          <w:lang w:val="en-US" w:eastAsia="zh-CN" w:bidi="ar-SA"/>
        </w:rPr>
        <w:t>第10</w:t>
      </w:r>
      <w:r>
        <w:rPr>
          <w:rFonts w:hint="eastAsia" w:ascii="仿宋_GB2312" w:hAnsi="仿宋_GB2312" w:cs="仿宋_GB2312"/>
          <w:color w:val="auto"/>
          <w:kern w:val="2"/>
          <w:sz w:val="32"/>
          <w:szCs w:val="32"/>
          <w:u w:val="none"/>
          <w:lang w:val="en-US" w:eastAsia="zh-CN" w:bidi="ar-SA"/>
        </w:rPr>
        <w:t>项</w:t>
      </w:r>
      <w:r>
        <w:rPr>
          <w:rFonts w:hint="eastAsia" w:ascii="仿宋_GB2312" w:hAnsi="仿宋_GB2312" w:eastAsia="仿宋_GB2312" w:cs="仿宋_GB2312"/>
          <w:color w:val="auto"/>
          <w:kern w:val="2"/>
          <w:sz w:val="32"/>
          <w:szCs w:val="32"/>
          <w:u w:val="none"/>
          <w:lang w:val="en-US" w:eastAsia="zh-CN" w:bidi="ar-SA"/>
        </w:rPr>
        <w:t>修改为“支持市县级中医院服务能力提升。支持市级中医院建成10个中医重点专科，县级中医院建成100个中医重点专科，提升县域中医药适宜技术推广中心能力”。</w:t>
      </w:r>
    </w:p>
    <w:p w14:paraId="382B8CB3">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kern w:val="2"/>
          <w:sz w:val="32"/>
          <w:szCs w:val="32"/>
          <w:u w:val="none"/>
          <w:lang w:val="en-US" w:eastAsia="zh-CN" w:bidi="ar-SA"/>
        </w:rPr>
        <w:t>8.</w:t>
      </w:r>
      <w:r>
        <w:rPr>
          <w:rFonts w:hint="eastAsia" w:ascii="仿宋_GB2312" w:hAnsi="仿宋_GB2312" w:cs="仿宋_GB2312"/>
          <w:color w:val="auto"/>
          <w:kern w:val="2"/>
          <w:sz w:val="32"/>
          <w:szCs w:val="32"/>
          <w:u w:val="none"/>
          <w:lang w:val="en-US" w:eastAsia="zh-CN" w:bidi="ar-SA"/>
        </w:rPr>
        <w:t>将</w:t>
      </w:r>
      <w:r>
        <w:rPr>
          <w:rFonts w:hint="eastAsia" w:ascii="仿宋_GB2312" w:hAnsi="仿宋_GB2312" w:eastAsia="仿宋_GB2312" w:cs="仿宋_GB2312"/>
          <w:color w:val="auto"/>
          <w:kern w:val="2"/>
          <w:sz w:val="32"/>
          <w:szCs w:val="32"/>
          <w:u w:val="none"/>
          <w:lang w:val="en-US" w:eastAsia="zh-CN" w:bidi="ar-SA"/>
        </w:rPr>
        <w:t>第二</w:t>
      </w:r>
      <w:r>
        <w:rPr>
          <w:rFonts w:hint="eastAsia" w:ascii="仿宋_GB2312" w:hAnsi="仿宋_GB2312" w:cs="仿宋_GB2312"/>
          <w:color w:val="auto"/>
          <w:kern w:val="2"/>
          <w:sz w:val="32"/>
          <w:szCs w:val="32"/>
          <w:u w:val="none"/>
          <w:lang w:val="en-US" w:eastAsia="zh-CN" w:bidi="ar-SA"/>
        </w:rPr>
        <w:t>条</w:t>
      </w:r>
      <w:r>
        <w:rPr>
          <w:rFonts w:hint="eastAsia" w:ascii="仿宋_GB2312" w:hAnsi="仿宋_GB2312" w:eastAsia="仿宋_GB2312" w:cs="仿宋_GB2312"/>
          <w:color w:val="auto"/>
          <w:kern w:val="2"/>
          <w:sz w:val="32"/>
          <w:szCs w:val="32"/>
          <w:u w:val="none"/>
          <w:lang w:val="en-US" w:eastAsia="zh-CN" w:bidi="ar-SA"/>
        </w:rPr>
        <w:t>第11</w:t>
      </w:r>
      <w:r>
        <w:rPr>
          <w:rFonts w:hint="eastAsia" w:ascii="仿宋_GB2312" w:hAnsi="仿宋_GB2312" w:cs="仿宋_GB2312"/>
          <w:color w:val="auto"/>
          <w:kern w:val="2"/>
          <w:sz w:val="32"/>
          <w:szCs w:val="32"/>
          <w:u w:val="none"/>
          <w:lang w:val="en-US" w:eastAsia="zh-CN" w:bidi="ar-SA"/>
        </w:rPr>
        <w:t>项中的“5年内建成80个市级旗舰中医馆，600个市级中医阁，每建成1个，由所在县（市、区）财政分别奖励5万元和1万元”修改为</w:t>
      </w:r>
      <w:r>
        <w:rPr>
          <w:rFonts w:hint="eastAsia" w:ascii="仿宋_GB2312" w:hAnsi="仿宋_GB2312" w:eastAsia="仿宋_GB2312" w:cs="仿宋_GB2312"/>
          <w:color w:val="auto"/>
          <w:kern w:val="2"/>
          <w:sz w:val="32"/>
          <w:szCs w:val="32"/>
          <w:u w:val="none"/>
          <w:lang w:val="en-US" w:eastAsia="zh-CN" w:bidi="ar-SA"/>
        </w:rPr>
        <w:t>“</w:t>
      </w:r>
      <w:r>
        <w:rPr>
          <w:rFonts w:hint="eastAsia" w:ascii="仿宋_GB2312" w:hAnsi="仿宋_GB2312" w:eastAsia="仿宋_GB2312" w:cs="仿宋_GB2312"/>
          <w:color w:val="auto"/>
          <w:sz w:val="32"/>
          <w:szCs w:val="32"/>
          <w:highlight w:val="none"/>
          <w:u w:val="none"/>
          <w:lang w:val="en-US" w:eastAsia="zh-CN"/>
        </w:rPr>
        <w:t>5年内推动全市50%以上中医馆完成服务能力提升，20%以上的村卫生室建成中医阁”。</w:t>
      </w:r>
    </w:p>
    <w:p w14:paraId="158CB177">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9.</w:t>
      </w:r>
      <w:r>
        <w:rPr>
          <w:rFonts w:hint="eastAsia" w:ascii="仿宋_GB2312" w:hAnsi="仿宋_GB2312" w:eastAsia="仿宋_GB2312" w:cs="仿宋_GB2312"/>
          <w:color w:val="auto"/>
          <w:kern w:val="2"/>
          <w:sz w:val="32"/>
          <w:szCs w:val="32"/>
          <w:highlight w:val="none"/>
          <w:u w:val="none"/>
          <w:lang w:val="en-US" w:eastAsia="zh-CN" w:bidi="ar-SA"/>
        </w:rPr>
        <w:t>第二</w:t>
      </w:r>
      <w:r>
        <w:rPr>
          <w:rFonts w:hint="eastAsia" w:ascii="仿宋_GB2312" w:hAnsi="仿宋_GB2312" w:cs="仿宋_GB2312"/>
          <w:color w:val="auto"/>
          <w:kern w:val="2"/>
          <w:sz w:val="32"/>
          <w:szCs w:val="32"/>
          <w:highlight w:val="none"/>
          <w:u w:val="none"/>
          <w:lang w:val="en-US" w:eastAsia="zh-CN" w:bidi="ar-SA"/>
        </w:rPr>
        <w:t>条</w:t>
      </w:r>
      <w:r>
        <w:rPr>
          <w:rFonts w:hint="eastAsia" w:ascii="仿宋_GB2312" w:hAnsi="仿宋_GB2312" w:eastAsia="仿宋_GB2312" w:cs="仿宋_GB2312"/>
          <w:color w:val="auto"/>
          <w:kern w:val="2"/>
          <w:sz w:val="32"/>
          <w:szCs w:val="32"/>
          <w:highlight w:val="none"/>
          <w:u w:val="none"/>
          <w:lang w:val="en-US" w:eastAsia="zh-CN" w:bidi="ar-SA"/>
        </w:rPr>
        <w:t>第1</w:t>
      </w:r>
      <w:r>
        <w:rPr>
          <w:rFonts w:hint="eastAsia" w:ascii="仿宋_GB2312" w:hAnsi="仿宋_GB2312" w:cs="仿宋_GB2312"/>
          <w:color w:val="auto"/>
          <w:kern w:val="2"/>
          <w:sz w:val="32"/>
          <w:szCs w:val="32"/>
          <w:highlight w:val="none"/>
          <w:u w:val="none"/>
          <w:lang w:val="en-US" w:eastAsia="zh-CN" w:bidi="ar-SA"/>
        </w:rPr>
        <w:t>3项修改为“</w:t>
      </w:r>
      <w:r>
        <w:rPr>
          <w:rFonts w:hint="eastAsia" w:ascii="仿宋_GB2312" w:hAnsi="仿宋_GB2312" w:eastAsia="仿宋_GB2312" w:cs="仿宋_GB2312"/>
          <w:color w:val="auto"/>
          <w:sz w:val="32"/>
          <w:szCs w:val="32"/>
          <w:highlight w:val="none"/>
          <w:u w:val="none"/>
          <w:lang w:val="en-US" w:eastAsia="zh-CN"/>
        </w:rPr>
        <w:t>加大中医药高层次人才引进和培养力度。扩大中医药事业单位引才用才自主权，常态化畅通中医药事业单位高层次人才引进绿色通道，引进高级</w:t>
      </w:r>
      <w:r>
        <w:rPr>
          <w:rFonts w:hint="eastAsia" w:ascii="仿宋_GB2312" w:hAnsi="仿宋_GB2312" w:eastAsia="仿宋_GB2312" w:cs="仿宋_GB2312"/>
          <w:color w:val="000000"/>
          <w:sz w:val="32"/>
          <w:szCs w:val="32"/>
          <w:highlight w:val="none"/>
          <w:u w:val="none"/>
          <w:lang w:val="en-US" w:eastAsia="zh-CN"/>
        </w:rPr>
        <w:t>职称、博士学历、急需紧缺专业硕士研究生和其他特殊人才的，简化程序。加大中医药专业技术人才培养选拔力度，在市级人才选拔（市科技功臣、市拔尖人才）中设立中医药专项，必要时适当放宽申报条件；鼓励中医药领域专业技术人才积极参加国家级、省级人才评选。支持公立医疗机构建设国家级、省级、市级名中医工作室，并给予补贴</w:t>
      </w:r>
      <w:r>
        <w:rPr>
          <w:rFonts w:hint="eastAsia" w:ascii="仿宋_GB2312" w:hAnsi="仿宋_GB2312" w:cs="仿宋_GB2312"/>
          <w:color w:val="auto"/>
          <w:kern w:val="2"/>
          <w:sz w:val="32"/>
          <w:szCs w:val="32"/>
          <w:highlight w:val="none"/>
          <w:u w:val="none"/>
          <w:lang w:val="en-US" w:eastAsia="zh-CN" w:bidi="ar-SA"/>
        </w:rPr>
        <w:t>”</w:t>
      </w:r>
      <w:r>
        <w:rPr>
          <w:rFonts w:hint="eastAsia" w:ascii="仿宋_GB2312" w:hAnsi="仿宋_GB2312" w:eastAsia="仿宋_GB2312" w:cs="仿宋_GB2312"/>
          <w:color w:val="auto"/>
          <w:sz w:val="32"/>
          <w:szCs w:val="32"/>
          <w:highlight w:val="none"/>
          <w:u w:val="none"/>
          <w:lang w:val="en-US" w:eastAsia="zh-CN"/>
        </w:rPr>
        <w:t>。</w:t>
      </w:r>
    </w:p>
    <w:p w14:paraId="48F202B6">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10.</w:t>
      </w:r>
      <w:r>
        <w:rPr>
          <w:rFonts w:hint="eastAsia" w:ascii="仿宋_GB2312" w:hAnsi="仿宋_GB2312" w:cs="仿宋_GB2312"/>
          <w:color w:val="auto"/>
          <w:sz w:val="32"/>
          <w:szCs w:val="32"/>
          <w:highlight w:val="none"/>
          <w:u w:val="none"/>
          <w:lang w:val="en-US" w:eastAsia="zh-CN"/>
        </w:rPr>
        <w:t>将</w:t>
      </w:r>
      <w:r>
        <w:rPr>
          <w:rFonts w:hint="eastAsia" w:ascii="仿宋_GB2312" w:hAnsi="仿宋_GB2312" w:eastAsia="仿宋_GB2312" w:cs="仿宋_GB2312"/>
          <w:color w:val="auto"/>
          <w:sz w:val="32"/>
          <w:szCs w:val="32"/>
          <w:highlight w:val="none"/>
          <w:u w:val="none"/>
          <w:lang w:val="en-US" w:eastAsia="zh-CN"/>
        </w:rPr>
        <w:t>第二</w:t>
      </w:r>
      <w:r>
        <w:rPr>
          <w:rFonts w:hint="eastAsia" w:ascii="仿宋_GB2312" w:hAnsi="仿宋_GB2312" w:cs="仿宋_GB2312"/>
          <w:color w:val="auto"/>
          <w:kern w:val="2"/>
          <w:sz w:val="32"/>
          <w:szCs w:val="32"/>
          <w:u w:val="none"/>
          <w:lang w:val="en-US" w:eastAsia="zh-CN" w:bidi="ar-SA"/>
        </w:rPr>
        <w:t>条</w:t>
      </w:r>
      <w:r>
        <w:rPr>
          <w:rFonts w:hint="eastAsia" w:ascii="仿宋_GB2312" w:hAnsi="仿宋_GB2312" w:eastAsia="仿宋_GB2312" w:cs="仿宋_GB2312"/>
          <w:color w:val="auto"/>
          <w:sz w:val="32"/>
          <w:szCs w:val="32"/>
          <w:highlight w:val="none"/>
          <w:u w:val="none"/>
          <w:lang w:val="en-US" w:eastAsia="zh-CN"/>
        </w:rPr>
        <w:t>第</w:t>
      </w:r>
      <w:r>
        <w:rPr>
          <w:rFonts w:hint="eastAsia" w:ascii="仿宋_GB2312" w:hAnsi="仿宋_GB2312" w:eastAsia="仿宋_GB2312" w:cs="仿宋_GB2312"/>
          <w:color w:val="auto"/>
          <w:kern w:val="2"/>
          <w:sz w:val="32"/>
          <w:szCs w:val="32"/>
          <w:u w:val="none"/>
          <w:lang w:val="en-US" w:eastAsia="zh-CN" w:bidi="ar-SA"/>
        </w:rPr>
        <w:t>18</w:t>
      </w:r>
      <w:r>
        <w:rPr>
          <w:rFonts w:hint="eastAsia" w:ascii="仿宋_GB2312" w:hAnsi="仿宋_GB2312" w:cs="仿宋_GB2312"/>
          <w:color w:val="auto"/>
          <w:kern w:val="2"/>
          <w:sz w:val="32"/>
          <w:szCs w:val="32"/>
          <w:u w:val="none"/>
          <w:lang w:val="en-US" w:eastAsia="zh-CN" w:bidi="ar-SA"/>
        </w:rPr>
        <w:t>项</w:t>
      </w:r>
      <w:r>
        <w:rPr>
          <w:rFonts w:hint="eastAsia" w:ascii="仿宋_GB2312" w:hAnsi="仿宋_GB2312" w:eastAsia="仿宋_GB2312" w:cs="仿宋_GB2312"/>
          <w:color w:val="auto"/>
          <w:sz w:val="32"/>
          <w:szCs w:val="32"/>
          <w:highlight w:val="none"/>
          <w:u w:val="none"/>
          <w:lang w:val="en-US" w:eastAsia="zh-CN"/>
        </w:rPr>
        <w:t>修改为“支持道地宛药资源保护利用。支持政研企联合建设道地中药材种质资源库、道地宛药组培中心，加强优质种苗选育。鼓励开展规范化中药材种植基地建设，建成一批中药材种植业‘三品一标’基地、‘定制药园’”。</w:t>
      </w:r>
    </w:p>
    <w:p w14:paraId="5D97AA17">
      <w:pPr>
        <w:keepNext w:val="0"/>
        <w:keepLines w:val="0"/>
        <w:pageBreakBefore w:val="0"/>
        <w:numPr>
          <w:ilvl w:val="0"/>
          <w:numId w:val="0"/>
        </w:numPr>
        <w:kinsoku/>
        <w:wordWrap/>
        <w:overflowPunct/>
        <w:bidi w:val="0"/>
        <w:spacing w:line="560" w:lineRule="exact"/>
        <w:ind w:firstLine="640" w:firstLineChars="200"/>
        <w:jc w:val="left"/>
        <w:rPr>
          <w:rFonts w:hint="eastAsia"/>
          <w:lang w:val="en-US" w:eastAsia="zh-CN"/>
        </w:rPr>
      </w:pPr>
      <w:r>
        <w:rPr>
          <w:rFonts w:hint="eastAsia" w:ascii="仿宋_GB2312" w:hAnsi="仿宋_GB2312" w:eastAsia="仿宋_GB2312" w:cs="仿宋_GB2312"/>
          <w:color w:val="000000"/>
          <w:sz w:val="32"/>
          <w:szCs w:val="32"/>
          <w:highlight w:val="none"/>
          <w:u w:val="none"/>
          <w:lang w:val="en-US" w:eastAsia="zh-CN"/>
        </w:rPr>
        <w:t>11.</w:t>
      </w:r>
      <w:r>
        <w:rPr>
          <w:rFonts w:hint="eastAsia" w:ascii="仿宋_GB2312" w:hAnsi="仿宋_GB2312" w:cs="仿宋_GB2312"/>
          <w:color w:val="000000"/>
          <w:sz w:val="32"/>
          <w:szCs w:val="32"/>
          <w:highlight w:val="none"/>
          <w:u w:val="none"/>
          <w:lang w:val="en-US" w:eastAsia="zh-CN"/>
        </w:rPr>
        <w:t>将</w:t>
      </w:r>
      <w:r>
        <w:rPr>
          <w:rFonts w:hint="eastAsia" w:ascii="仿宋_GB2312" w:hAnsi="仿宋_GB2312" w:eastAsia="仿宋_GB2312" w:cs="仿宋_GB2312"/>
          <w:color w:val="auto"/>
          <w:kern w:val="2"/>
          <w:sz w:val="32"/>
          <w:szCs w:val="32"/>
          <w:u w:val="none"/>
          <w:lang w:val="en-US" w:eastAsia="zh-CN" w:bidi="ar-SA"/>
        </w:rPr>
        <w:t>第二</w:t>
      </w:r>
      <w:r>
        <w:rPr>
          <w:rFonts w:hint="eastAsia" w:ascii="仿宋_GB2312" w:hAnsi="仿宋_GB2312" w:cs="仿宋_GB2312"/>
          <w:color w:val="auto"/>
          <w:kern w:val="2"/>
          <w:sz w:val="32"/>
          <w:szCs w:val="32"/>
          <w:u w:val="none"/>
          <w:lang w:val="en-US" w:eastAsia="zh-CN" w:bidi="ar-SA"/>
        </w:rPr>
        <w:t>条</w:t>
      </w:r>
      <w:r>
        <w:rPr>
          <w:rFonts w:hint="eastAsia" w:ascii="仿宋_GB2312" w:hAnsi="仿宋_GB2312" w:eastAsia="仿宋_GB2312" w:cs="仿宋_GB2312"/>
          <w:color w:val="auto"/>
          <w:kern w:val="2"/>
          <w:sz w:val="32"/>
          <w:szCs w:val="32"/>
          <w:u w:val="none"/>
          <w:lang w:val="en-US" w:eastAsia="zh-CN" w:bidi="ar-SA"/>
        </w:rPr>
        <w:t>第20</w:t>
      </w:r>
      <w:r>
        <w:rPr>
          <w:rFonts w:hint="eastAsia" w:ascii="仿宋_GB2312" w:hAnsi="仿宋_GB2312" w:cs="仿宋_GB2312"/>
          <w:color w:val="auto"/>
          <w:kern w:val="2"/>
          <w:sz w:val="32"/>
          <w:szCs w:val="32"/>
          <w:u w:val="none"/>
          <w:lang w:val="en-US" w:eastAsia="zh-CN" w:bidi="ar-SA"/>
        </w:rPr>
        <w:t>项</w:t>
      </w:r>
      <w:r>
        <w:rPr>
          <w:rFonts w:hint="eastAsia" w:ascii="仿宋_GB2312" w:hAnsi="仿宋_GB2312" w:eastAsia="仿宋_GB2312" w:cs="仿宋_GB2312"/>
          <w:color w:val="auto"/>
          <w:kern w:val="2"/>
          <w:sz w:val="32"/>
          <w:szCs w:val="32"/>
          <w:u w:val="none"/>
          <w:lang w:val="en-US" w:eastAsia="zh-CN" w:bidi="ar-SA"/>
        </w:rPr>
        <w:t>修改为“</w:t>
      </w:r>
      <w:r>
        <w:rPr>
          <w:rFonts w:hint="eastAsia" w:ascii="仿宋_GB2312" w:hAnsi="仿宋_GB2312" w:eastAsia="仿宋_GB2312" w:cs="仿宋_GB2312"/>
          <w:color w:val="000000"/>
          <w:sz w:val="32"/>
          <w:szCs w:val="32"/>
          <w:highlight w:val="none"/>
          <w:u w:val="none"/>
          <w:lang w:val="en-US" w:eastAsia="zh-CN"/>
        </w:rPr>
        <w:t>支持中药饮片企业转型升级。在中药检验检测、质量管理培训等方面为企业提供‘一站式’服务。支持有能力的中药饮片生产企业转型升级、提质增效”。</w:t>
      </w:r>
    </w:p>
    <w:p w14:paraId="3CF59ED0">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12.</w:t>
      </w:r>
      <w:r>
        <w:rPr>
          <w:rFonts w:hint="eastAsia" w:ascii="仿宋_GB2312" w:hAnsi="仿宋_GB2312" w:cs="仿宋_GB2312"/>
          <w:color w:val="auto"/>
          <w:sz w:val="32"/>
          <w:szCs w:val="32"/>
          <w:highlight w:val="none"/>
          <w:u w:val="none"/>
          <w:lang w:val="en-US" w:eastAsia="zh-CN"/>
        </w:rPr>
        <w:t>将</w:t>
      </w:r>
      <w:r>
        <w:rPr>
          <w:rFonts w:hint="eastAsia" w:ascii="仿宋_GB2312" w:hAnsi="仿宋_GB2312" w:eastAsia="仿宋_GB2312" w:cs="仿宋_GB2312"/>
          <w:color w:val="auto"/>
          <w:kern w:val="2"/>
          <w:sz w:val="32"/>
          <w:szCs w:val="32"/>
          <w:highlight w:val="none"/>
          <w:u w:val="none"/>
          <w:lang w:val="en-US" w:eastAsia="zh-CN" w:bidi="ar-SA"/>
        </w:rPr>
        <w:t>第二</w:t>
      </w:r>
      <w:r>
        <w:rPr>
          <w:rFonts w:hint="eastAsia" w:ascii="仿宋_GB2312" w:hAnsi="仿宋_GB2312" w:cs="仿宋_GB2312"/>
          <w:color w:val="auto"/>
          <w:kern w:val="2"/>
          <w:sz w:val="32"/>
          <w:szCs w:val="32"/>
          <w:highlight w:val="none"/>
          <w:u w:val="none"/>
          <w:lang w:val="en-US" w:eastAsia="zh-CN" w:bidi="ar-SA"/>
        </w:rPr>
        <w:t>条</w:t>
      </w:r>
      <w:r>
        <w:rPr>
          <w:rFonts w:hint="eastAsia" w:ascii="仿宋_GB2312" w:hAnsi="仿宋_GB2312" w:eastAsia="仿宋_GB2312" w:cs="仿宋_GB2312"/>
          <w:color w:val="auto"/>
          <w:kern w:val="2"/>
          <w:sz w:val="32"/>
          <w:szCs w:val="32"/>
          <w:highlight w:val="none"/>
          <w:u w:val="none"/>
          <w:lang w:val="en-US" w:eastAsia="zh-CN" w:bidi="ar-SA"/>
        </w:rPr>
        <w:t>第24</w:t>
      </w:r>
      <w:r>
        <w:rPr>
          <w:rFonts w:hint="eastAsia" w:ascii="仿宋_GB2312" w:hAnsi="仿宋_GB2312" w:cs="仿宋_GB2312"/>
          <w:color w:val="auto"/>
          <w:kern w:val="2"/>
          <w:sz w:val="32"/>
          <w:szCs w:val="32"/>
          <w:highlight w:val="none"/>
          <w:u w:val="none"/>
          <w:lang w:val="en-US" w:eastAsia="zh-CN" w:bidi="ar-SA"/>
        </w:rPr>
        <w:t>项</w:t>
      </w:r>
      <w:r>
        <w:rPr>
          <w:rFonts w:hint="eastAsia" w:ascii="仿宋_GB2312" w:hAnsi="仿宋_GB2312" w:eastAsia="仿宋_GB2312" w:cs="仿宋_GB2312"/>
          <w:color w:val="auto"/>
          <w:kern w:val="2"/>
          <w:sz w:val="32"/>
          <w:szCs w:val="32"/>
          <w:highlight w:val="none"/>
          <w:u w:val="none"/>
          <w:lang w:val="en-US" w:eastAsia="zh-CN" w:bidi="ar-SA"/>
        </w:rPr>
        <w:t>修改为“</w:t>
      </w:r>
      <w:r>
        <w:rPr>
          <w:rFonts w:hint="eastAsia" w:ascii="仿宋_GB2312" w:hAnsi="仿宋_GB2312" w:eastAsia="仿宋_GB2312" w:cs="仿宋_GB2312"/>
          <w:b w:val="0"/>
          <w:bCs w:val="0"/>
          <w:color w:val="auto"/>
          <w:sz w:val="32"/>
          <w:szCs w:val="32"/>
          <w:highlight w:val="none"/>
          <w:u w:val="none"/>
          <w:lang w:val="en-US" w:eastAsia="zh-CN"/>
        </w:rPr>
        <w:t>强化</w:t>
      </w:r>
      <w:r>
        <w:rPr>
          <w:rFonts w:hint="eastAsia" w:ascii="仿宋_GB2312" w:hAnsi="仿宋_GB2312" w:cs="仿宋_GB2312"/>
          <w:b w:val="0"/>
          <w:bCs w:val="0"/>
          <w:color w:val="auto"/>
          <w:sz w:val="32"/>
          <w:szCs w:val="32"/>
          <w:highlight w:val="none"/>
          <w:u w:val="none"/>
          <w:lang w:val="en-US" w:eastAsia="zh-CN"/>
        </w:rPr>
        <w:t>‘</w:t>
      </w:r>
      <w:r>
        <w:rPr>
          <w:rFonts w:hint="eastAsia" w:ascii="仿宋_GB2312" w:hAnsi="仿宋_GB2312" w:eastAsia="仿宋_GB2312" w:cs="仿宋_GB2312"/>
          <w:b w:val="0"/>
          <w:bCs w:val="0"/>
          <w:color w:val="auto"/>
          <w:sz w:val="32"/>
          <w:szCs w:val="32"/>
          <w:highlight w:val="none"/>
          <w:u w:val="none"/>
          <w:lang w:val="en-US" w:eastAsia="zh-CN"/>
        </w:rPr>
        <w:t>南阳艾</w:t>
      </w:r>
      <w:r>
        <w:rPr>
          <w:rFonts w:hint="eastAsia" w:ascii="仿宋_GB2312" w:hAnsi="仿宋_GB2312" w:cs="仿宋_GB2312"/>
          <w:b w:val="0"/>
          <w:bCs w:val="0"/>
          <w:color w:val="auto"/>
          <w:sz w:val="32"/>
          <w:szCs w:val="32"/>
          <w:highlight w:val="none"/>
          <w:u w:val="none"/>
          <w:lang w:val="en-US" w:eastAsia="zh-CN"/>
        </w:rPr>
        <w:t>’</w:t>
      </w:r>
      <w:r>
        <w:rPr>
          <w:rFonts w:hint="eastAsia" w:ascii="仿宋_GB2312" w:hAnsi="仿宋_GB2312" w:eastAsia="仿宋_GB2312" w:cs="仿宋_GB2312"/>
          <w:b w:val="0"/>
          <w:bCs w:val="0"/>
          <w:color w:val="auto"/>
          <w:sz w:val="32"/>
          <w:szCs w:val="32"/>
          <w:highlight w:val="none"/>
          <w:u w:val="none"/>
          <w:lang w:val="en-US" w:eastAsia="zh-CN"/>
        </w:rPr>
        <w:t>支撑保护能力。</w:t>
      </w:r>
      <w:r>
        <w:rPr>
          <w:rFonts w:hint="eastAsia" w:ascii="仿宋_GB2312" w:hAnsi="仿宋_GB2312" w:eastAsia="仿宋_GB2312" w:cs="仿宋_GB2312"/>
          <w:color w:val="auto"/>
          <w:sz w:val="32"/>
          <w:szCs w:val="32"/>
          <w:highlight w:val="none"/>
          <w:u w:val="none"/>
          <w:lang w:val="en-US" w:eastAsia="zh-CN"/>
        </w:rPr>
        <w:t>实施艾草企业梯次培育计划，培育10家以上南阳市艾草企业成为知识产权优势企业，推进仲源艾城省级知识产权保护规范化市场建设。甄选艾草企业纳入质量认证提升试点，完成南阳艾草产业认证提升行动国家区域试点建设工作。加快河南省艾及艾产品质检中心建设，提升艾草及艾制品检验检测能力，争取创建省级重点实验室</w:t>
      </w:r>
      <w:r>
        <w:rPr>
          <w:rFonts w:hint="eastAsia" w:ascii="仿宋_GB2312" w:hAnsi="仿宋_GB2312" w:eastAsia="仿宋_GB2312" w:cs="仿宋_GB2312"/>
          <w:color w:val="auto"/>
          <w:kern w:val="2"/>
          <w:sz w:val="32"/>
          <w:szCs w:val="32"/>
          <w:highlight w:val="none"/>
          <w:u w:val="none"/>
          <w:lang w:val="en-US" w:eastAsia="zh-CN" w:bidi="ar-SA"/>
        </w:rPr>
        <w:t>”</w:t>
      </w:r>
      <w:r>
        <w:rPr>
          <w:rFonts w:hint="eastAsia" w:ascii="仿宋_GB2312" w:hAnsi="仿宋_GB2312" w:eastAsia="仿宋_GB2312" w:cs="仿宋_GB2312"/>
          <w:color w:val="auto"/>
          <w:sz w:val="32"/>
          <w:szCs w:val="32"/>
          <w:highlight w:val="none"/>
          <w:u w:val="none"/>
          <w:lang w:val="en-US" w:eastAsia="zh-CN"/>
        </w:rPr>
        <w:t>。</w:t>
      </w:r>
    </w:p>
    <w:p w14:paraId="198FC070">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1</w:t>
      </w:r>
      <w:r>
        <w:rPr>
          <w:rFonts w:hint="eastAsia" w:ascii="仿宋_GB2312" w:hAnsi="仿宋_GB2312" w:cs="仿宋_GB2312"/>
          <w:color w:val="auto"/>
          <w:sz w:val="32"/>
          <w:szCs w:val="32"/>
          <w:highlight w:val="none"/>
          <w:u w:val="none"/>
          <w:lang w:val="en-US" w:eastAsia="zh-CN"/>
        </w:rPr>
        <w:t>3</w:t>
      </w:r>
      <w:r>
        <w:rPr>
          <w:rFonts w:hint="eastAsia" w:ascii="仿宋_GB2312" w:hAnsi="仿宋_GB2312" w:eastAsia="仿宋_GB2312" w:cs="仿宋_GB2312"/>
          <w:color w:val="auto"/>
          <w:sz w:val="32"/>
          <w:szCs w:val="32"/>
          <w:highlight w:val="none"/>
          <w:u w:val="none"/>
          <w:lang w:val="en-US" w:eastAsia="zh-CN"/>
        </w:rPr>
        <w:t>.</w:t>
      </w:r>
      <w:r>
        <w:rPr>
          <w:rFonts w:hint="eastAsia" w:ascii="仿宋_GB2312" w:hAnsi="仿宋_GB2312" w:cs="仿宋_GB2312"/>
          <w:color w:val="auto"/>
          <w:sz w:val="32"/>
          <w:szCs w:val="32"/>
          <w:highlight w:val="none"/>
          <w:u w:val="none"/>
          <w:lang w:val="en-US" w:eastAsia="zh-CN"/>
        </w:rPr>
        <w:t>将</w:t>
      </w:r>
      <w:r>
        <w:rPr>
          <w:rFonts w:hint="eastAsia" w:ascii="仿宋_GB2312" w:hAnsi="仿宋_GB2312" w:eastAsia="仿宋_GB2312" w:cs="仿宋_GB2312"/>
          <w:color w:val="auto"/>
          <w:kern w:val="2"/>
          <w:sz w:val="32"/>
          <w:szCs w:val="32"/>
          <w:u w:val="none"/>
          <w:lang w:val="en-US" w:eastAsia="zh-CN" w:bidi="ar-SA"/>
        </w:rPr>
        <w:t>第二</w:t>
      </w:r>
      <w:r>
        <w:rPr>
          <w:rFonts w:hint="eastAsia" w:ascii="仿宋_GB2312" w:hAnsi="仿宋_GB2312" w:cs="仿宋_GB2312"/>
          <w:color w:val="auto"/>
          <w:kern w:val="2"/>
          <w:sz w:val="32"/>
          <w:szCs w:val="32"/>
          <w:u w:val="none"/>
          <w:lang w:val="en-US" w:eastAsia="zh-CN" w:bidi="ar-SA"/>
        </w:rPr>
        <w:t>条</w:t>
      </w:r>
      <w:r>
        <w:rPr>
          <w:rFonts w:hint="eastAsia" w:ascii="仿宋_GB2312" w:hAnsi="仿宋_GB2312" w:eastAsia="仿宋_GB2312" w:cs="仿宋_GB2312"/>
          <w:color w:val="auto"/>
          <w:kern w:val="2"/>
          <w:sz w:val="32"/>
          <w:szCs w:val="32"/>
          <w:u w:val="none"/>
          <w:lang w:val="en-US" w:eastAsia="zh-CN" w:bidi="ar-SA"/>
        </w:rPr>
        <w:t>第25</w:t>
      </w:r>
      <w:r>
        <w:rPr>
          <w:rFonts w:hint="eastAsia" w:ascii="仿宋_GB2312" w:hAnsi="仿宋_GB2312" w:cs="仿宋_GB2312"/>
          <w:color w:val="auto"/>
          <w:kern w:val="2"/>
          <w:sz w:val="32"/>
          <w:szCs w:val="32"/>
          <w:u w:val="none"/>
          <w:lang w:val="en-US" w:eastAsia="zh-CN" w:bidi="ar-SA"/>
        </w:rPr>
        <w:t>项</w:t>
      </w:r>
      <w:r>
        <w:rPr>
          <w:rFonts w:hint="eastAsia" w:ascii="仿宋_GB2312" w:hAnsi="仿宋_GB2312" w:eastAsia="仿宋_GB2312" w:cs="仿宋_GB2312"/>
          <w:color w:val="auto"/>
          <w:kern w:val="2"/>
          <w:sz w:val="32"/>
          <w:szCs w:val="32"/>
          <w:u w:val="none"/>
          <w:lang w:val="en-US" w:eastAsia="zh-CN" w:bidi="ar-SA"/>
        </w:rPr>
        <w:t>修改为“</w:t>
      </w:r>
      <w:r>
        <w:rPr>
          <w:rFonts w:hint="eastAsia" w:ascii="仿宋_GB2312" w:hAnsi="仿宋_GB2312" w:eastAsia="仿宋_GB2312" w:cs="仿宋_GB2312"/>
          <w:color w:val="000000"/>
          <w:sz w:val="32"/>
          <w:szCs w:val="32"/>
          <w:highlight w:val="none"/>
          <w:u w:val="none"/>
          <w:lang w:val="en-US" w:eastAsia="zh-CN"/>
        </w:rPr>
        <w:t>打造‘南阳艾’‘仲景灸法’品牌。指导推动艾制品企业按照国家规定的技术规范，申办《药品生产许可证》《医疗器械生产许可证》《化妆品生产许可证》等，推出字号系列产品，打造自主品牌，提升核心竞争力。支持艾草企业发展标准化连锁灸疗馆，培育服务新增长点。支持南阳医专艾产业学院设立‘仲景灸师’培训中心，打造‘仲景灸师’劳务品牌”。</w:t>
      </w:r>
    </w:p>
    <w:p w14:paraId="5CBF8240">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1</w:t>
      </w:r>
      <w:r>
        <w:rPr>
          <w:rFonts w:hint="eastAsia" w:ascii="仿宋_GB2312" w:hAnsi="仿宋_GB2312" w:cs="仿宋_GB2312"/>
          <w:color w:val="000000"/>
          <w:sz w:val="32"/>
          <w:szCs w:val="32"/>
          <w:highlight w:val="none"/>
          <w:u w:val="none"/>
          <w:lang w:val="en-US" w:eastAsia="zh-CN"/>
        </w:rPr>
        <w:t>4</w:t>
      </w:r>
      <w:r>
        <w:rPr>
          <w:rFonts w:hint="eastAsia" w:ascii="仿宋_GB2312" w:hAnsi="仿宋_GB2312" w:eastAsia="仿宋_GB2312" w:cs="仿宋_GB2312"/>
          <w:color w:val="000000"/>
          <w:sz w:val="32"/>
          <w:szCs w:val="32"/>
          <w:highlight w:val="none"/>
          <w:u w:val="none"/>
          <w:lang w:val="en-US" w:eastAsia="zh-CN"/>
        </w:rPr>
        <w:t>.</w:t>
      </w:r>
      <w:r>
        <w:rPr>
          <w:rFonts w:hint="eastAsia" w:ascii="仿宋_GB2312" w:hAnsi="仿宋_GB2312" w:cs="仿宋_GB2312"/>
          <w:color w:val="000000"/>
          <w:sz w:val="32"/>
          <w:szCs w:val="32"/>
          <w:highlight w:val="none"/>
          <w:u w:val="none"/>
          <w:lang w:val="en-US" w:eastAsia="zh-CN"/>
        </w:rPr>
        <w:t>将</w:t>
      </w:r>
      <w:r>
        <w:rPr>
          <w:rFonts w:hint="eastAsia" w:ascii="仿宋_GB2312" w:hAnsi="仿宋_GB2312" w:eastAsia="仿宋_GB2312" w:cs="仿宋_GB2312"/>
          <w:color w:val="auto"/>
          <w:kern w:val="2"/>
          <w:sz w:val="32"/>
          <w:szCs w:val="32"/>
          <w:highlight w:val="none"/>
          <w:u w:val="none"/>
          <w:lang w:val="en-US" w:eastAsia="zh-CN" w:bidi="ar-SA"/>
        </w:rPr>
        <w:t>第二</w:t>
      </w:r>
      <w:r>
        <w:rPr>
          <w:rFonts w:hint="eastAsia" w:ascii="仿宋_GB2312" w:hAnsi="仿宋_GB2312" w:cs="仿宋_GB2312"/>
          <w:color w:val="auto"/>
          <w:kern w:val="2"/>
          <w:sz w:val="32"/>
          <w:szCs w:val="32"/>
          <w:highlight w:val="none"/>
          <w:u w:val="none"/>
          <w:lang w:val="en-US" w:eastAsia="zh-CN" w:bidi="ar-SA"/>
        </w:rPr>
        <w:t>条</w:t>
      </w:r>
      <w:r>
        <w:rPr>
          <w:rFonts w:hint="eastAsia" w:ascii="仿宋_GB2312" w:hAnsi="仿宋_GB2312" w:eastAsia="仿宋_GB2312" w:cs="仿宋_GB2312"/>
          <w:color w:val="auto"/>
          <w:kern w:val="2"/>
          <w:sz w:val="32"/>
          <w:szCs w:val="32"/>
          <w:highlight w:val="none"/>
          <w:u w:val="none"/>
          <w:lang w:val="en-US" w:eastAsia="zh-CN" w:bidi="ar-SA"/>
        </w:rPr>
        <w:t>第28</w:t>
      </w:r>
      <w:r>
        <w:rPr>
          <w:rFonts w:hint="eastAsia" w:ascii="仿宋_GB2312" w:hAnsi="仿宋_GB2312" w:cs="仿宋_GB2312"/>
          <w:color w:val="auto"/>
          <w:kern w:val="2"/>
          <w:sz w:val="32"/>
          <w:szCs w:val="32"/>
          <w:highlight w:val="none"/>
          <w:u w:val="none"/>
          <w:lang w:val="en-US" w:eastAsia="zh-CN" w:bidi="ar-SA"/>
        </w:rPr>
        <w:t>项中的</w:t>
      </w:r>
      <w:r>
        <w:rPr>
          <w:rFonts w:hint="eastAsia" w:ascii="仿宋_GB2312" w:hAnsi="仿宋_GB2312" w:eastAsia="仿宋_GB2312" w:cs="仿宋_GB2312"/>
          <w:color w:val="auto"/>
          <w:kern w:val="2"/>
          <w:sz w:val="32"/>
          <w:szCs w:val="32"/>
          <w:highlight w:val="none"/>
          <w:u w:val="none"/>
          <w:lang w:val="en-US" w:eastAsia="zh-CN" w:bidi="ar-SA"/>
        </w:rPr>
        <w:t>“运</w:t>
      </w:r>
      <w:r>
        <w:rPr>
          <w:rFonts w:hint="eastAsia" w:ascii="仿宋_GB2312" w:hAnsi="仿宋_GB2312" w:eastAsia="仿宋_GB2312" w:cs="仿宋_GB2312"/>
          <w:color w:val="auto"/>
          <w:kern w:val="2"/>
          <w:sz w:val="32"/>
          <w:szCs w:val="32"/>
          <w:u w:val="none"/>
          <w:lang w:val="en-US" w:eastAsia="zh-CN" w:bidi="ar-SA"/>
        </w:rPr>
        <w:t>用主流媒体、网红达人、本地大V讲好南阳中医药故事”修改为“</w:t>
      </w:r>
      <w:r>
        <w:rPr>
          <w:rFonts w:hint="eastAsia" w:ascii="仿宋_GB2312" w:hAnsi="仿宋_GB2312" w:eastAsia="仿宋_GB2312" w:cs="仿宋_GB2312"/>
          <w:color w:val="000000"/>
          <w:sz w:val="32"/>
          <w:szCs w:val="32"/>
          <w:highlight w:val="none"/>
          <w:u w:val="none"/>
          <w:lang w:val="en-US" w:eastAsia="zh-CN"/>
        </w:rPr>
        <w:t>充分运用主流媒体，讲好南阳中医药故事”。</w:t>
      </w:r>
    </w:p>
    <w:p w14:paraId="32616DB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1</w:t>
      </w:r>
      <w:r>
        <w:rPr>
          <w:rFonts w:hint="eastAsia" w:ascii="仿宋_GB2312" w:hAnsi="仿宋_GB2312" w:cs="仿宋_GB2312"/>
          <w:color w:val="000000"/>
          <w:sz w:val="32"/>
          <w:szCs w:val="32"/>
          <w:highlight w:val="none"/>
          <w:u w:val="none"/>
          <w:lang w:val="en-US" w:eastAsia="zh-CN"/>
        </w:rPr>
        <w:t>5</w:t>
      </w:r>
      <w:r>
        <w:rPr>
          <w:rFonts w:hint="eastAsia" w:ascii="仿宋_GB2312" w:hAnsi="仿宋_GB2312" w:eastAsia="仿宋_GB2312" w:cs="仿宋_GB2312"/>
          <w:color w:val="000000"/>
          <w:sz w:val="32"/>
          <w:szCs w:val="32"/>
          <w:highlight w:val="none"/>
          <w:u w:val="none"/>
          <w:lang w:val="en-US" w:eastAsia="zh-CN"/>
        </w:rPr>
        <w:t>.</w:t>
      </w:r>
      <w:r>
        <w:rPr>
          <w:rFonts w:hint="eastAsia" w:ascii="仿宋_GB2312" w:hAnsi="仿宋_GB2312" w:cs="仿宋_GB2312"/>
          <w:color w:val="000000"/>
          <w:sz w:val="32"/>
          <w:szCs w:val="32"/>
          <w:highlight w:val="none"/>
          <w:u w:val="none"/>
          <w:lang w:val="en-US" w:eastAsia="zh-CN"/>
        </w:rPr>
        <w:t>将</w:t>
      </w:r>
      <w:r>
        <w:rPr>
          <w:rFonts w:hint="eastAsia" w:ascii="仿宋_GB2312" w:hAnsi="仿宋_GB2312" w:eastAsia="仿宋_GB2312" w:cs="仿宋_GB2312"/>
          <w:color w:val="auto"/>
          <w:kern w:val="2"/>
          <w:sz w:val="32"/>
          <w:szCs w:val="32"/>
          <w:u w:val="none"/>
          <w:lang w:val="en-US" w:eastAsia="zh-CN" w:bidi="ar-SA"/>
        </w:rPr>
        <w:t>第二</w:t>
      </w:r>
      <w:r>
        <w:rPr>
          <w:rFonts w:hint="eastAsia" w:ascii="仿宋_GB2312" w:hAnsi="仿宋_GB2312" w:cs="仿宋_GB2312"/>
          <w:color w:val="auto"/>
          <w:kern w:val="2"/>
          <w:sz w:val="32"/>
          <w:szCs w:val="32"/>
          <w:u w:val="none"/>
          <w:lang w:val="en-US" w:eastAsia="zh-CN" w:bidi="ar-SA"/>
        </w:rPr>
        <w:t>条</w:t>
      </w:r>
      <w:r>
        <w:rPr>
          <w:rFonts w:hint="eastAsia" w:ascii="仿宋_GB2312" w:hAnsi="仿宋_GB2312" w:eastAsia="仿宋_GB2312" w:cs="仿宋_GB2312"/>
          <w:color w:val="auto"/>
          <w:kern w:val="2"/>
          <w:sz w:val="32"/>
          <w:szCs w:val="32"/>
          <w:u w:val="none"/>
          <w:lang w:val="en-US" w:eastAsia="zh-CN" w:bidi="ar-SA"/>
        </w:rPr>
        <w:t>第30</w:t>
      </w:r>
      <w:r>
        <w:rPr>
          <w:rFonts w:hint="eastAsia" w:ascii="仿宋_GB2312" w:hAnsi="仿宋_GB2312" w:cs="仿宋_GB2312"/>
          <w:color w:val="auto"/>
          <w:kern w:val="2"/>
          <w:sz w:val="32"/>
          <w:szCs w:val="32"/>
          <w:u w:val="none"/>
          <w:lang w:val="en-US" w:eastAsia="zh-CN" w:bidi="ar-SA"/>
        </w:rPr>
        <w:t>项中的</w:t>
      </w:r>
      <w:r>
        <w:rPr>
          <w:rFonts w:hint="eastAsia" w:ascii="仿宋_GB2312" w:hAnsi="仿宋_GB2312" w:eastAsia="仿宋_GB2312" w:cs="仿宋_GB2312"/>
          <w:color w:val="auto"/>
          <w:kern w:val="2"/>
          <w:sz w:val="32"/>
          <w:szCs w:val="32"/>
          <w:u w:val="none"/>
          <w:lang w:val="en-US" w:eastAsia="zh-CN" w:bidi="ar-SA"/>
        </w:rPr>
        <w:t>“2024年，覆盖比例达到30%；至2025年，覆盖比例达到50%”删除</w:t>
      </w:r>
      <w:r>
        <w:rPr>
          <w:rFonts w:hint="eastAsia" w:ascii="仿宋_GB2312" w:hAnsi="仿宋_GB2312" w:eastAsia="仿宋_GB2312" w:cs="仿宋_GB2312"/>
          <w:color w:val="000000"/>
          <w:sz w:val="32"/>
          <w:szCs w:val="32"/>
          <w:highlight w:val="none"/>
          <w:u w:val="none"/>
          <w:lang w:val="en-US" w:eastAsia="zh-CN"/>
        </w:rPr>
        <w:t>。</w:t>
      </w:r>
    </w:p>
    <w:p w14:paraId="341A708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1</w:t>
      </w:r>
      <w:r>
        <w:rPr>
          <w:rFonts w:hint="eastAsia" w:ascii="仿宋_GB2312" w:hAnsi="仿宋_GB2312" w:cs="仿宋_GB2312"/>
          <w:color w:val="000000"/>
          <w:sz w:val="32"/>
          <w:szCs w:val="32"/>
          <w:highlight w:val="none"/>
          <w:u w:val="none"/>
          <w:lang w:val="en-US" w:eastAsia="zh-CN"/>
        </w:rPr>
        <w:t>6</w:t>
      </w:r>
      <w:r>
        <w:rPr>
          <w:rFonts w:hint="eastAsia" w:ascii="仿宋_GB2312" w:hAnsi="仿宋_GB2312" w:eastAsia="仿宋_GB2312" w:cs="仿宋_GB2312"/>
          <w:color w:val="000000"/>
          <w:sz w:val="32"/>
          <w:szCs w:val="32"/>
          <w:highlight w:val="none"/>
          <w:u w:val="none"/>
          <w:lang w:val="en-US" w:eastAsia="zh-CN"/>
        </w:rPr>
        <w:t>.</w:t>
      </w:r>
      <w:r>
        <w:rPr>
          <w:rFonts w:hint="eastAsia" w:ascii="仿宋_GB2312" w:hAnsi="仿宋_GB2312" w:cs="仿宋_GB2312"/>
          <w:color w:val="000000"/>
          <w:sz w:val="32"/>
          <w:szCs w:val="32"/>
          <w:highlight w:val="none"/>
          <w:u w:val="none"/>
          <w:lang w:val="en-US" w:eastAsia="zh-CN"/>
        </w:rPr>
        <w:t>将</w:t>
      </w:r>
      <w:r>
        <w:rPr>
          <w:rFonts w:hint="eastAsia" w:ascii="仿宋_GB2312" w:hAnsi="仿宋_GB2312" w:eastAsia="仿宋_GB2312" w:cs="仿宋_GB2312"/>
          <w:color w:val="auto"/>
          <w:kern w:val="2"/>
          <w:sz w:val="32"/>
          <w:szCs w:val="32"/>
          <w:u w:val="none"/>
          <w:lang w:val="en-US" w:eastAsia="zh-CN" w:bidi="ar-SA"/>
        </w:rPr>
        <w:t>第二</w:t>
      </w:r>
      <w:r>
        <w:rPr>
          <w:rFonts w:hint="eastAsia" w:ascii="仿宋_GB2312" w:hAnsi="仿宋_GB2312" w:cs="仿宋_GB2312"/>
          <w:color w:val="auto"/>
          <w:kern w:val="2"/>
          <w:sz w:val="32"/>
          <w:szCs w:val="32"/>
          <w:u w:val="none"/>
          <w:lang w:val="en-US" w:eastAsia="zh-CN" w:bidi="ar-SA"/>
        </w:rPr>
        <w:t>条</w:t>
      </w:r>
      <w:r>
        <w:rPr>
          <w:rFonts w:hint="eastAsia" w:ascii="仿宋_GB2312" w:hAnsi="仿宋_GB2312" w:eastAsia="仿宋_GB2312" w:cs="仿宋_GB2312"/>
          <w:color w:val="auto"/>
          <w:kern w:val="2"/>
          <w:sz w:val="32"/>
          <w:szCs w:val="32"/>
          <w:u w:val="none"/>
          <w:lang w:val="en-US" w:eastAsia="zh-CN" w:bidi="ar-SA"/>
        </w:rPr>
        <w:t>第</w:t>
      </w:r>
      <w:r>
        <w:rPr>
          <w:rFonts w:hint="eastAsia" w:ascii="仿宋_GB2312" w:hAnsi="仿宋_GB2312" w:eastAsia="仿宋_GB2312" w:cs="仿宋_GB2312"/>
          <w:color w:val="000000"/>
          <w:sz w:val="32"/>
          <w:szCs w:val="32"/>
          <w:highlight w:val="none"/>
          <w:u w:val="none"/>
          <w:lang w:val="en-US" w:eastAsia="zh-CN"/>
        </w:rPr>
        <w:t>33</w:t>
      </w:r>
      <w:r>
        <w:rPr>
          <w:rFonts w:hint="eastAsia" w:ascii="仿宋_GB2312" w:hAnsi="仿宋_GB2312" w:cs="仿宋_GB2312"/>
          <w:color w:val="auto"/>
          <w:kern w:val="2"/>
          <w:sz w:val="32"/>
          <w:szCs w:val="32"/>
          <w:u w:val="none"/>
          <w:lang w:val="en-US" w:eastAsia="zh-CN" w:bidi="ar-SA"/>
        </w:rPr>
        <w:t>项</w:t>
      </w:r>
      <w:r>
        <w:rPr>
          <w:rFonts w:hint="eastAsia" w:ascii="仿宋_GB2312" w:hAnsi="仿宋_GB2312" w:eastAsia="仿宋_GB2312" w:cs="仿宋_GB2312"/>
          <w:color w:val="auto"/>
          <w:kern w:val="2"/>
          <w:sz w:val="32"/>
          <w:szCs w:val="32"/>
          <w:u w:val="none"/>
          <w:lang w:val="en-US" w:eastAsia="zh-CN" w:bidi="ar-SA"/>
        </w:rPr>
        <w:t>修改为“</w:t>
      </w:r>
      <w:r>
        <w:rPr>
          <w:rFonts w:hint="eastAsia" w:ascii="仿宋_GB2312" w:hAnsi="仿宋_GB2312" w:eastAsia="仿宋_GB2312" w:cs="仿宋_GB2312"/>
          <w:color w:val="000000"/>
          <w:sz w:val="32"/>
          <w:szCs w:val="32"/>
          <w:highlight w:val="none"/>
          <w:u w:val="none"/>
          <w:lang w:val="en-US" w:eastAsia="zh-CN"/>
        </w:rPr>
        <w:t>支持中医药企业走出去。支持中医药企业参加境外（包括香港、澳门和台湾地区）展会，开展境外注册、专利申请、管理体系认证、产品认证等。（责任单位：市商务局、市场监督管理局）”。</w:t>
      </w:r>
    </w:p>
    <w:p w14:paraId="082039B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w:t>
      </w:r>
      <w:r>
        <w:rPr>
          <w:rFonts w:hint="eastAsia" w:ascii="黑体" w:hAnsi="黑体" w:eastAsia="黑体" w:cs="黑体"/>
          <w:sz w:val="32"/>
          <w:szCs w:val="32"/>
          <w:lang w:val="en-US" w:eastAsia="en-US"/>
        </w:rPr>
        <w:t>南阳市人民政府办公室关于促进老字号创新发展的实施意见</w:t>
      </w:r>
      <w:r>
        <w:rPr>
          <w:rFonts w:hint="eastAsia" w:ascii="黑体" w:hAnsi="黑体" w:eastAsia="黑体" w:cs="黑体"/>
          <w:sz w:val="32"/>
          <w:szCs w:val="32"/>
          <w:lang w:val="en-US" w:eastAsia="zh-CN"/>
        </w:rPr>
        <w:t>》（</w:t>
      </w:r>
      <w:r>
        <w:rPr>
          <w:rFonts w:hint="eastAsia" w:ascii="黑体" w:hAnsi="黑体" w:eastAsia="黑体" w:cs="黑体"/>
          <w:sz w:val="32"/>
          <w:szCs w:val="32"/>
          <w:lang w:val="en-US" w:eastAsia="en-US"/>
        </w:rPr>
        <w:t>宛政办〔2023〕26号</w:t>
      </w:r>
      <w:r>
        <w:rPr>
          <w:rFonts w:hint="eastAsia" w:ascii="黑体" w:hAnsi="黑体" w:eastAsia="黑体" w:cs="黑体"/>
          <w:sz w:val="32"/>
          <w:szCs w:val="32"/>
          <w:lang w:val="en-US" w:eastAsia="zh-CN"/>
        </w:rPr>
        <w:t>）</w:t>
      </w:r>
    </w:p>
    <w:p w14:paraId="45B673C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1.将第一条第（三）项中的“力争到‘十四五’末”修改为“力争到‘十五五’末”。</w:t>
      </w:r>
    </w:p>
    <w:p w14:paraId="13E80A6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2.将第二条第（一）项中“</w:t>
      </w:r>
      <w:r>
        <w:rPr>
          <w:rFonts w:hint="eastAsia" w:ascii="仿宋_GB2312" w:hAnsi="仿宋_GB2312" w:eastAsia="仿宋_GB2312" w:cs="仿宋_GB2312"/>
          <w:color w:val="auto"/>
          <w:kern w:val="2"/>
          <w:sz w:val="32"/>
          <w:szCs w:val="32"/>
          <w:u w:val="none"/>
          <w:lang w:val="en-US" w:eastAsia="zh-CN" w:bidi="ar-SA"/>
        </w:rPr>
        <w:t>加强知识产权保护</w:t>
      </w:r>
      <w:r>
        <w:rPr>
          <w:rFonts w:hint="eastAsia" w:ascii="仿宋_GB2312" w:hAnsi="仿宋_GB2312" w:eastAsia="仿宋_GB2312" w:cs="仿宋_GB2312"/>
          <w:snapToGrid w:val="0"/>
          <w:color w:val="auto"/>
          <w:kern w:val="0"/>
          <w:sz w:val="32"/>
          <w:szCs w:val="32"/>
          <w:u w:val="none"/>
          <w:lang w:val="en-US" w:eastAsia="zh-CN" w:bidi="ar-SA"/>
        </w:rPr>
        <w:t>”部分的“</w:t>
      </w:r>
      <w:r>
        <w:rPr>
          <w:rFonts w:hint="eastAsia" w:ascii="仿宋_GB2312" w:hAnsi="仿宋_GB2312" w:eastAsia="仿宋_GB2312" w:cs="仿宋_GB2312"/>
          <w:color w:val="auto"/>
          <w:kern w:val="2"/>
          <w:sz w:val="32"/>
          <w:szCs w:val="32"/>
          <w:u w:val="none"/>
          <w:lang w:val="en-US" w:eastAsia="zh-CN" w:bidi="ar-SA"/>
        </w:rPr>
        <w:t>加强知识产权保护。</w:t>
      </w:r>
      <w:r>
        <w:rPr>
          <w:rFonts w:hint="eastAsia" w:ascii="仿宋_GB2312" w:hAnsi="仿宋_GB2312" w:eastAsia="仿宋_GB2312" w:cs="仿宋_GB2312"/>
          <w:color w:val="auto"/>
          <w:sz w:val="32"/>
          <w:szCs w:val="32"/>
        </w:rPr>
        <w:t>指导区域性老字号企业注册集体商标，严厉打击侵犯老字号商标权等违法行为</w:t>
      </w:r>
      <w:r>
        <w:rPr>
          <w:rFonts w:hint="eastAsia" w:ascii="仿宋_GB2312" w:hAnsi="仿宋_GB2312" w:eastAsia="仿宋_GB2312" w:cs="仿宋_GB2312"/>
          <w:snapToGrid w:val="0"/>
          <w:color w:val="auto"/>
          <w:kern w:val="0"/>
          <w:sz w:val="32"/>
          <w:szCs w:val="32"/>
          <w:u w:val="none"/>
          <w:lang w:val="en-US" w:eastAsia="zh-CN" w:bidi="ar-SA"/>
        </w:rPr>
        <w:t>”修改为“加强知识产权保护。严厉打击侵犯老字号商标权等违法行为”。</w:t>
      </w:r>
    </w:p>
    <w:p w14:paraId="22E0D4F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3.将第二条第（一）项中“</w:t>
      </w:r>
      <w:r>
        <w:rPr>
          <w:rFonts w:hint="eastAsia" w:ascii="仿宋_GB2312" w:hAnsi="仿宋_GB2312" w:eastAsia="仿宋_GB2312" w:cs="仿宋_GB2312"/>
          <w:b w:val="0"/>
          <w:bCs/>
          <w:color w:val="auto"/>
          <w:sz w:val="32"/>
          <w:szCs w:val="32"/>
        </w:rPr>
        <w:t>加强原址风貌保护</w:t>
      </w:r>
      <w:r>
        <w:rPr>
          <w:rFonts w:hint="eastAsia" w:ascii="仿宋_GB2312" w:hAnsi="仿宋_GB2312" w:eastAsia="仿宋_GB2312" w:cs="仿宋_GB2312"/>
          <w:snapToGrid w:val="0"/>
          <w:color w:val="auto"/>
          <w:kern w:val="0"/>
          <w:sz w:val="32"/>
          <w:szCs w:val="32"/>
          <w:u w:val="none"/>
          <w:lang w:val="en-US" w:eastAsia="zh-CN" w:bidi="ar-SA"/>
        </w:rPr>
        <w:t>”部分的</w:t>
      </w:r>
      <w:r>
        <w:rPr>
          <w:rFonts w:hint="eastAsia" w:ascii="仿宋_GB2312" w:hAnsi="仿宋_GB2312" w:eastAsia="仿宋_GB2312" w:cs="仿宋_GB2312"/>
          <w:snapToGrid w:val="0"/>
          <w:color w:val="auto"/>
          <w:kern w:val="0"/>
          <w:sz w:val="32"/>
          <w:szCs w:val="32"/>
          <w:u w:val="none"/>
          <w:lang w:val="en-US" w:eastAsia="en-US" w:bidi="ar-SA"/>
        </w:rPr>
        <w:t>“将老字号网点建设纳入相关规划。将符合条件的老字号集中成片区域依法依规划定为历史文化街区。将符合条件的老字号原址原貌优先认定为文物、历史建筑并进行原址保护”</w:t>
      </w:r>
      <w:r>
        <w:rPr>
          <w:rFonts w:hint="eastAsia" w:ascii="仿宋_GB2312" w:hAnsi="仿宋_GB2312" w:eastAsia="仿宋_GB2312" w:cs="仿宋_GB2312"/>
          <w:snapToGrid w:val="0"/>
          <w:color w:val="auto"/>
          <w:kern w:val="0"/>
          <w:sz w:val="32"/>
          <w:szCs w:val="32"/>
          <w:u w:val="none"/>
          <w:lang w:val="en-US" w:eastAsia="zh-CN" w:bidi="ar-SA"/>
        </w:rPr>
        <w:t>修改为</w:t>
      </w:r>
      <w:r>
        <w:rPr>
          <w:rFonts w:hint="eastAsia" w:ascii="仿宋_GB2312" w:hAnsi="仿宋_GB2312" w:eastAsia="仿宋_GB2312" w:cs="仿宋_GB2312"/>
          <w:snapToGrid w:val="0"/>
          <w:color w:val="auto"/>
          <w:kern w:val="0"/>
          <w:sz w:val="32"/>
          <w:szCs w:val="32"/>
          <w:u w:val="none"/>
          <w:lang w:val="en-US" w:eastAsia="en-US" w:bidi="ar-SA"/>
        </w:rPr>
        <w:t>“鼓励符合条件的老字号原址原貌建筑集中成片区域申报历史文化街区。鼓励符合条件的老字号原址原貌开展文物、历史建筑认定并进行原址保护”。</w:t>
      </w:r>
    </w:p>
    <w:p w14:paraId="0749B08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4.将第二条第（二）项中“传承历史文化”部分的责任单位增加“市文联”。</w:t>
      </w:r>
    </w:p>
    <w:p w14:paraId="1535613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5.将第二条第（二）项</w:t>
      </w:r>
      <w:r>
        <w:rPr>
          <w:rFonts w:hint="eastAsia" w:ascii="仿宋_GB2312" w:hAnsi="仿宋_GB2312" w:eastAsia="仿宋_GB2312" w:cs="仿宋_GB2312"/>
          <w:b w:val="0"/>
          <w:bCs w:val="0"/>
          <w:snapToGrid w:val="0"/>
          <w:color w:val="auto"/>
          <w:kern w:val="0"/>
          <w:sz w:val="32"/>
          <w:szCs w:val="32"/>
          <w:u w:val="none"/>
          <w:lang w:val="en-US" w:eastAsia="zh-CN" w:bidi="ar-SA"/>
        </w:rPr>
        <w:t>中“</w:t>
      </w:r>
      <w:r>
        <w:rPr>
          <w:rFonts w:hint="eastAsia" w:ascii="仿宋_GB2312" w:hAnsi="仿宋_GB2312" w:eastAsia="仿宋_GB2312" w:cs="仿宋_GB2312"/>
          <w:b w:val="0"/>
          <w:bCs w:val="0"/>
          <w:color w:val="auto"/>
          <w:sz w:val="32"/>
          <w:szCs w:val="32"/>
        </w:rPr>
        <w:t>传承技艺工艺</w:t>
      </w:r>
      <w:r>
        <w:rPr>
          <w:rFonts w:hint="eastAsia" w:ascii="仿宋_GB2312" w:hAnsi="仿宋_GB2312" w:eastAsia="仿宋_GB2312" w:cs="仿宋_GB2312"/>
          <w:b w:val="0"/>
          <w:bCs w:val="0"/>
          <w:snapToGrid w:val="0"/>
          <w:color w:val="auto"/>
          <w:kern w:val="0"/>
          <w:sz w:val="32"/>
          <w:szCs w:val="32"/>
          <w:u w:val="none"/>
          <w:lang w:val="en-US" w:eastAsia="zh-CN" w:bidi="ar-SA"/>
        </w:rPr>
        <w:t>”</w:t>
      </w:r>
      <w:r>
        <w:rPr>
          <w:rFonts w:hint="eastAsia" w:ascii="仿宋_GB2312" w:hAnsi="仿宋_GB2312" w:eastAsia="仿宋_GB2312" w:cs="仿宋_GB2312"/>
          <w:snapToGrid w:val="0"/>
          <w:color w:val="auto"/>
          <w:kern w:val="0"/>
          <w:sz w:val="32"/>
          <w:szCs w:val="32"/>
          <w:u w:val="none"/>
          <w:lang w:val="en-US" w:eastAsia="zh-CN" w:bidi="ar-SA"/>
        </w:rPr>
        <w:t>部分的“</w:t>
      </w:r>
      <w:r>
        <w:rPr>
          <w:rFonts w:hint="eastAsia" w:ascii="仿宋_GB2312" w:hAnsi="仿宋_GB2312" w:eastAsia="仿宋_GB2312" w:cs="仿宋_GB2312"/>
          <w:snapToGrid w:val="0"/>
          <w:color w:val="auto"/>
          <w:kern w:val="0"/>
          <w:sz w:val="32"/>
          <w:szCs w:val="32"/>
          <w:u w:val="none"/>
          <w:lang w:val="en-US" w:eastAsia="en-US" w:bidi="ar-SA"/>
        </w:rPr>
        <w:t>加大用地保障力度</w:t>
      </w:r>
      <w:r>
        <w:rPr>
          <w:rFonts w:hint="eastAsia" w:ascii="仿宋_GB2312" w:hAnsi="仿宋_GB2312" w:eastAsia="仿宋_GB2312" w:cs="仿宋_GB2312"/>
          <w:snapToGrid w:val="0"/>
          <w:color w:val="auto"/>
          <w:kern w:val="0"/>
          <w:sz w:val="32"/>
          <w:szCs w:val="32"/>
          <w:u w:val="none"/>
          <w:lang w:val="en-US" w:eastAsia="zh-CN" w:bidi="ar-SA"/>
        </w:rPr>
        <w:t>”删除。</w:t>
      </w:r>
    </w:p>
    <w:p w14:paraId="35904F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6.将第二条第（二）项中“传承知名品牌”的内容修改为“各级媒体开设老字号宣传专题专栏，持续营造良好舆论环境。鼓励拍摄老字号宣传片、编写图书资料等，充分利用新媒体拓宽宣传渠道，扩大宣传范围，讲述品牌故事”。</w:t>
      </w:r>
    </w:p>
    <w:p w14:paraId="6E18A33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7.将第二条第（四）项中“促进集聚化发展”部分的“</w:t>
      </w:r>
      <w:r>
        <w:rPr>
          <w:rFonts w:hint="eastAsia" w:ascii="仿宋_GB2312" w:hAnsi="仿宋_GB2312" w:eastAsia="仿宋_GB2312" w:cs="仿宋_GB2312"/>
          <w:snapToGrid w:val="0"/>
          <w:color w:val="auto"/>
          <w:kern w:val="0"/>
          <w:sz w:val="32"/>
          <w:szCs w:val="32"/>
          <w:u w:val="none"/>
          <w:lang w:val="en-US" w:eastAsia="en-US" w:bidi="ar-SA"/>
        </w:rPr>
        <w:t>对南阳老字号、河南老字号、中华老字号在市级以上特色商业街区和旅游休闲街区新开设直营门店（营业面积不小于30平方米），经营正常且满一年以上的，给予适当奖补</w:t>
      </w:r>
      <w:r>
        <w:rPr>
          <w:rFonts w:hint="eastAsia" w:ascii="仿宋_GB2312" w:hAnsi="仿宋_GB2312" w:eastAsia="仿宋_GB2312" w:cs="仿宋_GB2312"/>
          <w:snapToGrid w:val="0"/>
          <w:color w:val="auto"/>
          <w:kern w:val="0"/>
          <w:sz w:val="32"/>
          <w:szCs w:val="32"/>
          <w:u w:val="none"/>
          <w:lang w:val="en-US" w:eastAsia="zh-CN" w:bidi="ar-SA"/>
        </w:rPr>
        <w:t>”删除，责任单位“财政局”删除。</w:t>
      </w:r>
    </w:p>
    <w:p w14:paraId="1F9E578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en-US" w:bidi="ar-SA"/>
        </w:rPr>
      </w:pPr>
      <w:r>
        <w:rPr>
          <w:rFonts w:hint="eastAsia" w:ascii="仿宋_GB2312" w:hAnsi="仿宋_GB2312" w:eastAsia="仿宋_GB2312" w:cs="仿宋_GB2312"/>
          <w:snapToGrid w:val="0"/>
          <w:color w:val="auto"/>
          <w:kern w:val="0"/>
          <w:sz w:val="32"/>
          <w:szCs w:val="32"/>
          <w:u w:val="none"/>
          <w:lang w:val="en-US" w:eastAsia="zh-CN" w:bidi="ar-SA"/>
        </w:rPr>
        <w:t>8.将第二条第（四）项中“线上线下融合发展”部分的</w:t>
      </w:r>
      <w:r>
        <w:rPr>
          <w:rFonts w:hint="eastAsia" w:ascii="仿宋_GB2312" w:hAnsi="仿宋_GB2312" w:eastAsia="仿宋_GB2312" w:cs="仿宋_GB2312"/>
          <w:snapToGrid w:val="0"/>
          <w:color w:val="auto"/>
          <w:kern w:val="0"/>
          <w:sz w:val="32"/>
          <w:szCs w:val="32"/>
          <w:u w:val="none"/>
          <w:lang w:val="en-US" w:eastAsia="en-US" w:bidi="ar-SA"/>
        </w:rPr>
        <w:t>“发挥各级电子商务发展扶持资金引导作用，对符合条件的老字号企业，优先享受相关扶持政策”删除</w:t>
      </w:r>
      <w:r>
        <w:rPr>
          <w:rFonts w:hint="eastAsia" w:ascii="仿宋_GB2312" w:hAnsi="仿宋_GB2312" w:eastAsia="仿宋_GB2312" w:cs="仿宋_GB2312"/>
          <w:snapToGrid w:val="0"/>
          <w:color w:val="auto"/>
          <w:kern w:val="0"/>
          <w:sz w:val="32"/>
          <w:szCs w:val="32"/>
          <w:u w:val="none"/>
          <w:lang w:val="en-US" w:eastAsia="zh-CN" w:bidi="ar-SA"/>
        </w:rPr>
        <w:t>，责任单位“财政局”删除</w:t>
      </w:r>
      <w:r>
        <w:rPr>
          <w:rFonts w:hint="eastAsia" w:ascii="仿宋_GB2312" w:hAnsi="仿宋_GB2312" w:eastAsia="仿宋_GB2312" w:cs="仿宋_GB2312"/>
          <w:snapToGrid w:val="0"/>
          <w:color w:val="auto"/>
          <w:kern w:val="0"/>
          <w:sz w:val="32"/>
          <w:szCs w:val="32"/>
          <w:u w:val="none"/>
          <w:lang w:val="en-US" w:eastAsia="en-US" w:bidi="ar-SA"/>
        </w:rPr>
        <w:t>。</w:t>
      </w:r>
    </w:p>
    <w:p w14:paraId="4DD5AB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9.将第二条第（四）项中“促进多元化发展”部分的</w:t>
      </w:r>
      <w:r>
        <w:rPr>
          <w:rFonts w:hint="eastAsia" w:ascii="仿宋_GB2312" w:hAnsi="仿宋_GB2312" w:eastAsia="仿宋_GB2312" w:cs="仿宋_GB2312"/>
          <w:snapToGrid w:val="0"/>
          <w:color w:val="auto"/>
          <w:kern w:val="0"/>
          <w:sz w:val="32"/>
          <w:szCs w:val="32"/>
          <w:u w:val="none"/>
          <w:lang w:val="en-US" w:eastAsia="en-US" w:bidi="ar-SA"/>
        </w:rPr>
        <w:t>“探索以企业投入为主、政府适度补贴的方式”删除</w:t>
      </w:r>
      <w:r>
        <w:rPr>
          <w:rFonts w:hint="eastAsia" w:ascii="仿宋_GB2312" w:hAnsi="仿宋_GB2312" w:eastAsia="仿宋_GB2312" w:cs="仿宋_GB2312"/>
          <w:snapToGrid w:val="0"/>
          <w:color w:val="auto"/>
          <w:kern w:val="0"/>
          <w:sz w:val="32"/>
          <w:szCs w:val="32"/>
          <w:u w:val="none"/>
          <w:lang w:val="en-US" w:eastAsia="zh-CN" w:bidi="ar-SA"/>
        </w:rPr>
        <w:t>，责任单位“财政局”删除。</w:t>
      </w:r>
    </w:p>
    <w:p w14:paraId="4E41C88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10.将第三条第</w:t>
      </w:r>
      <w:r>
        <w:rPr>
          <w:rFonts w:hint="eastAsia" w:ascii="仿宋_GB2312" w:hAnsi="仿宋_GB2312" w:eastAsia="仿宋_GB2312" w:cs="仿宋_GB2312"/>
          <w:snapToGrid w:val="0"/>
          <w:color w:val="auto"/>
          <w:kern w:val="0"/>
          <w:sz w:val="32"/>
          <w:szCs w:val="32"/>
          <w:u w:val="none"/>
          <w:lang w:val="en-US" w:eastAsia="en-US" w:bidi="ar-SA"/>
        </w:rPr>
        <w:t>（一）</w:t>
      </w:r>
      <w:r>
        <w:rPr>
          <w:rFonts w:hint="eastAsia" w:ascii="仿宋_GB2312" w:hAnsi="仿宋_GB2312" w:eastAsia="仿宋_GB2312" w:cs="仿宋_GB2312"/>
          <w:snapToGrid w:val="0"/>
          <w:color w:val="auto"/>
          <w:kern w:val="0"/>
          <w:sz w:val="32"/>
          <w:szCs w:val="32"/>
          <w:u w:val="none"/>
          <w:lang w:val="en-US" w:eastAsia="zh-CN" w:bidi="ar-SA"/>
        </w:rPr>
        <w:t>项中的</w:t>
      </w:r>
      <w:r>
        <w:rPr>
          <w:rFonts w:hint="eastAsia" w:ascii="仿宋_GB2312" w:hAnsi="仿宋_GB2312" w:eastAsia="仿宋_GB2312" w:cs="仿宋_GB2312"/>
          <w:snapToGrid w:val="0"/>
          <w:color w:val="auto"/>
          <w:kern w:val="0"/>
          <w:sz w:val="32"/>
          <w:szCs w:val="32"/>
          <w:u w:val="none"/>
          <w:lang w:val="en-US" w:eastAsia="en-US" w:bidi="ar-SA"/>
        </w:rPr>
        <w:t>“鼓励成立老字号行业组织”</w:t>
      </w:r>
      <w:r>
        <w:rPr>
          <w:rFonts w:hint="eastAsia" w:ascii="仿宋_GB2312" w:hAnsi="仿宋_GB2312" w:eastAsia="仿宋_GB2312" w:cs="仿宋_GB2312"/>
          <w:snapToGrid w:val="0"/>
          <w:color w:val="auto"/>
          <w:kern w:val="0"/>
          <w:sz w:val="32"/>
          <w:szCs w:val="32"/>
          <w:u w:val="none"/>
          <w:lang w:val="en-US" w:eastAsia="zh-CN" w:bidi="ar-SA"/>
        </w:rPr>
        <w:t>删除。</w:t>
      </w:r>
    </w:p>
    <w:p w14:paraId="0A7A41A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11.将第三条第</w:t>
      </w:r>
      <w:r>
        <w:rPr>
          <w:rFonts w:hint="eastAsia" w:ascii="仿宋_GB2312" w:hAnsi="仿宋_GB2312" w:eastAsia="仿宋_GB2312" w:cs="仿宋_GB2312"/>
          <w:snapToGrid w:val="0"/>
          <w:color w:val="auto"/>
          <w:kern w:val="0"/>
          <w:sz w:val="32"/>
          <w:szCs w:val="32"/>
          <w:u w:val="none"/>
          <w:lang w:val="en-US" w:eastAsia="en-US" w:bidi="ar-SA"/>
        </w:rPr>
        <w:t>（三）</w:t>
      </w:r>
      <w:r>
        <w:rPr>
          <w:rFonts w:hint="eastAsia" w:ascii="仿宋_GB2312" w:hAnsi="仿宋_GB2312" w:eastAsia="仿宋_GB2312" w:cs="仿宋_GB2312"/>
          <w:snapToGrid w:val="0"/>
          <w:color w:val="auto"/>
          <w:kern w:val="0"/>
          <w:sz w:val="32"/>
          <w:szCs w:val="32"/>
          <w:u w:val="none"/>
          <w:lang w:val="en-US" w:eastAsia="zh-CN" w:bidi="ar-SA"/>
        </w:rPr>
        <w:t>项的内容修改为“</w:t>
      </w:r>
      <w:r>
        <w:rPr>
          <w:rFonts w:hint="eastAsia" w:ascii="仿宋_GB2312" w:hAnsi="仿宋_GB2312" w:eastAsia="仿宋_GB2312" w:cs="仿宋_GB2312"/>
          <w:snapToGrid w:val="0"/>
          <w:color w:val="auto"/>
          <w:kern w:val="0"/>
          <w:sz w:val="32"/>
          <w:szCs w:val="32"/>
          <w:u w:val="none"/>
          <w:lang w:val="en-US" w:eastAsia="en-US" w:bidi="ar-SA"/>
        </w:rPr>
        <w:t>积极争取上级政策资金支持，鼓励企业开展老字号创建。落实国家出台的各项退税减税降费等优惠政策，为老字号企业配备首席税务服务官，提供</w:t>
      </w:r>
      <w:r>
        <w:rPr>
          <w:rFonts w:hint="eastAsia" w:ascii="仿宋_GB2312" w:hAnsi="仿宋_GB2312" w:eastAsia="仿宋_GB2312" w:cs="仿宋_GB2312"/>
          <w:snapToGrid w:val="0"/>
          <w:color w:val="auto"/>
          <w:kern w:val="0"/>
          <w:sz w:val="32"/>
          <w:szCs w:val="32"/>
          <w:u w:val="none"/>
          <w:lang w:val="en-US" w:eastAsia="zh-CN" w:bidi="ar-SA"/>
        </w:rPr>
        <w:t>‘</w:t>
      </w:r>
      <w:r>
        <w:rPr>
          <w:rFonts w:hint="eastAsia" w:ascii="仿宋_GB2312" w:hAnsi="仿宋_GB2312" w:eastAsia="仿宋_GB2312" w:cs="仿宋_GB2312"/>
          <w:snapToGrid w:val="0"/>
          <w:color w:val="auto"/>
          <w:kern w:val="0"/>
          <w:sz w:val="32"/>
          <w:szCs w:val="32"/>
          <w:u w:val="none"/>
          <w:lang w:val="en-US" w:eastAsia="en-US" w:bidi="ar-SA"/>
        </w:rPr>
        <w:t>一户一策</w:t>
      </w:r>
      <w:r>
        <w:rPr>
          <w:rFonts w:hint="eastAsia" w:ascii="仿宋_GB2312" w:hAnsi="仿宋_GB2312" w:eastAsia="仿宋_GB2312" w:cs="仿宋_GB2312"/>
          <w:snapToGrid w:val="0"/>
          <w:color w:val="auto"/>
          <w:kern w:val="0"/>
          <w:sz w:val="32"/>
          <w:szCs w:val="32"/>
          <w:u w:val="none"/>
          <w:lang w:val="en-US" w:eastAsia="zh-CN" w:bidi="ar-SA"/>
        </w:rPr>
        <w:t>’‘</w:t>
      </w:r>
      <w:r>
        <w:rPr>
          <w:rFonts w:hint="eastAsia" w:ascii="仿宋_GB2312" w:hAnsi="仿宋_GB2312" w:eastAsia="仿宋_GB2312" w:cs="仿宋_GB2312"/>
          <w:snapToGrid w:val="0"/>
          <w:color w:val="auto"/>
          <w:kern w:val="0"/>
          <w:sz w:val="32"/>
          <w:szCs w:val="32"/>
          <w:u w:val="none"/>
          <w:lang w:val="en-US" w:eastAsia="en-US" w:bidi="ar-SA"/>
        </w:rPr>
        <w:t>一户一档</w:t>
      </w:r>
      <w:r>
        <w:rPr>
          <w:rFonts w:hint="eastAsia" w:ascii="仿宋_GB2312" w:hAnsi="仿宋_GB2312" w:eastAsia="仿宋_GB2312" w:cs="仿宋_GB2312"/>
          <w:snapToGrid w:val="0"/>
          <w:color w:val="auto"/>
          <w:kern w:val="0"/>
          <w:sz w:val="32"/>
          <w:szCs w:val="32"/>
          <w:u w:val="none"/>
          <w:lang w:val="en-US" w:eastAsia="zh-CN" w:bidi="ar-SA"/>
        </w:rPr>
        <w:t>’</w:t>
      </w:r>
      <w:r>
        <w:rPr>
          <w:rFonts w:hint="eastAsia" w:ascii="仿宋_GB2312" w:hAnsi="仿宋_GB2312" w:eastAsia="仿宋_GB2312" w:cs="仿宋_GB2312"/>
          <w:snapToGrid w:val="0"/>
          <w:color w:val="auto"/>
          <w:kern w:val="0"/>
          <w:sz w:val="32"/>
          <w:szCs w:val="32"/>
          <w:u w:val="none"/>
          <w:lang w:val="en-US" w:eastAsia="en-US" w:bidi="ar-SA"/>
        </w:rPr>
        <w:t>精准服务。鼓励各县（市、区）出台具体支持措施，加大资金投入，助力老字号企业高质量发展</w:t>
      </w:r>
      <w:r>
        <w:rPr>
          <w:rFonts w:hint="eastAsia" w:ascii="仿宋_GB2312" w:hAnsi="仿宋_GB2312" w:eastAsia="仿宋_GB2312" w:cs="仿宋_GB2312"/>
          <w:snapToGrid w:val="0"/>
          <w:color w:val="auto"/>
          <w:kern w:val="0"/>
          <w:sz w:val="32"/>
          <w:szCs w:val="32"/>
          <w:u w:val="none"/>
          <w:lang w:val="en-US" w:eastAsia="zh-CN" w:bidi="ar-SA"/>
        </w:rPr>
        <w:t>”。</w:t>
      </w:r>
    </w:p>
    <w:p w14:paraId="046ECA4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napToGrid w:val="0"/>
          <w:color w:val="auto"/>
          <w:kern w:val="0"/>
          <w:sz w:val="32"/>
          <w:szCs w:val="32"/>
          <w:u w:val="none"/>
          <w:lang w:val="en-US" w:eastAsia="zh-CN" w:bidi="ar-SA"/>
        </w:rPr>
        <w:t>12.第三条第（四）项中的责任单位“市金融工作局”删除。</w:t>
      </w:r>
    </w:p>
    <w:p w14:paraId="0E73CB38">
      <w:pPr>
        <w:keepNext w:val="0"/>
        <w:keepLines w:val="0"/>
        <w:pageBreakBefore w:val="0"/>
        <w:widowControl w:val="0"/>
        <w:numPr>
          <w:ilvl w:val="0"/>
          <w:numId w:val="0"/>
        </w:numPr>
        <w:kinsoku/>
        <w:wordWrap/>
        <w:overflowPunct/>
        <w:autoSpaceDE/>
        <w:bidi w:val="0"/>
        <w:adjustRightInd/>
        <w:snapToGrid/>
        <w:spacing w:before="0" w:beforeLines="0" w:after="0" w:afterLines="0" w:line="560" w:lineRule="exact"/>
        <w:ind w:right="0" w:rightChars="0" w:firstLine="640" w:firstLineChars="200"/>
        <w:jc w:val="left"/>
        <w:textAlignment w:val="baseline"/>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三、《南阳市人民政府办公室关于印发南阳艾产业优势再造若干措施的通知》（宛政办〔2022〕63号）</w:t>
      </w:r>
    </w:p>
    <w:p w14:paraId="46F5CC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1.将文件中的“市中医药发展局”修改为“市中医药管理局”，责任单位中的“南阳产投集团”“南阳医学高等专科学校”“仲景书院”“中医药企业”“市金融工作局”删除。</w:t>
      </w:r>
    </w:p>
    <w:p w14:paraId="24AEDFA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2.将文件首段修改为“为深入贯彻落实习近平总书记视察南阳时对中医药工作的重要指示精神，提升‘南阳艾’品牌核心竞争力，促进南阳艾产业高质量快速发展，实现南阳艾产业优势再造，特制定如下具体措施”。</w:t>
      </w:r>
    </w:p>
    <w:p w14:paraId="232D159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3.将第二条第（四）项的内容修改为“在中心城区规划布局功能齐全、规模较大的现代化艾草产业园，提升中心城区产业集聚效能，辐射带动各县（市、区）艾产业快速发展”。</w:t>
      </w:r>
    </w:p>
    <w:p w14:paraId="7DABB4D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4.将第二条第（五）项的内容修改为“在有产业发展基础和优势的县（市）规划布局规模适中、特色突出的艾草专业产业园，鼓励相关县（市、区）提升现有艾草产业园建设水平，引导企业集聚，实现优势互补，错位发展，提升特色产业规模。责任单位：市农业农村局、工业和信息化局，各县（市、区）政府（管委会）”。</w:t>
      </w:r>
    </w:p>
    <w:p w14:paraId="32DA535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5.将第三条第（六）项的内容修改为“做强艾草企业。鼓励艾草企业通过股权改造、股权投资、授权经营等形式进行兼并重组，形成一批拥有核心技术、完整产业链、带动力强的艾草企业集团。支持产业链上中下游有能力的企业、电商平台、金融机构、高校科研机构等参与打造一个能够提供优质艾草原材料供给、规范化生产加工、先进市场营销模式、金融信托服务、科技研发协同、灸疗服务及技术培训等全产业链、多业态融合发展的南阳艾草大型集团；引导一批艾草企业成长为具有完善的现代企业管理制度、较强的行业引领能力和创新研发能力的艾草企业，成为全国艾草行业标杆。责任单位：市工业和信息化局、科学技术局、农业农村局，各县（市、区）政府（管委会）”。</w:t>
      </w:r>
    </w:p>
    <w:p w14:paraId="480717E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6.将第三条第（八）项中的“中医药50强企业”修改为“中医药企业”。</w:t>
      </w:r>
    </w:p>
    <w:p w14:paraId="791DE93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7.将第四条第（九）项中的“由南阳产投集团牵头，联合域内外大型企业共同建立艾草交易市场”修改为“建立艾草交易市场”。</w:t>
      </w:r>
    </w:p>
    <w:p w14:paraId="126E234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8.将第四条第（十）项中的“由南阳产投集团牵头，依托成立的南阳艾草产业发展集团开发互联网应用平台”修改为“开发互联网应用平台”，责任单位修改为“卧龙区政府，市商务局”。</w:t>
      </w:r>
    </w:p>
    <w:p w14:paraId="7062243C">
      <w:pPr>
        <w:pStyle w:val="2"/>
        <w:keepNext w:val="0"/>
        <w:keepLines w:val="0"/>
        <w:pageBreakBefore w:val="0"/>
        <w:widowControl w:val="0"/>
        <w:kinsoku/>
        <w:wordWrap/>
        <w:overflowPunct/>
        <w:topLinePunct/>
        <w:autoSpaceDE/>
        <w:autoSpaceDN/>
        <w:bidi w:val="0"/>
        <w:adjustRightInd/>
        <w:snapToGrid/>
        <w:spacing w:line="560" w:lineRule="exact"/>
        <w:ind w:left="0" w:leftChars="0" w:firstLine="640" w:firstLineChars="200"/>
        <w:textAlignment w:val="top"/>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9.将第四条第（十一）项的标题修改为“</w:t>
      </w:r>
      <w:r>
        <w:rPr>
          <w:rFonts w:hint="eastAsia" w:ascii="仿宋_GB2312" w:hAnsi="仿宋_GB2312" w:eastAsia="仿宋_GB2312" w:cs="仿宋_GB2312"/>
          <w:color w:val="auto"/>
          <w:sz w:val="32"/>
          <w:szCs w:val="32"/>
          <w:u w:val="none"/>
        </w:rPr>
        <w:t>成立专业投资平台和产业发展基金</w:t>
      </w:r>
      <w:r>
        <w:rPr>
          <w:rFonts w:hint="eastAsia" w:ascii="仿宋_GB2312" w:hAnsi="仿宋_GB2312" w:eastAsia="仿宋_GB2312" w:cs="仿宋_GB2312"/>
          <w:color w:val="auto"/>
          <w:sz w:val="32"/>
          <w:szCs w:val="32"/>
          <w:u w:val="none"/>
          <w:lang w:val="en-US" w:eastAsia="zh-CN"/>
        </w:rPr>
        <w:t>”，内容修改为“</w:t>
      </w:r>
      <w:r>
        <w:rPr>
          <w:rFonts w:hint="eastAsia" w:ascii="仿宋_GB2312" w:hAnsi="仿宋_GB2312" w:eastAsia="仿宋_GB2312" w:cs="仿宋_GB2312"/>
          <w:color w:val="auto"/>
          <w:sz w:val="32"/>
          <w:szCs w:val="32"/>
          <w:u w:val="none"/>
        </w:rPr>
        <w:t>成立中医药投资平台和政府基金管理平台，放大产业支持基金、产业引导基金作用，吸引省内外优质投资机构、金融机构和项目入围合作，解决小微企业融资</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难点</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痛点</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，综合运用金融科技手段提升普惠金融服务质效，形成</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产业</w:t>
      </w:r>
      <w:r>
        <w:rPr>
          <w:rFonts w:hint="eastAsia" w:ascii="宋体" w:hAnsi="宋体" w:eastAsia="宋体" w:cs="宋体"/>
          <w:color w:val="auto"/>
          <w:sz w:val="32"/>
          <w:szCs w:val="32"/>
          <w:u w:val="none"/>
        </w:rPr>
        <w:t>＋</w:t>
      </w:r>
      <w:r>
        <w:rPr>
          <w:rFonts w:hint="eastAsia" w:ascii="仿宋_GB2312" w:hAnsi="仿宋_GB2312" w:eastAsia="仿宋_GB2312" w:cs="仿宋_GB2312"/>
          <w:color w:val="auto"/>
          <w:sz w:val="32"/>
          <w:szCs w:val="32"/>
          <w:u w:val="none"/>
        </w:rPr>
        <w:t>基金</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和</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金融赋能</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rPr>
        <w:t>企业（项目）</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rPr>
        <w:t>产业链</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rPr>
        <w:t>产业集群</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rPr>
        <w:t>产业生态圈</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模式</w:t>
      </w:r>
      <w:r>
        <w:rPr>
          <w:rFonts w:hint="eastAsia" w:ascii="仿宋_GB2312" w:hAnsi="仿宋_GB2312" w:eastAsia="仿宋_GB2312" w:cs="仿宋_GB2312"/>
          <w:snapToGrid w:val="0"/>
          <w:color w:val="auto"/>
          <w:kern w:val="0"/>
          <w:sz w:val="32"/>
          <w:szCs w:val="32"/>
          <w:u w:val="none"/>
          <w:lang w:val="en-US" w:eastAsia="zh-CN" w:bidi="ar-SA"/>
        </w:rPr>
        <w:t>”。</w:t>
      </w:r>
    </w:p>
    <w:p w14:paraId="51239F3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10.将第五条第（十二）项中“加强艾产业学院内涵建设”部分修改为“创新艾产业人才培养模式。支持中医药类院校牵头制定艾灸服务标准以及服务机构、从业人员的教育培训体系、认证管理体系、评价使用体系和评价机制……”；“推动社会化灸疗技术专项技能培训”部分的内容删除“南阳中医药学校”“唐河县职业教育中心”。</w:t>
      </w:r>
    </w:p>
    <w:p w14:paraId="42421BA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11.将第五条第（十四）项的责任单位“相关大型艾草企业”删除。</w:t>
      </w:r>
    </w:p>
    <w:p w14:paraId="5216422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12.将第七条第（十七）项第一段修改为“由市政府主导、部门牵头、市艾草产业协会、南阳艾产业学院、南阳市中医药学会等协同推动，全力打造世界艾乡、南阳艾、宛美好艾、仲景灸法、仲景灸师区域公用品牌，提升‘南阳艾’品牌形象、市场影响力。推动建设原料供应、生产加工、灸疗服务、装备智造和人才培训五大基地，稳固市场份额，实现‘世界艾乡’的目标”；“打造‘南阳艾’国家地理标志品牌”部分修改为“打造‘南阳艾’区域公用品牌。‘南阳艾’地理标志证明商标、地理标志产品已获批，继续推进市场主体申请并规范使用‘南阳艾’地理标志专用标志。在质量认证国家区域试点建设基础上，整合政府部门、认证机构、检测机构及行业协会资源，构建‘宛美好艾’区域品牌评价标准与流程”。</w:t>
      </w:r>
    </w:p>
    <w:p w14:paraId="4E731DF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13.将第七条第（十九）项中“开发建设南阳艾文化体系”部分的“设计‘南阳艾’艾文化标示等，统一南阳艾灸馆设计风格、店面形象、艾灸师服饰，培育艾灸馆连锁品牌”修改为“规范‘南阳艾’艾文化标示等，引导规范南阳艾灸馆的店面设计、宣传形象，培育艾灸馆连锁品牌”。</w:t>
      </w:r>
    </w:p>
    <w:p w14:paraId="1DCE307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14.将第八条第（二十）项中的“鼓励艾草优势企业”修改为“鼓励有能力的艾草企业”。</w:t>
      </w:r>
    </w:p>
    <w:p w14:paraId="0F11C8D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15.将第八条第（二十二)项中“加强行业自律管理”的内容修改为“加强行业自身管理，指导成立市级艾草行业协会县级分支机构，指导艾草行业协会建立诚信约束机制，加强行业自律，强化行业内部监督管理”。</w:t>
      </w:r>
    </w:p>
    <w:p w14:paraId="61EAB22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16.将第九条第（二十四）项中“打造一流营商环境”的内容修改为“落实好各项优惠扶持政策，以‘万人助万企’等活动助力艾草企业发展，为艾草产业高质量发展创造优良的营商环境”。</w:t>
      </w:r>
    </w:p>
    <w:p w14:paraId="4CFAA098">
      <w:pPr>
        <w:keepNext w:val="0"/>
        <w:keepLines w:val="0"/>
        <w:pageBreakBefore w:val="0"/>
        <w:widowControl w:val="0"/>
        <w:numPr>
          <w:ilvl w:val="0"/>
          <w:numId w:val="0"/>
        </w:numPr>
        <w:kinsoku/>
        <w:wordWrap/>
        <w:overflowPunct/>
        <w:autoSpaceDE/>
        <w:bidi w:val="0"/>
        <w:adjustRightInd/>
        <w:snapToGrid/>
        <w:spacing w:before="0" w:beforeLines="0" w:after="0" w:afterLines="0" w:line="560" w:lineRule="exact"/>
        <w:ind w:right="0" w:rightChars="0" w:firstLine="640" w:firstLineChars="200"/>
        <w:jc w:val="left"/>
        <w:textAlignment w:val="baseline"/>
        <w:outlineLvl w:val="9"/>
        <w:rPr>
          <w:rFonts w:hint="eastAsia" w:ascii="仿宋" w:hAnsi="仿宋" w:eastAsia="仿宋" w:cs="仿宋"/>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四、《南阳市人民政府关于印发南阳市打造“全球中医圣地、全国中医高地、全国中医药名都”行动方案的通知》（宛政〔2021〕25号）</w:t>
      </w:r>
    </w:p>
    <w:p w14:paraId="37CB3574">
      <w:pPr>
        <w:keepNext w:val="0"/>
        <w:keepLines w:val="0"/>
        <w:pageBreakBefore w:val="0"/>
        <w:kinsoku/>
        <w:wordWrap/>
        <w:overflowPunct/>
        <w:bidi w:val="0"/>
        <w:spacing w:line="560" w:lineRule="exact"/>
        <w:ind w:firstLine="640" w:firstLineChars="200"/>
        <w:jc w:val="left"/>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1.将第三条第（一）项中“实施仲景文化地标建设工程”部分中的“建设医圣祠文化园”修改为“建设医圣文化园”。</w:t>
      </w:r>
    </w:p>
    <w:p w14:paraId="68F53CB1">
      <w:pPr>
        <w:keepNext w:val="0"/>
        <w:keepLines w:val="0"/>
        <w:pageBreakBefore w:val="0"/>
        <w:kinsoku/>
        <w:wordWrap/>
        <w:overflowPunct/>
        <w:bidi w:val="0"/>
        <w:spacing w:line="560" w:lineRule="exact"/>
        <w:ind w:firstLine="640" w:firstLineChars="200"/>
        <w:jc w:val="left"/>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2.将第三条第（一）项中“实施仲景文化品牌提升工程”部分的“创设‘张仲景医学奖’”内容删除。</w:t>
      </w:r>
    </w:p>
    <w:p w14:paraId="06B15C3B">
      <w:pPr>
        <w:keepNext w:val="0"/>
        <w:keepLines w:val="0"/>
        <w:pageBreakBefore w:val="0"/>
        <w:kinsoku/>
        <w:wordWrap/>
        <w:overflowPunct/>
        <w:bidi w:val="0"/>
        <w:spacing w:line="560" w:lineRule="exact"/>
        <w:ind w:firstLine="640" w:firstLineChars="200"/>
        <w:jc w:val="left"/>
        <w:rPr>
          <w:rFonts w:hint="eastAsia" w:ascii="仿宋_GB2312" w:hAnsi="仿宋_GB2312" w:eastAsia="仿宋_GB2312" w:cs="仿宋_GB2312"/>
          <w:lang w:val="en-US" w:eastAsia="zh-CN"/>
        </w:rPr>
      </w:pPr>
      <w:r>
        <w:rPr>
          <w:rFonts w:hint="eastAsia" w:ascii="仿宋_GB2312" w:hAnsi="仿宋_GB2312" w:eastAsia="仿宋_GB2312" w:cs="仿宋_GB2312"/>
          <w:color w:val="auto"/>
          <w:kern w:val="2"/>
          <w:sz w:val="32"/>
          <w:szCs w:val="32"/>
          <w:u w:val="none"/>
          <w:lang w:val="en-US" w:eastAsia="zh-CN" w:bidi="ar-SA"/>
        </w:rPr>
        <w:t>3.将第三条第（一）项中“仲景文化传播工程”部分的“推进南阳中医药文化弘扬传承体系建设”中的“设计南阳仲景文化形象标志,统一中医堂、养生馆、艾灸馆等中医养生保健机构的形象风格、标志、服饰等范式,并在市、县、乡、村推广”，修改为“</w:t>
      </w:r>
      <w:r>
        <w:rPr>
          <w:rFonts w:hint="eastAsia" w:ascii="仿宋_GB2312" w:hAnsi="仿宋_GB2312" w:eastAsia="仿宋_GB2312" w:cs="仿宋_GB2312"/>
          <w:color w:val="000000"/>
          <w:sz w:val="32"/>
          <w:szCs w:val="32"/>
          <w:lang w:eastAsia="zh-CN"/>
        </w:rPr>
        <w:t>提升</w:t>
      </w:r>
      <w:r>
        <w:rPr>
          <w:rFonts w:hint="eastAsia" w:ascii="仿宋_GB2312" w:hAnsi="仿宋_GB2312" w:eastAsia="仿宋_GB2312" w:cs="仿宋_GB2312"/>
          <w:color w:val="000000"/>
          <w:sz w:val="32"/>
          <w:szCs w:val="32"/>
        </w:rPr>
        <w:t>南阳仲景文化形象</w:t>
      </w:r>
      <w:r>
        <w:rPr>
          <w:rFonts w:hint="eastAsia" w:ascii="仿宋_GB2312" w:hAnsi="仿宋_GB2312" w:eastAsia="仿宋_GB2312" w:cs="仿宋_GB2312"/>
          <w:color w:val="000000"/>
          <w:sz w:val="32"/>
          <w:szCs w:val="32"/>
          <w:lang w:eastAsia="zh-CN"/>
        </w:rPr>
        <w:t>识别度</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规范</w:t>
      </w:r>
      <w:r>
        <w:rPr>
          <w:rFonts w:hint="eastAsia" w:ascii="仿宋_GB2312" w:hAnsi="仿宋_GB2312" w:eastAsia="仿宋_GB2312" w:cs="仿宋_GB2312"/>
          <w:color w:val="000000"/>
          <w:sz w:val="32"/>
          <w:szCs w:val="32"/>
        </w:rPr>
        <w:t>中医堂、养生馆、艾灸馆等中医养生保健机构的</w:t>
      </w:r>
      <w:r>
        <w:rPr>
          <w:rFonts w:hint="eastAsia" w:ascii="仿宋_GB2312" w:hAnsi="仿宋_GB2312" w:eastAsia="仿宋_GB2312" w:cs="仿宋_GB2312"/>
          <w:color w:val="000000"/>
          <w:sz w:val="32"/>
          <w:szCs w:val="32"/>
          <w:lang w:eastAsia="zh-CN"/>
        </w:rPr>
        <w:t>店面设计、宣传形象</w:t>
      </w:r>
      <w:r>
        <w:rPr>
          <w:rFonts w:hint="eastAsia" w:ascii="仿宋_GB2312" w:hAnsi="仿宋_GB2312" w:eastAsia="仿宋_GB2312" w:cs="仿宋_GB2312"/>
          <w:color w:val="000000"/>
          <w:sz w:val="32"/>
          <w:szCs w:val="32"/>
        </w:rPr>
        <w:t>，并在市</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县</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乡</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村推广</w:t>
      </w:r>
      <w:r>
        <w:rPr>
          <w:rFonts w:hint="eastAsia" w:ascii="仿宋_GB2312" w:hAnsi="仿宋_GB2312" w:eastAsia="仿宋_GB2312" w:cs="仿宋_GB2312"/>
          <w:color w:val="auto"/>
          <w:kern w:val="2"/>
          <w:sz w:val="32"/>
          <w:szCs w:val="32"/>
          <w:u w:val="none"/>
          <w:lang w:val="en-US" w:eastAsia="zh-CN" w:bidi="ar-SA"/>
        </w:rPr>
        <w:t>”</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auto"/>
          <w:kern w:val="2"/>
          <w:sz w:val="32"/>
          <w:szCs w:val="32"/>
          <w:u w:val="none"/>
          <w:lang w:val="en-US" w:eastAsia="zh-CN" w:bidi="ar-SA"/>
        </w:rPr>
        <w:t>“设立‘仲景文化宣传周’。将每年农历正月十八(张仲景诞辰日)所在周设立为‘仲景文化宣传周’”修改为“</w:t>
      </w:r>
      <w:r>
        <w:rPr>
          <w:rFonts w:hint="eastAsia" w:ascii="仿宋_GB2312" w:hAnsi="仿宋_GB2312" w:eastAsia="仿宋_GB2312" w:cs="仿宋_GB2312"/>
          <w:b w:val="0"/>
          <w:bCs w:val="0"/>
          <w:color w:val="000000"/>
          <w:kern w:val="0"/>
          <w:sz w:val="32"/>
          <w:szCs w:val="32"/>
          <w:lang w:bidi="ar"/>
        </w:rPr>
        <w:t>设立</w:t>
      </w:r>
      <w:r>
        <w:rPr>
          <w:rFonts w:hint="eastAsia" w:ascii="仿宋_GB2312" w:hAnsi="仿宋_GB2312" w:eastAsia="仿宋_GB2312" w:cs="仿宋_GB2312"/>
          <w:b w:val="0"/>
          <w:bCs w:val="0"/>
          <w:color w:val="auto"/>
          <w:kern w:val="0"/>
          <w:sz w:val="32"/>
          <w:szCs w:val="32"/>
          <w:lang w:eastAsia="zh-CN" w:bidi="ar"/>
        </w:rPr>
        <w:t>‘</w:t>
      </w:r>
      <w:r>
        <w:rPr>
          <w:rFonts w:hint="eastAsia" w:ascii="仿宋_GB2312" w:hAnsi="仿宋_GB2312" w:eastAsia="仿宋_GB2312" w:cs="仿宋_GB2312"/>
          <w:b w:val="0"/>
          <w:bCs w:val="0"/>
          <w:color w:val="auto"/>
          <w:kern w:val="0"/>
          <w:sz w:val="32"/>
          <w:szCs w:val="32"/>
          <w:lang w:bidi="ar"/>
        </w:rPr>
        <w:t>仲景文化宣传</w:t>
      </w:r>
      <w:r>
        <w:rPr>
          <w:rFonts w:hint="eastAsia" w:ascii="仿宋_GB2312" w:hAnsi="仿宋_GB2312" w:eastAsia="仿宋_GB2312" w:cs="仿宋_GB2312"/>
          <w:b w:val="0"/>
          <w:bCs w:val="0"/>
          <w:color w:val="auto"/>
          <w:kern w:val="0"/>
          <w:sz w:val="32"/>
          <w:szCs w:val="32"/>
          <w:lang w:eastAsia="zh-CN" w:bidi="ar"/>
        </w:rPr>
        <w:t>月’</w:t>
      </w:r>
      <w:r>
        <w:rPr>
          <w:rFonts w:hint="eastAsia" w:ascii="仿宋_GB2312" w:hAnsi="仿宋_GB2312" w:eastAsia="仿宋_GB2312" w:cs="仿宋_GB2312"/>
          <w:b w:val="0"/>
          <w:bCs w:val="0"/>
          <w:color w:val="000000"/>
          <w:kern w:val="0"/>
          <w:sz w:val="32"/>
          <w:szCs w:val="32"/>
          <w:lang w:bidi="ar"/>
        </w:rPr>
        <w:t>。将每年农历正月十八（张仲景诞辰日）所在</w:t>
      </w:r>
      <w:r>
        <w:rPr>
          <w:rFonts w:hint="eastAsia" w:ascii="仿宋_GB2312" w:hAnsi="仿宋_GB2312" w:eastAsia="仿宋_GB2312" w:cs="仿宋_GB2312"/>
          <w:b w:val="0"/>
          <w:bCs w:val="0"/>
          <w:color w:val="000000"/>
          <w:kern w:val="0"/>
          <w:sz w:val="32"/>
          <w:szCs w:val="32"/>
          <w:lang w:eastAsia="zh-CN" w:bidi="ar"/>
        </w:rPr>
        <w:t>月</w:t>
      </w:r>
      <w:r>
        <w:rPr>
          <w:rFonts w:hint="eastAsia" w:ascii="仿宋_GB2312" w:hAnsi="仿宋_GB2312" w:eastAsia="仿宋_GB2312" w:cs="仿宋_GB2312"/>
          <w:b w:val="0"/>
          <w:bCs w:val="0"/>
          <w:color w:val="000000"/>
          <w:kern w:val="0"/>
          <w:sz w:val="32"/>
          <w:szCs w:val="32"/>
          <w:lang w:bidi="ar"/>
        </w:rPr>
        <w:t>设立为</w:t>
      </w:r>
      <w:r>
        <w:rPr>
          <w:rFonts w:hint="eastAsia" w:ascii="仿宋_GB2312" w:hAnsi="仿宋_GB2312" w:eastAsia="仿宋_GB2312" w:cs="仿宋_GB2312"/>
          <w:b w:val="0"/>
          <w:bCs w:val="0"/>
          <w:color w:val="000000"/>
          <w:kern w:val="0"/>
          <w:sz w:val="32"/>
          <w:szCs w:val="32"/>
          <w:lang w:eastAsia="zh-CN" w:bidi="ar"/>
        </w:rPr>
        <w:t>‘</w:t>
      </w:r>
      <w:r>
        <w:rPr>
          <w:rFonts w:hint="eastAsia" w:ascii="仿宋_GB2312" w:hAnsi="仿宋_GB2312" w:eastAsia="仿宋_GB2312" w:cs="仿宋_GB2312"/>
          <w:b w:val="0"/>
          <w:bCs w:val="0"/>
          <w:color w:val="auto"/>
          <w:kern w:val="0"/>
          <w:sz w:val="32"/>
          <w:szCs w:val="32"/>
          <w:lang w:bidi="ar"/>
        </w:rPr>
        <w:t>仲景文化宣传</w:t>
      </w:r>
      <w:r>
        <w:rPr>
          <w:rFonts w:hint="eastAsia" w:ascii="仿宋_GB2312" w:hAnsi="仿宋_GB2312" w:eastAsia="仿宋_GB2312" w:cs="仿宋_GB2312"/>
          <w:b w:val="0"/>
          <w:bCs w:val="0"/>
          <w:color w:val="auto"/>
          <w:kern w:val="0"/>
          <w:sz w:val="32"/>
          <w:szCs w:val="32"/>
          <w:lang w:eastAsia="zh-CN" w:bidi="ar"/>
        </w:rPr>
        <w:t>月’”</w:t>
      </w:r>
      <w:r>
        <w:rPr>
          <w:rFonts w:hint="eastAsia" w:ascii="仿宋_GB2312" w:hAnsi="仿宋_GB2312" w:eastAsia="仿宋_GB2312" w:cs="仿宋_GB2312"/>
          <w:b w:val="0"/>
          <w:bCs w:val="0"/>
          <w:color w:val="000000"/>
          <w:kern w:val="0"/>
          <w:sz w:val="32"/>
          <w:szCs w:val="32"/>
          <w:lang w:eastAsia="zh-CN" w:bidi="ar"/>
        </w:rPr>
        <w:t>。</w:t>
      </w:r>
    </w:p>
    <w:p w14:paraId="7FB32CE7">
      <w:pPr>
        <w:keepNext w:val="0"/>
        <w:keepLines w:val="0"/>
        <w:pageBreakBefore w:val="0"/>
        <w:numPr>
          <w:ilvl w:val="0"/>
          <w:numId w:val="0"/>
        </w:numPr>
        <w:kinsoku/>
        <w:wordWrap/>
        <w:overflowPunct/>
        <w:bidi w:val="0"/>
        <w:spacing w:line="560" w:lineRule="exact"/>
        <w:ind w:firstLine="640" w:firstLineChars="200"/>
        <w:jc w:val="both"/>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4.将第三条第（二）项中“打造一个国家中医区域医疗中心”的内容修改为“</w:t>
      </w:r>
      <w:r>
        <w:rPr>
          <w:rFonts w:hint="eastAsia" w:ascii="仿宋_GB2312" w:hAnsi="仿宋_GB2312" w:eastAsia="仿宋_GB2312" w:cs="仿宋_GB2312"/>
          <w:bCs/>
          <w:color w:val="000000"/>
          <w:sz w:val="32"/>
          <w:szCs w:val="32"/>
          <w:lang w:eastAsia="zh-CN"/>
        </w:rPr>
        <w:t>实施</w:t>
      </w:r>
      <w:r>
        <w:rPr>
          <w:rFonts w:hint="eastAsia" w:ascii="仿宋_GB2312" w:hAnsi="仿宋_GB2312" w:eastAsia="仿宋_GB2312" w:cs="仿宋_GB2312"/>
          <w:bCs/>
          <w:color w:val="000000"/>
          <w:sz w:val="32"/>
          <w:szCs w:val="32"/>
        </w:rPr>
        <w:t>国家中医（骨伤）区域医疗中心</w:t>
      </w:r>
      <w:r>
        <w:rPr>
          <w:rFonts w:hint="eastAsia" w:ascii="仿宋_GB2312" w:hAnsi="仿宋_GB2312" w:eastAsia="仿宋_GB2312" w:cs="仿宋_GB2312"/>
          <w:bCs/>
          <w:color w:val="000000"/>
          <w:sz w:val="32"/>
          <w:szCs w:val="32"/>
          <w:lang w:eastAsia="zh-CN"/>
        </w:rPr>
        <w:t>项目</w:t>
      </w:r>
      <w:r>
        <w:rPr>
          <w:rFonts w:hint="eastAsia" w:ascii="仿宋_GB2312" w:hAnsi="仿宋_GB2312" w:eastAsia="仿宋_GB2312" w:cs="仿宋_GB2312"/>
          <w:bCs/>
          <w:color w:val="000000"/>
          <w:sz w:val="32"/>
          <w:szCs w:val="32"/>
        </w:rPr>
        <w:t>，围绕十大功能定位，</w:t>
      </w:r>
      <w:r>
        <w:rPr>
          <w:rFonts w:hint="eastAsia" w:ascii="仿宋_GB2312" w:hAnsi="仿宋_GB2312" w:eastAsia="仿宋_GB2312" w:cs="仿宋_GB2312"/>
          <w:bCs/>
          <w:color w:val="000000"/>
          <w:sz w:val="32"/>
          <w:szCs w:val="32"/>
          <w:lang w:eastAsia="zh-CN"/>
        </w:rPr>
        <w:t>实现‘</w:t>
      </w:r>
      <w:r>
        <w:rPr>
          <w:rFonts w:hint="eastAsia" w:ascii="仿宋_GB2312" w:hAnsi="仿宋_GB2312" w:eastAsia="仿宋_GB2312" w:cs="仿宋_GB2312"/>
          <w:bCs/>
          <w:color w:val="000000"/>
          <w:sz w:val="32"/>
          <w:szCs w:val="32"/>
        </w:rPr>
        <w:t>管理、技术、品牌</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rPr>
        <w:t>三平移。到2025年建成立足河南、辐射豫鄂陕毗邻地区的国家中医区域医疗中心，到2030年实现重点病种治疗水平与京沪等地同质</w:t>
      </w:r>
      <w:r>
        <w:rPr>
          <w:rFonts w:hint="eastAsia" w:ascii="仿宋_GB2312" w:hAnsi="仿宋_GB2312" w:eastAsia="仿宋_GB2312" w:cs="仿宋_GB2312"/>
          <w:color w:val="auto"/>
          <w:kern w:val="2"/>
          <w:sz w:val="32"/>
          <w:szCs w:val="32"/>
          <w:u w:val="none"/>
          <w:lang w:val="en-US" w:eastAsia="zh-CN" w:bidi="ar-SA"/>
        </w:rPr>
        <w:t>”。</w:t>
      </w:r>
    </w:p>
    <w:p w14:paraId="1C3490D1">
      <w:pPr>
        <w:keepNext w:val="0"/>
        <w:keepLines w:val="0"/>
        <w:pageBreakBefore w:val="0"/>
        <w:widowControl/>
        <w:numPr>
          <w:ilvl w:val="0"/>
          <w:numId w:val="0"/>
        </w:numPr>
        <w:kinsoku/>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仿宋_GB2312" w:hAnsi="仿宋_GB2312" w:eastAsia="仿宋_GB2312" w:cs="仿宋_GB2312"/>
          <w:lang w:val="en-US" w:eastAsia="zh-CN"/>
        </w:rPr>
      </w:pPr>
      <w:r>
        <w:rPr>
          <w:rFonts w:hint="eastAsia" w:ascii="仿宋_GB2312" w:hAnsi="仿宋_GB2312" w:eastAsia="仿宋_GB2312" w:cs="仿宋_GB2312"/>
          <w:color w:val="auto"/>
          <w:kern w:val="2"/>
          <w:sz w:val="32"/>
          <w:szCs w:val="32"/>
          <w:u w:val="none"/>
          <w:lang w:val="en-US" w:eastAsia="zh-CN" w:bidi="ar-SA"/>
        </w:rPr>
        <w:t>5.将第三条第（二）项中“培育一批名院名科名医”部分的“推进龙头中医医院‘筑高峰’”修改为“推进市级中医医院‘筑高峰’”。</w:t>
      </w:r>
    </w:p>
    <w:p w14:paraId="4F2303DE">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6.将第三条第（二）项中“培养引进一批高素质人才队伍”部分，“建设全国中医药技能人才培训和输出基地”中删除“依托仲景宛西、河南福森、仙草药业等龙头中医药企业和机构”。</w:t>
      </w:r>
    </w:p>
    <w:p w14:paraId="5CD0C20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color w:val="auto"/>
          <w:kern w:val="2"/>
          <w:sz w:val="32"/>
          <w:szCs w:val="32"/>
          <w:u w:val="none"/>
          <w:lang w:val="en-US" w:eastAsia="zh-CN" w:bidi="ar-SA"/>
        </w:rPr>
        <w:t>7.将第三条第（二）项中“搭建一批科研创新平台”修改为“搭建一批科研平台”；“建设中医药医教研协同创新平台”修改为“建设中医药医教协同创新平台”，该部分内容中的“本市龙头中医院、中药企业”修改为“市级中医院、中医药企业”。</w:t>
      </w:r>
    </w:p>
    <w:p w14:paraId="5C181BDC">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8.将第三条第（三）项中“种‘名药’，打造全国优质道地中药材种植基地”部分的“原产地保护认定”删除。</w:t>
      </w:r>
    </w:p>
    <w:p w14:paraId="5200895B">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9.将第三条第（三）项中“塑‘名企’，打造全</w:t>
      </w:r>
      <w:r>
        <w:rPr>
          <w:rFonts w:hint="eastAsia" w:ascii="仿宋_GB2312" w:hAnsi="仿宋_GB2312" w:eastAsia="仿宋_GB2312" w:cs="仿宋_GB2312"/>
          <w:b w:val="0"/>
          <w:bCs w:val="0"/>
          <w:color w:val="000000"/>
          <w:kern w:val="0"/>
          <w:sz w:val="32"/>
          <w:szCs w:val="32"/>
          <w:lang w:bidi="ar"/>
        </w:rPr>
        <w:t>国仲景经方现代中药生产基地</w:t>
      </w:r>
      <w:r>
        <w:rPr>
          <w:rFonts w:hint="eastAsia" w:ascii="仿宋_GB2312" w:hAnsi="仿宋_GB2312" w:eastAsia="仿宋_GB2312" w:cs="仿宋_GB2312"/>
          <w:color w:val="auto"/>
          <w:kern w:val="2"/>
          <w:sz w:val="32"/>
          <w:szCs w:val="32"/>
          <w:u w:val="none"/>
          <w:lang w:val="en-US" w:eastAsia="zh-CN" w:bidi="ar-SA"/>
        </w:rPr>
        <w:t>”内容修改为“聚焦中药材加工、仓储物流、新型中药研发、中医药装备制造、健康食品等领域，招引培育一批优质中医药企业，落地一批大项目、好项目，促进产业转型升级、提质增效，增创中医药产业新优势。建立高质量、高水平的中药饮片现代化生产基地，培育一批中医药饮片企业。大力推进中药科研项目，积极发展智能化中医药装备制造。支持中药企业开展新药研发、中药大品种二次开发。支持中医药企业申请《药品生产许可证》和《医疗器械生产许可证》”。</w:t>
      </w:r>
    </w:p>
    <w:p w14:paraId="2CA3E8BF">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10.将第三条第（三）项中“</w:t>
      </w:r>
      <w:r>
        <w:rPr>
          <w:rFonts w:hint="eastAsia" w:ascii="仿宋_GB2312" w:hAnsi="仿宋_GB2312" w:eastAsia="仿宋_GB2312" w:cs="仿宋_GB2312"/>
          <w:color w:val="auto"/>
          <w:spacing w:val="-6"/>
          <w:sz w:val="32"/>
          <w:szCs w:val="32"/>
          <w:lang w:val="en-US" w:eastAsia="zh-CN"/>
        </w:rPr>
        <w:t>建‘名园’，打造全国极具吸聚能力的现代中药产业高地”部分的“发展中医药物流，推进海王东森中医药物流园、豫西南（南阳）中药材物流基地等项目建设”修改为“</w:t>
      </w:r>
      <w:r>
        <w:rPr>
          <w:rFonts w:hint="eastAsia" w:ascii="仿宋_GB2312" w:hAnsi="仿宋_GB2312" w:eastAsia="仿宋_GB2312" w:cs="仿宋_GB2312"/>
          <w:color w:val="auto"/>
          <w:kern w:val="2"/>
          <w:sz w:val="32"/>
          <w:szCs w:val="32"/>
          <w:u w:val="none"/>
          <w:lang w:val="en-US" w:eastAsia="zh-CN" w:bidi="ar-SA"/>
        </w:rPr>
        <w:t>发展中医药物流，推进中药材物流基地项目建设”。</w:t>
      </w:r>
    </w:p>
    <w:p w14:paraId="0B8A8341">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11.将第三条第（三）项中“育‘名艾’，打造世界艾乡”部分的“用好‘南阳艾’地理标志证明商标,加快推进‘南阳艾’地理标志保护产品认证”修改为“</w:t>
      </w:r>
      <w:r>
        <w:rPr>
          <w:rFonts w:hint="eastAsia" w:ascii="仿宋_GB2312" w:hAnsi="仿宋_GB2312" w:eastAsia="仿宋_GB2312" w:cs="仿宋_GB2312"/>
          <w:color w:val="auto"/>
          <w:kern w:val="2"/>
          <w:sz w:val="32"/>
          <w:szCs w:val="32"/>
          <w:u w:val="none"/>
          <w:lang w:val="zh-CN" w:eastAsia="zh-CN" w:bidi="ar-SA"/>
        </w:rPr>
        <w:t>用好‘南阳艾’地理标志证明商标</w:t>
      </w:r>
      <w:r>
        <w:rPr>
          <w:rFonts w:hint="eastAsia" w:ascii="仿宋_GB2312" w:hAnsi="仿宋_GB2312" w:eastAsia="仿宋_GB2312" w:cs="仿宋_GB2312"/>
          <w:color w:val="auto"/>
          <w:kern w:val="2"/>
          <w:sz w:val="32"/>
          <w:szCs w:val="32"/>
          <w:u w:val="none"/>
          <w:lang w:val="en-US" w:eastAsia="zh-CN" w:bidi="ar-SA"/>
        </w:rPr>
        <w:t>和</w:t>
      </w:r>
      <w:r>
        <w:rPr>
          <w:rFonts w:hint="eastAsia" w:ascii="仿宋_GB2312" w:hAnsi="仿宋_GB2312" w:eastAsia="仿宋_GB2312" w:cs="仿宋_GB2312"/>
          <w:color w:val="auto"/>
          <w:kern w:val="2"/>
          <w:sz w:val="32"/>
          <w:szCs w:val="32"/>
          <w:u w:val="none"/>
          <w:lang w:val="zh-CN" w:eastAsia="zh-CN" w:bidi="ar-SA"/>
        </w:rPr>
        <w:t>‘南阳艾’</w:t>
      </w:r>
      <w:r>
        <w:rPr>
          <w:rFonts w:hint="eastAsia" w:ascii="仿宋_GB2312" w:hAnsi="仿宋_GB2312" w:eastAsia="仿宋_GB2312" w:cs="仿宋_GB2312"/>
          <w:color w:val="auto"/>
          <w:kern w:val="2"/>
          <w:sz w:val="32"/>
          <w:szCs w:val="32"/>
          <w:u w:val="none"/>
          <w:lang w:val="en-US" w:eastAsia="zh-CN" w:bidi="ar-SA"/>
        </w:rPr>
        <w:t>地理标志产品，强化</w:t>
      </w:r>
      <w:r>
        <w:rPr>
          <w:rFonts w:hint="eastAsia" w:ascii="仿宋_GB2312" w:hAnsi="仿宋_GB2312" w:eastAsia="仿宋_GB2312" w:cs="仿宋_GB2312"/>
          <w:color w:val="auto"/>
          <w:kern w:val="2"/>
          <w:sz w:val="32"/>
          <w:szCs w:val="32"/>
          <w:u w:val="none"/>
          <w:lang w:val="zh-CN" w:eastAsia="zh-CN" w:bidi="ar-SA"/>
        </w:rPr>
        <w:t>‘南阳艾’</w:t>
      </w:r>
      <w:r>
        <w:rPr>
          <w:rFonts w:hint="eastAsia" w:ascii="仿宋_GB2312" w:hAnsi="仿宋_GB2312" w:eastAsia="仿宋_GB2312" w:cs="仿宋_GB2312"/>
          <w:color w:val="auto"/>
          <w:kern w:val="2"/>
          <w:sz w:val="32"/>
          <w:szCs w:val="32"/>
          <w:u w:val="none"/>
          <w:lang w:val="en-US" w:eastAsia="zh-CN" w:bidi="ar-SA"/>
        </w:rPr>
        <w:t>知识产权保护”。</w:t>
      </w:r>
    </w:p>
    <w:p w14:paraId="3FF765A1">
      <w:pPr>
        <w:keepNext w:val="0"/>
        <w:keepLines w:val="0"/>
        <w:pageBreakBefore w:val="0"/>
        <w:numPr>
          <w:ilvl w:val="0"/>
          <w:numId w:val="0"/>
        </w:numPr>
        <w:kinsoku/>
        <w:wordWrap/>
        <w:overflowPunct/>
        <w:bidi w:val="0"/>
        <w:spacing w:line="560" w:lineRule="exact"/>
        <w:ind w:firstLine="640" w:firstLineChars="200"/>
        <w:jc w:val="left"/>
        <w:rPr>
          <w:rFonts w:hint="default" w:ascii="仿宋_GB2312" w:hAnsi="仿宋_GB2312" w:eastAsia="仿宋_GB2312" w:cs="仿宋_GB2312"/>
          <w:color w:val="auto"/>
          <w:kern w:val="2"/>
          <w:sz w:val="32"/>
          <w:szCs w:val="32"/>
          <w:highlight w:val="none"/>
          <w:u w:val="none"/>
          <w:lang w:val="en-US" w:eastAsia="zh-CN" w:bidi="ar-SA"/>
        </w:rPr>
      </w:pPr>
      <w:r>
        <w:rPr>
          <w:rFonts w:hint="eastAsia" w:ascii="仿宋_GB2312" w:hAnsi="仿宋_GB2312" w:eastAsia="仿宋_GB2312" w:cs="仿宋_GB2312"/>
          <w:color w:val="auto"/>
          <w:kern w:val="2"/>
          <w:sz w:val="32"/>
          <w:szCs w:val="32"/>
          <w:highlight w:val="none"/>
          <w:u w:val="none"/>
          <w:lang w:val="en-US" w:eastAsia="zh-CN" w:bidi="ar-SA"/>
        </w:rPr>
        <w:t>12.将第四条第（一）项“加强组织领导”部分内容删除。</w:t>
      </w:r>
    </w:p>
    <w:p w14:paraId="315DE03C">
      <w:pPr>
        <w:keepNext w:val="0"/>
        <w:keepLines w:val="0"/>
        <w:pageBreakBefore w:val="0"/>
        <w:widowControl w:val="0"/>
        <w:numPr>
          <w:ilvl w:val="0"/>
          <w:numId w:val="0"/>
        </w:numPr>
        <w:kinsoku/>
        <w:wordWrap/>
        <w:overflowPunct/>
        <w:autoSpaceDE/>
        <w:bidi w:val="0"/>
        <w:adjustRightInd/>
        <w:snapToGrid/>
        <w:spacing w:before="0" w:beforeLines="0" w:after="0" w:afterLines="0" w:line="560" w:lineRule="exact"/>
        <w:ind w:right="0" w:rightChars="0" w:firstLine="640" w:firstLineChars="200"/>
        <w:jc w:val="left"/>
        <w:textAlignment w:val="baseline"/>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五、《南阳市人民政府办公室关于转发南阳市财政局等四部门南阳市出口退税周转金管理办法的通知》（宛政办〔2019〕27号）</w:t>
      </w:r>
    </w:p>
    <w:p w14:paraId="5FE3BE55">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1.将第一条引用文件修改为“为贯彻落实河南省支持外贸外资外经企业发展相关文件精神”。</w:t>
      </w:r>
    </w:p>
    <w:p w14:paraId="75F55502">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2.第二条补充文件依据,修改为“依据《河南省商务厅 河南省财政厅关于开展“稳外贸”政策创新试点的通知》(豫商贸发〔2019〕6号)、《河南省商务厅 河南省财政厅关于同意南阳市开展“稳外贸”政策创新试点的批复》（豫商外贸〔2019〕6号）、《河南省财政厅 河南省商务厅关于印发&lt;“稳外贸”财政金融政策措施省级奖励资金实施方案&gt;的通知》（豫财办〔2020〕29号）、《河南省财政厅 河南省商务厅关于进一步支持“稳外贸”财政政策措施的通知》（豫财贸〔2023〕60号）等文件要求”。</w:t>
      </w:r>
    </w:p>
    <w:p w14:paraId="236B60B6">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3.将第四条中“委托南阳市产业投资集团有限公司作为退税周转金的运营机构”修改为“委托相关机构作为退税周转金的运营机构”。</w:t>
      </w:r>
    </w:p>
    <w:p w14:paraId="206E23BB">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4.将第七条“南阳产业投资集团有限公司是南阳市出口退税周转金的受托运营机构，具体负责退税周转金的日常管理和核算”修改为“周转金运营机构</w:t>
      </w:r>
      <w:r>
        <w:rPr>
          <w:rFonts w:hint="eastAsia" w:ascii="仿宋_GB2312" w:hAnsi="仿宋_GB2312" w:eastAsia="仿宋_GB2312" w:cs="仿宋_GB2312"/>
          <w:sz w:val="32"/>
          <w:szCs w:val="32"/>
        </w:rPr>
        <w:t>具体负责退税周转金的日常管理和核算</w:t>
      </w:r>
      <w:r>
        <w:rPr>
          <w:rFonts w:hint="eastAsia" w:ascii="仿宋_GB2312" w:hAnsi="仿宋_GB2312" w:eastAsia="仿宋_GB2312" w:cs="仿宋_GB2312"/>
          <w:color w:val="auto"/>
          <w:kern w:val="2"/>
          <w:sz w:val="32"/>
          <w:szCs w:val="32"/>
          <w:u w:val="none"/>
          <w:lang w:val="en-US" w:eastAsia="zh-CN" w:bidi="ar-SA"/>
        </w:rPr>
        <w:t>”。</w:t>
      </w:r>
    </w:p>
    <w:p w14:paraId="3DBD0E3D">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5.将第八条修改为“申请出口退税周转金的企业必须同时满足以下条件：(一)依法开展自营出口业务的企业，在税务部门进行出口退税备案，经营管理规范，成长性较好。(二)有出口业绩，财务管理体制健全，收汇和退税合理正常，有稳定清晰的产品、资金流和货物流。(三)接受商务部门业务指导、财政部门财务监督，银行信用较好，无不良贷款记录，无偷税、骗税等违法违规行为，且在税务部门认定为合规的自营出口企业”。</w:t>
      </w:r>
    </w:p>
    <w:p w14:paraId="10331E79">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6.将第十一条修改为“出口退税周转金使用期限由运营机构结合出口企业实际情况调整，申请额度原则上最高不超过1000万元”。</w:t>
      </w:r>
    </w:p>
    <w:p w14:paraId="33C0AE49">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7.将第十二条修改为“出口退税周转金实行有偿使用。由需要使用出口退税周转金的企业向周转金运营机构按资金使用时间缴纳使用费，六个月内(含),按中国人民银行授权全国银行间同业拆借中心公布的一年期贷款市场报价利率（LPR）为基准缴纳使用费。借款企业如未按期偿还退税周转金，由周转金运营机构每日按照合同成立时LPR的4倍对逾期未还本金收取违约金。借款企业还款时应优先偿还本金，以确保资金池资金充足。除此之外，周转金运营机构不得向企业收取其他任何费用”。</w:t>
      </w:r>
    </w:p>
    <w:p w14:paraId="4AB31D6C">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8.将第十三条第一款第（四）项修改为“申请周转金企业控股股东提供的连带责任担保书（控股股东为法人的，应同时提供符合控股公司章程的、同意担保的董事会或者股东会决议）”。</w:t>
      </w:r>
    </w:p>
    <w:p w14:paraId="5A5CA0D1">
      <w:pPr>
        <w:keepNext w:val="0"/>
        <w:keepLines w:val="0"/>
        <w:pageBreakBefore w:val="0"/>
        <w:numPr>
          <w:ilvl w:val="0"/>
          <w:numId w:val="0"/>
        </w:numPr>
        <w:kinsoku/>
        <w:wordWrap/>
        <w:overflowPunct/>
        <w:bidi w:val="0"/>
        <w:spacing w:line="560" w:lineRule="exact"/>
        <w:ind w:firstLine="640" w:firstLineChars="200"/>
        <w:jc w:val="left"/>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9.第十九条增加第二款“市商务局和市财政局应根据预算绩效管理相关规定，按照职责分工对出口退税周转金组织实施全过程预算绩效管理，强化绩效目标管理，做好绩效运行监控和绩效评价，并加强绩效评价结果运用。评价结果作为预算安排、政策调整、改进管理的重要依据”。</w:t>
      </w:r>
    </w:p>
    <w:p w14:paraId="0F44EB09">
      <w:pPr>
        <w:keepNext w:val="0"/>
        <w:keepLines w:val="0"/>
        <w:pageBreakBefore w:val="0"/>
        <w:numPr>
          <w:ilvl w:val="0"/>
          <w:numId w:val="0"/>
        </w:numPr>
        <w:kinsoku/>
        <w:wordWrap/>
        <w:overflowPunct/>
        <w:bidi w:val="0"/>
        <w:spacing w:line="560" w:lineRule="exact"/>
        <w:ind w:firstLine="640" w:firstLineChars="200"/>
        <w:jc w:val="left"/>
        <w:rPr>
          <w:rFonts w:hint="default" w:ascii="黑体" w:hAnsi="黑体" w:eastAsia="黑体" w:cs="黑体"/>
          <w:b w:val="0"/>
          <w:bCs w:val="0"/>
          <w:color w:val="auto"/>
          <w:sz w:val="32"/>
          <w:szCs w:val="32"/>
          <w:lang w:val="en-US" w:eastAsia="zh-CN"/>
        </w:rPr>
      </w:pPr>
      <w:r>
        <w:rPr>
          <w:rFonts w:hint="eastAsia" w:ascii="仿宋_GB2312" w:hAnsi="仿宋_GB2312" w:eastAsia="仿宋_GB2312" w:cs="仿宋_GB2312"/>
          <w:color w:val="auto"/>
          <w:kern w:val="2"/>
          <w:sz w:val="32"/>
          <w:szCs w:val="32"/>
          <w:u w:val="none"/>
          <w:lang w:val="en-US" w:eastAsia="zh-CN" w:bidi="ar-SA"/>
        </w:rPr>
        <w:t>10.将第二十二条修改为“本办法由市商务局会同市财政局、南阳海关、市税务局负责解释，并根据运营情况适时调整”。</w:t>
      </w:r>
    </w:p>
    <w:p w14:paraId="09B1F4D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六、《南阳市人民政府办公室关于印发中国（河南）自由贸易试验区南阳联动创新区实施方案的通知》（</w:t>
      </w:r>
      <w:r>
        <w:rPr>
          <w:rFonts w:hint="eastAsia" w:ascii="黑体" w:hAnsi="黑体" w:eastAsia="黑体" w:cs="黑体"/>
          <w:sz w:val="32"/>
          <w:szCs w:val="32"/>
          <w:lang w:val="en-US" w:eastAsia="en-US"/>
        </w:rPr>
        <w:t>宛政办文〔2024〕19号</w:t>
      </w:r>
      <w:r>
        <w:rPr>
          <w:rFonts w:hint="eastAsia" w:ascii="黑体" w:hAnsi="黑体" w:eastAsia="黑体" w:cs="黑体"/>
          <w:sz w:val="32"/>
          <w:szCs w:val="32"/>
          <w:lang w:val="en-US" w:eastAsia="zh-CN"/>
        </w:rPr>
        <w:t>）</w:t>
      </w:r>
    </w:p>
    <w:p w14:paraId="07A0E1B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将首段修改为“为全面贯彻落实《河南省人民政府关于设立中国（河南）自由贸易试验区联动创新区的批复》(豫政文〔2023〕188号)和《关于印发航空港联动创新区等8个河南自贸试验区联动创新区总体方案的函》（豫自贸组办函〔2023〕2号）,加快推进中国(河南)自由贸易试验区南阳联动创新区(以下简称南阳联动创新区)建设，结合我市实际，特制定本实施方案”。</w:t>
      </w:r>
    </w:p>
    <w:p w14:paraId="04D5850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2.将第一条第（一）项中“全面贯彻落实党的二十大精神”修改为“全面贯彻落实党的二十大和二十届二中、三中、四中全会精神”。</w:t>
      </w:r>
    </w:p>
    <w:p w14:paraId="252AB30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3.将第二条第（一）项标题修改为“切实转变政府职能，支持南阳联动创新区打造透明高效政务体系”。</w:t>
      </w:r>
    </w:p>
    <w:p w14:paraId="4FAFD28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4.将第二条第（一）项中“推进行政审批标准化、高效化”</w:t>
      </w:r>
      <w:r>
        <w:rPr>
          <w:rFonts w:hint="eastAsia" w:ascii="仿宋_GB2312" w:hAnsi="仿宋_GB2312" w:cs="仿宋_GB2312"/>
          <w:snapToGrid w:val="0"/>
          <w:color w:val="auto"/>
          <w:kern w:val="0"/>
          <w:sz w:val="32"/>
          <w:szCs w:val="32"/>
          <w:u w:val="none"/>
          <w:lang w:val="en-US" w:eastAsia="zh-CN" w:bidi="ar-SA"/>
        </w:rPr>
        <w:t>的</w:t>
      </w:r>
      <w:r>
        <w:rPr>
          <w:rFonts w:hint="eastAsia" w:ascii="仿宋_GB2312" w:hAnsi="仿宋_GB2312" w:eastAsia="仿宋_GB2312" w:cs="仿宋_GB2312"/>
          <w:snapToGrid w:val="0"/>
          <w:color w:val="auto"/>
          <w:kern w:val="0"/>
          <w:sz w:val="32"/>
          <w:szCs w:val="32"/>
          <w:u w:val="none"/>
          <w:lang w:val="en-US" w:eastAsia="zh-CN" w:bidi="ar-SA"/>
        </w:rPr>
        <w:t>内容修改为“</w:t>
      </w:r>
      <w:r>
        <w:rPr>
          <w:rFonts w:hint="eastAsia" w:ascii="仿宋_GB2312" w:hAnsi="仿宋_GB2312" w:eastAsia="仿宋_GB2312" w:cs="仿宋_GB2312"/>
          <w:color w:val="auto"/>
          <w:sz w:val="32"/>
          <w:szCs w:val="32"/>
          <w:lang w:val="en-US" w:eastAsia="zh-CN"/>
        </w:rPr>
        <w:t>以高效审批为导向，</w:t>
      </w:r>
      <w:r>
        <w:rPr>
          <w:rFonts w:hint="eastAsia" w:ascii="仿宋_GB2312" w:hAnsi="仿宋_GB2312" w:eastAsia="仿宋_GB2312" w:cs="仿宋_GB2312"/>
          <w:b w:val="0"/>
          <w:bCs w:val="0"/>
          <w:color w:val="auto"/>
          <w:sz w:val="32"/>
          <w:szCs w:val="32"/>
          <w:u w:val="none"/>
          <w:lang w:val="en-US" w:eastAsia="zh-CN"/>
        </w:rPr>
        <w:t>探索相对集中的行政许可权模式，以综保片区、高新片区为依托，在法定职责范围内</w:t>
      </w:r>
      <w:r>
        <w:rPr>
          <w:rFonts w:hint="eastAsia" w:ascii="仿宋_GB2312" w:hAnsi="仿宋_GB2312" w:eastAsia="仿宋_GB2312" w:cs="仿宋_GB2312"/>
          <w:color w:val="auto"/>
          <w:sz w:val="32"/>
          <w:szCs w:val="32"/>
          <w:lang w:val="en-US" w:eastAsia="zh-CN"/>
        </w:rPr>
        <w:t>承接好省下放或委托实施的部分权限。持续优化完善‘一口受理’‘多项联办’等机制，实施行政审批清单管理并及时进行动态调整，做到‘清单之外无审批’”。</w:t>
      </w:r>
    </w:p>
    <w:p w14:paraId="0FC1E32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5.将第二条第（一）项中“建立包容期管理、容错管理监管机制”部分的“建设适应现代化产业发展的国际化法律服务保障体系，深化公共法律服务体系建设，推动涉外律师事务所建设，强化对律师涉外业务培训”，修改为“深化公共法律服务体系建设，强化涉外业务能力提升，加大涉外律师人才培养力度，积极选派优秀涉外律师人才参加省司法厅组织的各种涉外业务培训、论坛等。积极引进国内具有涉外业务经验的优质律师事务所到我市设立分所，支持我市律师事务所与港澳律师事务所开展合伙联营”。</w:t>
      </w:r>
    </w:p>
    <w:p w14:paraId="2EB600E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6.将第二条第（二）项中“促进投资便利化”的内容修改为“深化企业投资项目承诺制改革，协同推进‘多规合一’‘区域评估’‘联合审验’等改革创新，发挥改革集成叠加效应。着力引进和培育具有高附加值的区域性总部及研发、销售、物流、结算等功能性机构。探索对药品经营许可、第二类医疗器械经营备案、医疗器械网络销售备案等关联审批事项实施标准化、集成化的‘融合’办理模式。按照医疗机构准入条件，支持符合资质要求的医疗人才和经科学验证的先进医疗技术依法依规进入市场。持续优化营商环境，保障各类市场主体平等准入、公平竞争”。</w:t>
      </w:r>
    </w:p>
    <w:p w14:paraId="4B32054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7.将第二条第（二）项中“积极扩大利用外资规模”部分的“争取更多的世界500强企业和大商名企来宛投资兴业”修改为“鼓励各类优质企业来宛投资兴业”，责任单位“行政审批和政务信息管理局”删除。</w:t>
      </w:r>
    </w:p>
    <w:p w14:paraId="291485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8.将第二条第（三）项中的责任单位“南阳车务段”删除；“培育发展枢纽经济”部分的责任单位中增加“南阳铁路航空事业投资集团有限公司”。</w:t>
      </w:r>
    </w:p>
    <w:p w14:paraId="032907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9.将第二条第（四）项标题修改为“发挥仲景品牌优势，促进中医药传承创新”。</w:t>
      </w:r>
    </w:p>
    <w:p w14:paraId="1E79501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10.将第二条第（四）项中“</w:t>
      </w:r>
      <w:r>
        <w:rPr>
          <w:rFonts w:hint="eastAsia" w:ascii="仿宋_GB2312" w:hAnsi="仿宋_GB2312" w:eastAsia="仿宋_GB2312" w:cs="仿宋_GB2312"/>
          <w:color w:val="auto"/>
          <w:sz w:val="32"/>
          <w:szCs w:val="32"/>
        </w:rPr>
        <w:t>完善中医药服务平台体系</w:t>
      </w:r>
      <w:r>
        <w:rPr>
          <w:rFonts w:hint="eastAsia" w:ascii="仿宋_GB2312" w:hAnsi="仿宋_GB2312" w:eastAsia="仿宋_GB2312" w:cs="仿宋_GB2312"/>
          <w:snapToGrid w:val="0"/>
          <w:color w:val="auto"/>
          <w:kern w:val="0"/>
          <w:sz w:val="32"/>
          <w:szCs w:val="32"/>
          <w:u w:val="none"/>
          <w:lang w:val="en-US" w:eastAsia="zh-CN" w:bidi="ar-SA"/>
        </w:rPr>
        <w:t>”部分的“积极申建南阳中药材交易中心，推动以“南阳艾”为代表的道地药材大宗交易。建设中药贸易公共信息平台，健全中药产品生产流通全过程质量管理和质量追溯体系”修改为“科学规划建设开放、共享的南阳中药材交易市场（中心），积极推动以‘南阳艾’等道地药材为代表的大宗交易，促进区域中药材资源高效流通。支持并引导建立健全符合国家标准、兼容现有体系、运行高效的中药产品生产流通全过程质量追溯体系，鼓励各类市场主体自愿接入，保障药材质量安全与市场公平竞争”。</w:t>
      </w:r>
    </w:p>
    <w:p w14:paraId="70A1AB3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11.将第二条第（四）项中“加强中医药科研创新”的内容修改为“充分发挥省中医药科学院南阳核心基地的科研引领与平台支撑作用，鼓励和支持各类符合条件的医药企业与其开展合作。通过开放合作机制，联合共建高水平中医药重点实验室，开展相关研究，共同推动现代中医药研发公共服务平台提质增效。积极承接国家、省级高水平科研项目，公平开放项目参与渠道，系统开展仲景经方和针灸技术的临床研究与应用推广。支持并推动在广泛征求行业意见、凝聚共识的基础上，科学制定艾草等中药材的行业标准，促进产业规范发展”。</w:t>
      </w:r>
    </w:p>
    <w:p w14:paraId="753DAB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12.将第二条第（四）项中“推动中医药国际交流合作”部分的“利用博济医药的公共服务和研发中试优势，重点招引现代中药、生物医药、智慧医疗等相关项目，助力生物医药产业加速发展。依托传美、仲源艾城等，招引一批引领带动能力强、发展前景好的优质企业，促进产业集群集聚”，修改为“招引现代中药、生物医药、智慧医疗等相关项目，助力生物医药产业加速发展，促进产业集群集聚”。</w:t>
      </w:r>
    </w:p>
    <w:p w14:paraId="6314E83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13.将第二条第（五）项中“壮大数字光电产业”的内容修改为“立足本地光电产业基础优势，聚焦3D视觉传感器、车载视觉模组等核心环节，制定精准的产业配套招引清单和政策。积极吸引具备智能感知模组生产能力的优质企业投资布局，推动光学镜头与机器人本体等领域的集成应用创新。整合科研力量打造开放共享的公共技术研发平台，为各类市场主体提供普惠性研发、测试等技术支持服务。鼓励和支持企业加大研发投入，通过公平竞争机制承接和落地重大科技专项，加快形成以新质生产力为支撑、协同发展的光电产业集群。鼓励发展高纯度光学材料等基础领域，突破‘热加工’等关键工艺技术以提升产品附加值，支持产业链中组件环节企业进行智能化设备升级和模块化生产改造，促进产业链上下游企业深化合作。拓展光学产品在工业、医疗等领域的多元化应用场景，培育壮大光学应用服务业。通过技术协同创新、产业生态优化、区域平台联动，主动对接融入郑州智能传感器产业集群，共同构建开放合作的‘车载光学—自动驾驶’跨界融合创新生态”。</w:t>
      </w:r>
    </w:p>
    <w:p w14:paraId="1853578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14.将第二条第（五）项中“提质防爆装备产业”的内容修改为“发挥龙头企业的引领带动作用，推动防爆装备制造业深化工业互联网应用，优化营商环境，吸引产业链上下游优质资源向南阳集聚。支持符合条件的防爆装备龙头企业加快建设电驱产业园、高效清洁能源电机、防爆智能装备生产基地等项目，促进产业链协同发展，提升全球资源配置能力。积极引进具备电子元件、机械零部件等领域先进技术与产能的优质项目，弥补上游关键配套产业短板，逐步建强产业链。支持建设区域性防爆产业数字服务平台，打造全国性防爆智能服务中心，为行业提供开放、共享的数字化整体解决方案和全产业链数字智能服务，推动防爆装备产业优势再造”。</w:t>
      </w:r>
    </w:p>
    <w:p w14:paraId="4D38CCA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15.将第二条第（五）项中“加速新能源产业布局”部分全部删除。</w:t>
      </w:r>
    </w:p>
    <w:p w14:paraId="7409E82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16.将第二条第（六）项中“加快发展跨境电商”部分的“支持中医药、装备制造、绿色食品等优势企业”修改为“支持符合条件的企业”。</w:t>
      </w:r>
    </w:p>
    <w:p w14:paraId="60DC515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17.将第二条第（七）项中“探索与“一带一路”沿线重点国家的国际产能合作”部分的“中药材”修改为“中医药”，“推进大型企业与海外企业开展国际产能合作”修改为“推进各类规模企业与海外企业开展国际产能合作”。</w:t>
      </w:r>
    </w:p>
    <w:p w14:paraId="15585FE4">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18.将第三条第（一）项标题修改为“加强组织实施”；成员单位中的“南阳车务段”删除；“市政府分管自由贸易试验区工作的副市长担任联席会议召集人”修改为“市政府分管自由贸易试验区工作的领导同志担任联席会议召集人”。</w:t>
      </w:r>
    </w:p>
    <w:p w14:paraId="568B643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19.第三条第（三）项标题修改为“营造良好环境”。</w:t>
      </w:r>
    </w:p>
    <w:p w14:paraId="74F4F6A2">
      <w:pPr>
        <w:keepNext w:val="0"/>
        <w:keepLines w:val="0"/>
        <w:pageBreakBefore w:val="0"/>
        <w:widowControl w:val="0"/>
        <w:kinsoku/>
        <w:wordWrap/>
        <w:overflowPunct/>
        <w:topLinePunct/>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napToGrid w:val="0"/>
          <w:color w:val="auto"/>
          <w:kern w:val="0"/>
          <w:sz w:val="32"/>
          <w:szCs w:val="32"/>
          <w:u w:val="none"/>
          <w:lang w:val="en-US" w:eastAsia="zh-CN" w:bidi="ar-SA"/>
        </w:rPr>
      </w:pPr>
      <w:r>
        <w:rPr>
          <w:rFonts w:hint="eastAsia" w:ascii="仿宋_GB2312" w:hAnsi="仿宋_GB2312" w:eastAsia="仿宋_GB2312" w:cs="仿宋_GB2312"/>
          <w:snapToGrid w:val="0"/>
          <w:color w:val="auto"/>
          <w:kern w:val="0"/>
          <w:sz w:val="32"/>
          <w:szCs w:val="32"/>
          <w:u w:val="none"/>
          <w:lang w:val="en-US" w:eastAsia="zh-CN" w:bidi="ar-SA"/>
        </w:rPr>
        <w:t>此外，对上述涉及条款删减的行政规范性文件的条文顺序和标点符号作相应调整。</w:t>
      </w:r>
    </w:p>
    <w:p w14:paraId="798084C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B94D8C"/>
    <w:rsid w:val="0CB94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semiHidden/>
    <w:qFormat/>
    <w:uiPriority w:val="0"/>
    <w:rPr>
      <w:rFonts w:ascii="仿宋" w:hAnsi="仿宋" w:eastAsia="仿宋" w:cs="仿宋"/>
      <w:sz w:val="31"/>
      <w:szCs w:val="31"/>
      <w:lang w:val="en-US" w:eastAsia="en-US" w:bidi="ar-SA"/>
    </w:rPr>
  </w:style>
  <w:style w:type="paragraph" w:customStyle="1" w:styleId="3">
    <w:name w:val="Default"/>
    <w:qFormat/>
    <w:uiPriority w:val="99"/>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6">
    <w:name w:val="Normal Indent1"/>
    <w:basedOn w:val="1"/>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2026-02-06T02:17:00Z</dcterms:created>
  <dc:creator>zkyyyy</dc:creator>
  <cp:lastModifiedBy>zkyyyy</cp:lastModifiedBy>
  <dcterms:modified xsi:type="dcterms:W3CDTF">2026-02-06T02:18:00Z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7C5E6258D181433CAD39668DB094C01A_11</vt:lpwstr>
  </property>
  <property fmtid="{D5CDD505-2E9C-101B-9397-08002B2CF9AE}" pid="4" name="KSOTemplateDocerSaveRecord">
    <vt:lpwstr>eyJoZGlkIjoiNmU5MGVmOThhYzdlNWRiMTY3ZWZiMjY5OWVlNjk5NWYiLCJ1c2VySWQiOiIzODI2MDExMzIifQ==</vt:lpwstr>
  </property>
</Properties>
</file>