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94189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2D79C168">
      <w:pPr>
        <w:pStyle w:val="2"/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highlight w:val="none"/>
        </w:rPr>
        <w:t>第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WL18—C4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街坊等1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sz w:val="36"/>
          <w:szCs w:val="36"/>
          <w:highlight w:val="none"/>
        </w:rPr>
        <w:t>个</w:t>
      </w:r>
      <w:r>
        <w:rPr>
          <w:rFonts w:hint="eastAsia" w:ascii="黑体" w:hAnsi="黑体" w:eastAsia="黑体" w:cs="黑体"/>
          <w:sz w:val="36"/>
          <w:szCs w:val="36"/>
        </w:rPr>
        <w:t>区域控制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性详细规划主要控制指标</w:t>
      </w:r>
    </w:p>
    <w:tbl>
      <w:tblPr>
        <w:tblStyle w:val="4"/>
        <w:tblW w:w="15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250"/>
        <w:gridCol w:w="2640"/>
        <w:gridCol w:w="9723"/>
      </w:tblGrid>
      <w:tr w14:paraId="38578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993B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B413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规划名称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D2AE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规划基本情况</w:t>
            </w:r>
          </w:p>
        </w:tc>
        <w:tc>
          <w:tcPr>
            <w:tcW w:w="9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87FF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主要控制指标</w:t>
            </w:r>
          </w:p>
        </w:tc>
      </w:tr>
      <w:tr w14:paraId="3C10F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atLeast"/>
          <w:jc w:val="center"/>
        </w:trPr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0C1F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51BA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卧龙区工业路以东、光武大道以北区域（第WL18-C4街坊）控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制性详细规划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A9E3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该规划位于工业路以东、汉冶路以南、人民路以西、光武大道以北区域，规划总用地面积约422.013亩（用地面积以实测为准）。</w:t>
            </w:r>
          </w:p>
        </w:tc>
        <w:tc>
          <w:tcPr>
            <w:tcW w:w="9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9487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169.998亩，其中WL18-C4-2、WL18-C4-12地块容积率不小于1.0且不大于2.5，建筑密度不大于22%，建筑限高80米，绿地率不小于35%；WL18-C4-1地块为已批项目，按规划条件执行；WL18-C4-3、WL18-C4-4、WL18-C4-15、WL18-C4-16、WL18-C4-17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机关团体用地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约21.255亩，容积率不大于2.0，建筑密度不大于35%，建筑限高24米，绿地率不小于35%。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约54.934亩，容积率不大于1.0，建筑密度不大于35%，建筑限高36米，绿地率不小于35%。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公用设施营业网点用地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约2.206亩，容积率不小于0.1且不大于0.3，建筑密度不大于30%，建筑限高15米，绿地率不小于20%。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约43.622亩，容积率不大于0.1，建筑密度不大于5%，建筑限高12米，绿地率不小于65%。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约0.885亩，容积率不大于0.05，建筑密度不大于1%，建筑限高12米，绿地率不小于85%。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约13.999亩。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约115.114亩。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各类用地面积以实测为准。</w:t>
            </w:r>
          </w:p>
        </w:tc>
      </w:tr>
      <w:tr w14:paraId="683F7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753" w:type="dxa"/>
            <w:noWrap w:val="0"/>
            <w:vAlign w:val="center"/>
          </w:tcPr>
          <w:p w14:paraId="756C17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50" w:type="dxa"/>
            <w:noWrap w:val="0"/>
            <w:vAlign w:val="center"/>
          </w:tcPr>
          <w:p w14:paraId="3D47694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卧龙区蒲山镇郑南高速以东、电厂路以北区域控制性详细规划</w:t>
            </w:r>
          </w:p>
        </w:tc>
        <w:tc>
          <w:tcPr>
            <w:tcW w:w="2640" w:type="dxa"/>
            <w:noWrap w:val="0"/>
            <w:vAlign w:val="center"/>
          </w:tcPr>
          <w:p w14:paraId="79EB11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位于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郑南高速以东、电厂路以北区域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，规划总用地面积约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587.020亩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20D76EB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二类工业/二类物流仓储用地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约522.285亩，容积率不小于1.0，建筑系数不小于40%，建筑限高50米，绿地率不小于12%且不大于20%。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约23.787亩，容积率不大于0.3，建筑密度不大于35%，建筑限高24米，绿地率不小于20%。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约14.399亩，容积率不大于0.05，建筑密度不大于1%，建筑限高12米，绿地率不小于85%。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约26.549亩。各类用地面积以实测为准。</w:t>
            </w:r>
          </w:p>
        </w:tc>
      </w:tr>
      <w:tr w14:paraId="19C81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  <w:jc w:val="center"/>
        </w:trPr>
        <w:tc>
          <w:tcPr>
            <w:tcW w:w="753" w:type="dxa"/>
            <w:noWrap w:val="0"/>
            <w:vAlign w:val="center"/>
          </w:tcPr>
          <w:p w14:paraId="7661FA2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50" w:type="dxa"/>
            <w:noWrap w:val="0"/>
            <w:vAlign w:val="center"/>
          </w:tcPr>
          <w:p w14:paraId="5FC3BA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卧龙区光武大道以北、龙腾路以东区域（第WL38-E6街坊）控制性详细规划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723A8F7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该规划位于光武大道以北、龙腾路以东区域，规划总用地面积约116.082亩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796214D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科研用地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约41.899亩，容积率不小于0.8且不大于2.0，建筑密度不大于35%，建筑限高45米，绿地率不小于35%。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约14.499亩，容积率不小于1.0且不大于2.5，建筑密度不大于35%，建筑限高45米，绿地率不小于30%。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公用设施营业网点用地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约1.910亩，容积率不小于0.1且不大于0.3，建筑密度不大于30%，建筑限高15米，绿地率不小于20%。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约4.105亩，容积率不大于0.1，建筑密度不大于5%，建筑限高12米，绿地率不小于65%。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约15.956亩，容积率不大于0.05，建筑密度不大于1%，建筑限高12米，绿地率不小于85%。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约37.713亩。各类用地面积以实测为准。</w:t>
            </w:r>
          </w:p>
        </w:tc>
      </w:tr>
      <w:tr w14:paraId="1997C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  <w:jc w:val="center"/>
        </w:trPr>
        <w:tc>
          <w:tcPr>
            <w:tcW w:w="753" w:type="dxa"/>
            <w:noWrap w:val="0"/>
            <w:vAlign w:val="center"/>
          </w:tcPr>
          <w:p w14:paraId="79BC73E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50" w:type="dxa"/>
            <w:noWrap w:val="0"/>
            <w:vAlign w:val="center"/>
          </w:tcPr>
          <w:p w14:paraId="49AA256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卧龙区雪枫路以南、北京大道以西区域（第WL34-B3街坊）控制性详细规划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41DE186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该规划位于雪枫路以南、北京大道以西区域，规划总用地面积约592.752亩（用地面积以实测为准）。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21872021">
            <w:pPr>
              <w:ind w:firstLine="482" w:firstLineChars="200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sz w:val="24"/>
                <w:szCs w:val="24"/>
                <w:highlight w:val="none"/>
              </w:rPr>
              <w:t>高等教育用地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约436.443亩，容积率不大于1.3，建筑密度不大于22%，建筑限高80米，绿地率不小于35%。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sz w:val="24"/>
                <w:szCs w:val="24"/>
                <w:highlight w:val="none"/>
              </w:rPr>
              <w:t>公园绿地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约55.289亩，容积率不大于0.1，建筑密度不大于5%，建筑限高12米，绿地率不小于65%。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sz w:val="24"/>
                <w:szCs w:val="24"/>
                <w:highlight w:val="none"/>
              </w:rPr>
              <w:t>城镇村道路用地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highlight w:val="none"/>
              </w:rPr>
              <w:t>约101.020亩。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6A6B5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0" w:hRule="atLeast"/>
          <w:jc w:val="center"/>
        </w:trPr>
        <w:tc>
          <w:tcPr>
            <w:tcW w:w="753" w:type="dxa"/>
            <w:noWrap w:val="0"/>
            <w:vAlign w:val="center"/>
          </w:tcPr>
          <w:p w14:paraId="737CED8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50" w:type="dxa"/>
            <w:noWrap w:val="0"/>
            <w:vAlign w:val="center"/>
          </w:tcPr>
          <w:p w14:paraId="4A2FA50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宛城区孔明大道以南、独山大道以西区域（第WQ12-D4街坊）控制性详细规划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7ECD7BB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该规划位于药都大街以东、孔明大道以南、独山大道以西、校场路以北区域，规划总用地面积约99.991亩（用地面积以实测为准）。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0DEEFB3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约56.110亩，其中WQ12-D4-5地块容积率不小于1.0且不大于1.9，建筑密度不大于30%，建筑限高36米，绿地率不小于35%；WQ12-D4-2地块容积率不小于1.0且不大于3.6（按市问题楼盘处置化解办化解历史遗留问题相关意见执行），建筑密度不大于22%，建筑限高80米，绿地率不小于35%；WQ12-D4-3地块为问题楼盘，按相关文件执行；WQ12-D4-4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约10.813亩，容积率不大于0.1，建筑密度不大于5%，建筑限高12米，绿地率不小于65%。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约33.068亩。各类用地面积以实测为准。</w:t>
            </w:r>
          </w:p>
        </w:tc>
      </w:tr>
      <w:tr w14:paraId="07790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4" w:hRule="atLeast"/>
          <w:jc w:val="center"/>
        </w:trPr>
        <w:tc>
          <w:tcPr>
            <w:tcW w:w="753" w:type="dxa"/>
            <w:noWrap w:val="0"/>
            <w:vAlign w:val="center"/>
          </w:tcPr>
          <w:p w14:paraId="2118CBA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2250" w:type="dxa"/>
            <w:noWrap w:val="0"/>
            <w:vAlign w:val="center"/>
          </w:tcPr>
          <w:p w14:paraId="571D645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宛城区花洲路以北、康宁路以东区域（第WQ13-A5街坊）控制性详细规划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5121A3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该规划位于花洲路以北、康宁路以东区域，规划总用地面积约201.447亩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（用地面积以实测为准）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。</w:t>
            </w:r>
          </w:p>
        </w:tc>
        <w:tc>
          <w:tcPr>
            <w:tcW w:w="9723" w:type="dxa"/>
            <w:noWrap w:val="0"/>
            <w:vAlign w:val="center"/>
          </w:tcPr>
          <w:p w14:paraId="6B8124F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面积约40.274亩，容积率小于等于0.8，建筑密度小于等于25%，建筑限高36米，绿地率大于等于35%。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面积约51.142亩，容积率大于1.0且小于等于2.2，建筑密度小于等于22%，建筑限高54米，绿地率大于等于35%。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社会停车场用地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面积约8.085亩，容积率小于等于0.5，建筑密度小于等于10%，建筑限高18米，绿地率大于等于20%。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消防用地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面积约6.757亩，容积率小于等于1.0，建筑密度小于等于45%，建筑限高24米，绿地率大于等于25%。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面积约34.860亩，容积率大于等于1.0且小于等于2.5，建筑密度小于等于50%，建筑限高36米，绿地率大于等于25%。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面积约17.780亩，容积率小于等于0.1，建筑密度小于等于5%，建筑限高12米，绿地率大于等于65%。规划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面积约42.549亩。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各类用地面积以实测为准。</w:t>
            </w:r>
          </w:p>
        </w:tc>
      </w:tr>
      <w:tr w14:paraId="003DF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753" w:type="dxa"/>
            <w:noWrap w:val="0"/>
            <w:vAlign w:val="center"/>
          </w:tcPr>
          <w:p w14:paraId="7F7181E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2250" w:type="dxa"/>
            <w:noWrap w:val="0"/>
            <w:vAlign w:val="center"/>
          </w:tcPr>
          <w:p w14:paraId="0EEAEF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vertAlign w:val="baseline"/>
                <w:lang w:val="en-US" w:eastAsia="zh-CN"/>
              </w:rPr>
              <w:t>宛城区邓禹路以东、孔明大道以北区域（第WQ02-G1、WQ02-G2街坊）控制性详细规划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326791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该规划位于邓禹路以东、范蠡路以南、孔明大道以北区域，规划总用地面积约298.537亩（用地面积以实测为准）。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01DB6C8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约155.596亩，其中WQ02-G1-2地块为已批项目，规划新建建筑限高80米，其他规定按宛规委纪〔2020〕1号文件执行；WQ02-G1-4地块为已批项目，按宛规委纪〔2022〕16号文件执行；WQ02-G2-1地块为现状保留地块。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约32.138亩，为现状保留。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约22.245亩，容积率不大于0.1，建筑密度不大于5%，建筑限高12米，绿地率不小于65%。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约88.558亩。各类用地面积以实测为准。</w:t>
            </w:r>
          </w:p>
        </w:tc>
      </w:tr>
      <w:tr w14:paraId="0183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53" w:type="dxa"/>
            <w:noWrap w:val="0"/>
            <w:vAlign w:val="center"/>
          </w:tcPr>
          <w:p w14:paraId="161B0A0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50" w:type="dxa"/>
            <w:noWrap w:val="0"/>
            <w:vAlign w:val="center"/>
          </w:tcPr>
          <w:p w14:paraId="06975DA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示范区黄河北路以东、花洲路以北区域（第SF19-B1街坊）控制性详细规划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059BFB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该规划位于黄河北路以东、鼎元路以南、中兴大街以西、花洲路以北区域，规划总用地面积约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241.085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735C43B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约193.807亩，容积率不大于0.1，建筑密度不大于5%，建筑限高10米，绿地率不小于65%。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约47.278亩。各类用地面积以实测为准。</w:t>
            </w:r>
          </w:p>
        </w:tc>
      </w:tr>
      <w:tr w14:paraId="68DE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53" w:type="dxa"/>
            <w:noWrap w:val="0"/>
            <w:vAlign w:val="center"/>
          </w:tcPr>
          <w:p w14:paraId="39DD068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50" w:type="dxa"/>
            <w:noWrap w:val="0"/>
            <w:vAlign w:val="center"/>
          </w:tcPr>
          <w:p w14:paraId="17D2C5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示范区白河北路以东、永吉大街以北区域（第SF11-B5、B6街坊）控制性详细规划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14481A5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该规划位于白河北路以东、丹阳路以南、长江北路以西、永吉大街以北区域，规划总用地面积约288.134亩（用地面积以实测为准）。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50920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约139.223亩，容积率不小于1.0且不大于2.2，建筑密度不大于22%，建筑限高43米，绿地率不小于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交通场站用地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约7.747亩，容积率不大于0.5，建筑密度不大于10%，建筑限高24米，绿地率不小于25%。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消防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约6.367亩，容积率不大于1.0，建筑密度不大于25%，建筑限高25米，绿地率不小于25%。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约42.118亩，容积率不大于0.1，建筑密度不大于5%，建筑限高12米，绿地率不小于65%。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约6.682亩。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约85.997亩。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各类用地面积以实测为准。</w:t>
            </w:r>
          </w:p>
        </w:tc>
      </w:tr>
      <w:tr w14:paraId="5B094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53" w:type="dxa"/>
            <w:noWrap w:val="0"/>
            <w:vAlign w:val="center"/>
          </w:tcPr>
          <w:p w14:paraId="30D4514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50" w:type="dxa"/>
            <w:noWrap w:val="0"/>
            <w:vAlign w:val="center"/>
          </w:tcPr>
          <w:p w14:paraId="6F4B4D4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示范区黄河北路以西、京宛大道以北区域（第SF07-E1、SF07-E2街坊）控制性详细规划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2F814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该规划位于长江北路以东、永盛大街以南、黄河北路以西、京宛大道以北区域，规划总用地面积约474.972亩（用地面积以实测为准）。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137C55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约163.619亩，其中SF07-E2-1地块容积率不小于1.0且不大于2.5，建筑密度不大于22%，建筑限高80米，绿地率不小于35%；SF07-E1-2地块为现状保留。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约138.629亩，容积率不大于0.1，建筑密度不大于5%，建筑限高12米，绿地率不小于65%。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约48.598亩。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约124.126亩。各类用地面积以实测为准。</w:t>
            </w:r>
          </w:p>
        </w:tc>
      </w:tr>
      <w:tr w14:paraId="3C968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753" w:type="dxa"/>
            <w:noWrap w:val="0"/>
            <w:vAlign w:val="center"/>
          </w:tcPr>
          <w:p w14:paraId="3A39C5F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50" w:type="dxa"/>
            <w:noWrap w:val="0"/>
            <w:vAlign w:val="center"/>
          </w:tcPr>
          <w:p w14:paraId="0AA8EE9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示范区国医学院周边区域（第SF03单元部分、SF04单元）控制性详细规划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4B7B14A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该规划位于老界岭路以东、商南高速以南、东环路以西、山河大道以北区域，规划总用地面积约5716.708亩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5054BB0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626.436亩，其中SF03-B4-1、SF03-B7-2、SF03-C2-2、SF03-C3-2、SF04-A2-15、SF04-A2-20、SF04-A2-44、SF04-A2-47、SF04-A2-48地块容积率不小于1.0且不大于2.2，建筑密度不大于22%，建筑限高54米，绿地率不小于40%；SF04-B3-1地块容积率不小于1.0且不大于2.5，建筑密度不大于22%，建筑限高80米，绿地率不小于40%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二类城镇住宅用地、商业用地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322.856亩，其中SF04-A2-31、SF04-A2-39地块容积率不小于1.0且不大于2.5，建筑密度不大于30%，建筑限高80米，绿地率不小于40%，商业用地计容建筑面积占地块计容建筑面积的比例不大于10%；SF03-C5-1、SF04-A2-43地块容积率大于1.0且不大于2.5，建筑密度不大于30%，建筑限高80米，绿地率不小于40%，商业用地计容建筑面积占地块计容建筑面积的比例不大于15%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机关团体用地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约18.002亩，容积率不大于2.0，建筑密度不大于30%，建筑限高36米，绿地率不小于35%。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科研用地、商业用地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92.514亩，其中SF04-A2-4地块容积率不小于1.0且不大于3.0，建筑密度不大于40%，建筑限高60米，绿地率不小于30%，商业用地计容建筑面积占地块计容建筑面积的比例不大于30%；SF03-C6-1地块容积率不小于1.0且不大于3.0，建筑密度不大于40%，建筑限高70米，绿地率不小于30%，商业用地计容建筑面积占地块计容建筑面积的比例不大于30%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文化用地、机关团体用地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约124.967亩，容积率不大于2.0，建筑密度不大于30%，建筑限高36米，绿地率不小于35%，机关团体用地计容建筑面积占地块计容建筑面积的比例不大于40%。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高等教育用地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约1619.518亩，为已批用地，按规划条件执行。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约49.089亩，容积率不大于1.0，建筑密度不大于25%，建筑限高36米，绿地率不小于35%。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教育用地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约173.674亩，容积率不大于1.2，建筑密度不大于30%，建筑限高36米，绿地率不小于35%。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社会福利用地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约30.586亩，其中SF03-B4-4地块容积率不大于3.0，建筑密度不大于35%，建筑限高36米，绿地率不小于30%；SF04-A2-38地块容积率不大于1.5，建筑密度不大于30%，建筑限高24米，绿地率不小于40%。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约15.187亩，容积率不小于1.0且不大于2.5，建筑密度不大于50%，建筑限高36米，绿地率不小于25%。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商业用地、科研用地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面积约58.217亩，容积率不小于1.0且不大于2.5，建筑密度不大于50%，建筑限高60米，绿地率不小于25%，科研用地计容建筑面积占地块计容建筑面积的比例不大于20%。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商业用地、商务金融用地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80.563亩，其中SF03-C6-2地块容积率不小于1.0且不大于3.0，建筑密度不大于50%，建筑限高60米，绿地率不小于25%，商务金融用地计容建筑面积占地块计容建筑面积的比例不大于30%；SF03-B7-1地块容积率不小于1.0且不大于3.0，建筑密度不大于50%，建筑限高70米，绿地率不小于25%，商务金融用地计容建筑面积占地块计容建筑面积的比例不大于30%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商业用地、娱乐用地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约19.431亩，容积率不小于1.0且不大于3.0，建筑密度不大于50%，建筑限高60米，绿地率不小于25%，娱乐用地计容建筑面积占地块计容建筑面积的比例不大于30%。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新型产业用地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约305.066亩，容积率不小于1.5，建筑系数不小于40%，建筑限高50米，绿地率不小于12%且不大于20%。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公共交通场站用地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约4.328亩，容积率不大于0.5，建筑密度不大于10%，建筑限高24米，绿地率不小于25%。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社会停车场用地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约25.337亩，容积率不大于0.5，建筑密度不大于10%，建筑限高24米，绿地率不小于25%。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环卫用地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约3.240亩，容积率不大于0.5，建筑密度不大于45%，建筑限高12米，绿地率不小于25%。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约889.990亩，容积率不大于0.1，建筑密度不大于5%，建筑限高12米，绿地率不小于65%。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广场用地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约13.650亩，容积率不大于0.2，建筑密度不大于10%，建筑限高12米，绿地率不小于35%。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约37.743亩。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沟渠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约177.128亩。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约1029.186亩。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各类用地面积以实测为准。</w:t>
            </w:r>
          </w:p>
        </w:tc>
      </w:tr>
      <w:tr w14:paraId="04522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53" w:type="dxa"/>
            <w:noWrap w:val="0"/>
            <w:vAlign w:val="center"/>
          </w:tcPr>
          <w:p w14:paraId="5ABC12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250" w:type="dxa"/>
            <w:noWrap w:val="0"/>
            <w:vAlign w:val="center"/>
          </w:tcPr>
          <w:p w14:paraId="1550E01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高新区信臣大道以南、张衡大道以北、贤相路以东、岗王庄路以西区域（第GX13-A1街坊）控制性详细规划</w:t>
            </w:r>
          </w:p>
        </w:tc>
        <w:tc>
          <w:tcPr>
            <w:tcW w:w="2640" w:type="dxa"/>
            <w:noWrap w:val="0"/>
            <w:vAlign w:val="center"/>
          </w:tcPr>
          <w:p w14:paraId="7EC48C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该规划位于信臣大道以南、张衡大道以北、贤相路以东、岗王庄路以西区域,规划总用地面积约2120.937亩（用地面积以实测为准）。</w:t>
            </w:r>
          </w:p>
        </w:tc>
        <w:tc>
          <w:tcPr>
            <w:tcW w:w="9723" w:type="dxa"/>
            <w:noWrap w:val="0"/>
            <w:vAlign w:val="center"/>
          </w:tcPr>
          <w:p w14:paraId="1BA9BF6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约155.871亩，其中GX13-A1-3-7地块容积率大于1.0且小于等于2.5，建筑密度小于等于22%，建筑限高80米，绿地率大于等于35%。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科研用地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约67.981亩，容积率小于等于2.0，建筑密度小于等于25%，建筑限高24米，绿地率大于等于35%。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教育用地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约90.167亩，其中GX13-A1-3-8地块容积率小于等于1.0，建筑密度小于等于25%，建筑限高24米，绿地率大于等于35%。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医疗卫生用地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约68.865亩，为现状保留。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约111.977亩，其中GX13-A1-3-3地块容积率小于等于2.5，建筑密度小于等于50%，建筑限高60米，绿地率大于等于25%；GX13-A1-3-9地块容积率小于等于2.3，建筑密度小于等于50%，建筑限高30米，绿地率大于等于25%。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1081.983亩，其中GX13-A1-1-2地块容积率大于等于1.2，建筑系数大于等于40%，建筑限高40米，绿地率大于等于12%且小于等于20%；GX13-A1-1-6地块容积率大于等于1.2，建筑系数大于等于40%，建筑限高45米，绿地率大于等于12%且小于等于20%；GX13-A1-1-16、GX13-A1-3-1地块容积率大于等于1.2，建筑系数大于等于40%，建筑限高24米，绿地率大于等于12%且小于等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约43.698亩，容积率小于等于1.0，建筑密度小于等于45%，建筑限高24米，绿地率大于等于20%。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约3.724亩，容积率小于等于0.1，建筑密度小于等于5%，建筑限高12米，绿地率大于等于65%。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约256.806亩，容积率小于等于0.05，建筑密度小于等于1%，建筑限高12米，绿地率大于等于85%。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约239.865亩。各类用地面积以实测为准。</w:t>
            </w:r>
          </w:p>
        </w:tc>
      </w:tr>
    </w:tbl>
    <w:p w14:paraId="77F0471F">
      <w:pPr>
        <w:keepNext w:val="0"/>
        <w:keepLines w:val="0"/>
        <w:pageBreakBefore w:val="0"/>
        <w:widowControl w:val="0"/>
        <w:tabs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0" w:lineRule="exact"/>
        <w:textAlignment w:val="auto"/>
        <w:rPr>
          <w:rFonts w:hint="eastAsia" w:ascii="Calibri" w:hAnsi="Calibri"/>
          <w:b/>
          <w:bCs/>
          <w:color w:val="000000"/>
          <w:szCs w:val="24"/>
        </w:rPr>
      </w:pPr>
    </w:p>
    <w:p w14:paraId="2C136840">
      <w:pPr>
        <w:rPr>
          <w:rFonts w:ascii="仿宋_GB2312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75431ED">
      <w:pPr>
        <w:rPr>
          <w:rFonts w:ascii="仿宋_GB2312" w:eastAsia="仿宋_GB2312"/>
          <w:sz w:val="32"/>
          <w:szCs w:val="32"/>
        </w:rPr>
      </w:pPr>
    </w:p>
    <w:p w14:paraId="0C456586">
      <w:pPr>
        <w:rPr>
          <w:rFonts w:ascii="仿宋_GB2312" w:eastAsia="仿宋_GB2312"/>
          <w:sz w:val="32"/>
          <w:szCs w:val="32"/>
        </w:rPr>
      </w:pPr>
    </w:p>
    <w:p w14:paraId="575638F2">
      <w:pPr>
        <w:rPr>
          <w:rFonts w:ascii="仿宋_GB2312" w:eastAsia="仿宋_GB2312"/>
          <w:sz w:val="32"/>
          <w:szCs w:val="32"/>
        </w:rPr>
      </w:pPr>
    </w:p>
    <w:p w14:paraId="31437ACE">
      <w:pPr>
        <w:rPr>
          <w:rFonts w:ascii="仿宋_GB2312" w:eastAsia="仿宋_GB2312"/>
          <w:sz w:val="32"/>
          <w:szCs w:val="32"/>
        </w:rPr>
      </w:pPr>
    </w:p>
    <w:p w14:paraId="0353684C">
      <w:pPr>
        <w:rPr>
          <w:rFonts w:ascii="仿宋_GB2312" w:eastAsia="仿宋_GB2312"/>
          <w:sz w:val="32"/>
          <w:szCs w:val="32"/>
        </w:rPr>
      </w:pPr>
    </w:p>
    <w:p w14:paraId="2FB3701A">
      <w:pPr>
        <w:rPr>
          <w:rFonts w:ascii="仿宋_GB2312" w:eastAsia="仿宋_GB2312"/>
          <w:sz w:val="32"/>
          <w:szCs w:val="32"/>
        </w:rPr>
      </w:pPr>
    </w:p>
    <w:p w14:paraId="2B98288A">
      <w:pPr>
        <w:rPr>
          <w:rFonts w:ascii="仿宋_GB2312" w:eastAsia="仿宋_GB2312"/>
          <w:sz w:val="32"/>
          <w:szCs w:val="32"/>
        </w:rPr>
      </w:pPr>
    </w:p>
    <w:p w14:paraId="47304DE0">
      <w:pPr>
        <w:rPr>
          <w:rFonts w:ascii="仿宋_GB2312" w:eastAsia="仿宋_GB2312"/>
          <w:sz w:val="32"/>
          <w:szCs w:val="32"/>
        </w:rPr>
      </w:pPr>
    </w:p>
    <w:p w14:paraId="711CFEC6">
      <w:pPr>
        <w:rPr>
          <w:rFonts w:ascii="仿宋_GB2312" w:eastAsia="仿宋_GB2312"/>
          <w:sz w:val="32"/>
          <w:szCs w:val="32"/>
        </w:rPr>
      </w:pPr>
    </w:p>
    <w:p w14:paraId="59A48835">
      <w:pPr>
        <w:rPr>
          <w:rFonts w:ascii="仿宋_GB2312" w:eastAsia="仿宋_GB2312"/>
          <w:sz w:val="32"/>
          <w:szCs w:val="32"/>
        </w:rPr>
      </w:pPr>
    </w:p>
    <w:p w14:paraId="3038BABC">
      <w:pPr>
        <w:rPr>
          <w:rFonts w:ascii="仿宋_GB2312" w:eastAsia="仿宋_GB2312"/>
          <w:sz w:val="32"/>
          <w:szCs w:val="32"/>
        </w:rPr>
      </w:pPr>
    </w:p>
    <w:p w14:paraId="7C622FE4">
      <w:pPr>
        <w:ind w:firstLine="200" w:firstLineChars="200"/>
        <w:rPr>
          <w:rFonts w:ascii="仿宋_GB2312" w:eastAsia="仿宋_GB2312"/>
          <w:sz w:val="10"/>
          <w:szCs w:val="10"/>
        </w:rPr>
      </w:pPr>
    </w:p>
    <w:tbl>
      <w:tblPr>
        <w:tblStyle w:val="5"/>
        <w:tblW w:w="8845" w:type="dxa"/>
        <w:jc w:val="center"/>
        <w:tblBorders>
          <w:top w:val="single" w:color="FF0000" w:sz="12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318"/>
        <w:gridCol w:w="3628"/>
      </w:tblGrid>
      <w:tr w14:paraId="447A6B83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color="000000" w:sz="18" w:space="0"/>
              <w:right w:val="nil"/>
            </w:tcBorders>
          </w:tcPr>
          <w:p w14:paraId="0A083479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01818687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3A938BAA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3CF0F59A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176005B7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25216EE7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6D7D0611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70BAD550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748954EB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  <w:p w14:paraId="519DF4B5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</w:tc>
      </w:tr>
      <w:tr w14:paraId="66AD546C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9" w:type="dxa"/>
            <w:tcBorders>
              <w:top w:val="single" w:color="000000" w:sz="18" w:space="0"/>
              <w:left w:val="nil"/>
              <w:bottom w:val="single" w:color="000000" w:sz="12" w:space="0"/>
              <w:right w:val="nil"/>
            </w:tcBorders>
          </w:tcPr>
          <w:p w14:paraId="41F8ECBC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主办：</w:t>
            </w:r>
            <w:bookmarkStart w:id="0" w:name="主办2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市自然资源和规划局</w:t>
            </w:r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</w:t>
            </w:r>
          </w:p>
        </w:tc>
        <w:tc>
          <w:tcPr>
            <w:tcW w:w="3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FBE2002">
            <w:pPr>
              <w:jc w:val="right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督办：</w:t>
            </w:r>
            <w:bookmarkStart w:id="1" w:name="督办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市政府办公室五科</w:t>
            </w:r>
            <w:bookmarkEnd w:id="1"/>
          </w:p>
        </w:tc>
      </w:tr>
      <w:tr w14:paraId="3CE1C0FF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single" w:color="000000" w:sz="12" w:space="0"/>
              <w:left w:val="nil"/>
              <w:bottom w:val="single" w:color="000000" w:themeColor="text1" w:sz="4" w:space="0"/>
              <w:right w:val="nil"/>
            </w:tcBorders>
          </w:tcPr>
          <w:p w14:paraId="3EBC4D27"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抄送</w:t>
            </w:r>
            <w:r>
              <w:rPr>
                <w:rFonts w:ascii="仿宋_GB2312" w:eastAsia="仿宋_GB2312"/>
                <w:sz w:val="32"/>
                <w:szCs w:val="32"/>
              </w:rPr>
              <w:t>：</w:t>
            </w:r>
            <w:bookmarkStart w:id="2" w:name="抄送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宛城区、卧龙区人民政府，城乡一体化示范区、高新区管委会</w:t>
            </w:r>
            <w:bookmarkEnd w:id="2"/>
          </w:p>
        </w:tc>
      </w:tr>
      <w:tr w14:paraId="5BDB16B5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7" w:type="dxa"/>
            <w:gridSpan w:val="2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4B38B17C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南阳市人民政府办公室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628" w:type="dxa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3918E405"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bookmarkStart w:id="3" w:name="年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20XX</w:t>
            </w:r>
            <w:bookmarkEnd w:id="3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年</w:t>
            </w:r>
            <w:bookmarkStart w:id="4" w:name="月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4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月</w:t>
            </w:r>
            <w:bookmarkStart w:id="5" w:name="日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5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日印发</w:t>
            </w:r>
          </w:p>
        </w:tc>
      </w:tr>
    </w:tbl>
    <w:p w14:paraId="6C46806C"/>
    <w:p w14:paraId="76A7A3EB">
      <w:bookmarkStart w:id="6" w:name="_GoBack"/>
      <w:bookmarkEnd w:id="6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35C80"/>
    <w:rsid w:val="1123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2026-01-30T01:19:00Z</dcterms:created>
  <dc:creator>zkyyyy</dc:creator>
  <cp:lastModifiedBy>zkyyyy</cp:lastModifiedBy>
  <dcterms:modified xsi:type="dcterms:W3CDTF">2026-01-30T01:19:46Z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6AF1D0FC81B34478A2583D724469D7FE_11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