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A46FF">
      <w:pPr>
        <w:jc w:val="center"/>
        <w:rPr>
          <w:rFonts w:hint="eastAsia" w:asciiTheme="majorEastAsia" w:hAnsiTheme="majorEastAsia" w:eastAsiaTheme="majorEastAsia" w:cstheme="majorEastAsia"/>
          <w:b/>
          <w:bCs/>
          <w:sz w:val="44"/>
          <w:szCs w:val="44"/>
        </w:rPr>
      </w:pPr>
    </w:p>
    <w:p w14:paraId="297A0EEB">
      <w:pPr>
        <w:jc w:val="center"/>
        <w:rPr>
          <w:rFonts w:hint="eastAsia" w:asciiTheme="majorEastAsia" w:hAnsiTheme="majorEastAsia" w:eastAsiaTheme="majorEastAsia" w:cstheme="majorEastAsia"/>
          <w:b/>
          <w:bCs/>
          <w:sz w:val="44"/>
          <w:szCs w:val="44"/>
        </w:rPr>
      </w:pPr>
    </w:p>
    <w:p w14:paraId="5D7137D3">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南阳市人民政府规章制定程序规定</w:t>
      </w:r>
    </w:p>
    <w:p w14:paraId="65A00988">
      <w:pPr>
        <w:pStyle w:val="2"/>
        <w:keepNext/>
        <w:keepLines/>
        <w:pageBreakBefore w:val="0"/>
        <w:widowControl w:val="0"/>
        <w:kinsoku/>
        <w:wordWrap/>
        <w:overflowPunct/>
        <w:topLinePunct w:val="0"/>
        <w:autoSpaceDE/>
        <w:autoSpaceDN/>
        <w:bidi w:val="0"/>
        <w:adjustRightInd/>
        <w:snapToGrid/>
        <w:spacing w:before="0" w:after="0" w:line="240" w:lineRule="auto"/>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（202</w:t>
      </w:r>
      <w:r>
        <w:rPr>
          <w:rFonts w:hint="eastAsia" w:ascii="楷体_GB2312" w:hAnsi="楷体_GB2312" w:eastAsia="楷体_GB2312" w:cs="楷体_GB2312"/>
          <w:b w:val="0"/>
          <w:bCs/>
          <w:sz w:val="32"/>
          <w:szCs w:val="32"/>
          <w:lang w:val="en-US" w:eastAsia="zh-CN"/>
        </w:rPr>
        <w:t>5</w:t>
      </w:r>
      <w:r>
        <w:rPr>
          <w:rFonts w:hint="eastAsia" w:ascii="楷体_GB2312" w:hAnsi="楷体_GB2312" w:eastAsia="楷体_GB2312" w:cs="楷体_GB2312"/>
          <w:b w:val="0"/>
          <w:bCs/>
          <w:sz w:val="32"/>
          <w:szCs w:val="32"/>
          <w:lang w:eastAsia="zh-CN"/>
        </w:rPr>
        <w:t>年</w:t>
      </w:r>
      <w:r>
        <w:rPr>
          <w:rFonts w:hint="eastAsia" w:ascii="楷体_GB2312" w:hAnsi="楷体_GB2312" w:eastAsia="楷体_GB2312" w:cs="楷体_GB2312"/>
          <w:b w:val="0"/>
          <w:bCs/>
          <w:sz w:val="32"/>
          <w:szCs w:val="32"/>
          <w:lang w:val="en-US" w:eastAsia="zh-CN"/>
        </w:rPr>
        <w:t>1</w:t>
      </w:r>
      <w:r>
        <w:rPr>
          <w:rFonts w:hint="eastAsia" w:ascii="楷体_GB2312" w:hAnsi="楷体_GB2312" w:eastAsia="楷体_GB2312" w:cs="楷体_GB2312"/>
          <w:b w:val="0"/>
          <w:bCs/>
          <w:sz w:val="32"/>
          <w:szCs w:val="32"/>
          <w:lang w:eastAsia="zh-CN"/>
        </w:rPr>
        <w:t>月</w:t>
      </w:r>
      <w:r>
        <w:rPr>
          <w:rFonts w:hint="eastAsia" w:ascii="楷体_GB2312" w:hAnsi="楷体_GB2312" w:eastAsia="楷体_GB2312" w:cs="楷体_GB2312"/>
          <w:b w:val="0"/>
          <w:bCs/>
          <w:sz w:val="32"/>
          <w:szCs w:val="32"/>
          <w:lang w:val="en-US" w:eastAsia="zh-CN"/>
        </w:rPr>
        <w:t>25</w:t>
      </w:r>
      <w:bookmarkStart w:id="8" w:name="_GoBack"/>
      <w:bookmarkEnd w:id="8"/>
      <w:r>
        <w:rPr>
          <w:rFonts w:hint="eastAsia" w:ascii="楷体_GB2312" w:hAnsi="楷体_GB2312" w:eastAsia="楷体_GB2312" w:cs="楷体_GB2312"/>
          <w:b w:val="0"/>
          <w:bCs/>
          <w:sz w:val="32"/>
          <w:szCs w:val="32"/>
          <w:lang w:eastAsia="zh-CN"/>
        </w:rPr>
        <w:t>日南阳市人民政府令第</w:t>
      </w:r>
      <w:r>
        <w:rPr>
          <w:rFonts w:hint="eastAsia" w:ascii="楷体_GB2312" w:hAnsi="楷体_GB2312" w:eastAsia="楷体_GB2312" w:cs="楷体_GB2312"/>
          <w:b w:val="0"/>
          <w:bCs/>
          <w:sz w:val="32"/>
          <w:szCs w:val="32"/>
          <w:lang w:val="en-US" w:eastAsia="zh-CN"/>
        </w:rPr>
        <w:t>6</w:t>
      </w:r>
      <w:r>
        <w:rPr>
          <w:rFonts w:hint="eastAsia" w:ascii="楷体_GB2312" w:hAnsi="楷体_GB2312" w:eastAsia="楷体_GB2312" w:cs="楷体_GB2312"/>
          <w:b w:val="0"/>
          <w:bCs/>
          <w:sz w:val="32"/>
          <w:szCs w:val="32"/>
          <w:lang w:eastAsia="zh-CN"/>
        </w:rPr>
        <w:t>号公布 自202</w:t>
      </w:r>
      <w:r>
        <w:rPr>
          <w:rFonts w:hint="eastAsia" w:ascii="楷体_GB2312" w:hAnsi="楷体_GB2312" w:eastAsia="楷体_GB2312" w:cs="楷体_GB2312"/>
          <w:b w:val="0"/>
          <w:bCs/>
          <w:sz w:val="32"/>
          <w:szCs w:val="32"/>
          <w:lang w:val="en-US" w:eastAsia="zh-CN"/>
        </w:rPr>
        <w:t>5</w:t>
      </w:r>
      <w:r>
        <w:rPr>
          <w:rFonts w:hint="eastAsia" w:ascii="楷体_GB2312" w:hAnsi="楷体_GB2312" w:eastAsia="楷体_GB2312" w:cs="楷体_GB2312"/>
          <w:b w:val="0"/>
          <w:bCs/>
          <w:sz w:val="32"/>
          <w:szCs w:val="32"/>
          <w:lang w:eastAsia="zh-CN"/>
        </w:rPr>
        <w:t>年</w:t>
      </w:r>
      <w:r>
        <w:rPr>
          <w:rFonts w:hint="eastAsia" w:ascii="楷体_GB2312" w:hAnsi="楷体_GB2312" w:eastAsia="楷体_GB2312" w:cs="楷体_GB2312"/>
          <w:b w:val="0"/>
          <w:bCs/>
          <w:sz w:val="32"/>
          <w:szCs w:val="32"/>
          <w:lang w:val="en-US" w:eastAsia="zh-CN"/>
        </w:rPr>
        <w:t>3</w:t>
      </w:r>
      <w:r>
        <w:rPr>
          <w:rFonts w:hint="eastAsia" w:ascii="楷体_GB2312" w:hAnsi="楷体_GB2312" w:eastAsia="楷体_GB2312" w:cs="楷体_GB2312"/>
          <w:b w:val="0"/>
          <w:bCs/>
          <w:sz w:val="32"/>
          <w:szCs w:val="32"/>
          <w:lang w:eastAsia="zh-CN"/>
        </w:rPr>
        <w:t>月1日起施行）</w:t>
      </w:r>
    </w:p>
    <w:p w14:paraId="4775A466">
      <w:pPr>
        <w:ind w:firstLine="640" w:firstLineChars="200"/>
        <w:jc w:val="center"/>
        <w:rPr>
          <w:rFonts w:hint="eastAsia" w:ascii="黑体" w:hAnsi="黑体" w:eastAsia="黑体" w:cs="黑体"/>
          <w:sz w:val="32"/>
          <w:szCs w:val="32"/>
        </w:rPr>
      </w:pPr>
    </w:p>
    <w:p w14:paraId="532ED5F3">
      <w:pPr>
        <w:keepNext w:val="0"/>
        <w:keepLines w:val="0"/>
        <w:pageBreakBefore w:val="0"/>
        <w:numPr>
          <w:ilvl w:val="0"/>
          <w:numId w:val="0"/>
        </w:numPr>
        <w:kinsoku/>
        <w:wordWrap/>
        <w:overflowPunct/>
        <w:topLinePunct w:val="0"/>
        <w:autoSpaceDE/>
        <w:autoSpaceDN/>
        <w:bidi w:val="0"/>
        <w:spacing w:line="600" w:lineRule="exact"/>
        <w:ind w:right="0" w:rightChars="0"/>
        <w:jc w:val="center"/>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第一章  </w:t>
      </w:r>
      <w:r>
        <w:rPr>
          <w:rFonts w:hint="eastAsia" w:ascii="黑体" w:hAnsi="黑体" w:eastAsia="黑体" w:cs="黑体"/>
          <w:color w:val="000000" w:themeColor="text1"/>
          <w:spacing w:val="0"/>
          <w:sz w:val="32"/>
          <w:szCs w:val="32"/>
          <w14:textFill>
            <w14:solidFill>
              <w14:schemeClr w14:val="tx1"/>
            </w14:solidFill>
          </w14:textFill>
        </w:rPr>
        <w:t>总</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sz w:val="32"/>
          <w:szCs w:val="32"/>
          <w14:textFill>
            <w14:solidFill>
              <w14:schemeClr w14:val="tx1"/>
            </w14:solidFill>
          </w14:textFill>
        </w:rPr>
        <w:t>则</w:t>
      </w:r>
    </w:p>
    <w:p w14:paraId="750AE91F">
      <w:pPr>
        <w:keepNext w:val="0"/>
        <w:keepLines w:val="0"/>
        <w:pageBreakBefore w:val="0"/>
        <w:numPr>
          <w:ilvl w:val="0"/>
          <w:numId w:val="0"/>
        </w:numPr>
        <w:kinsoku/>
        <w:wordWrap/>
        <w:overflowPunct/>
        <w:topLinePunct w:val="0"/>
        <w:autoSpaceDE/>
        <w:autoSpaceDN/>
        <w:bidi w:val="0"/>
        <w:spacing w:line="600" w:lineRule="exact"/>
        <w:ind w:right="0" w:rightChars="0"/>
        <w:jc w:val="both"/>
        <w:rPr>
          <w:rFonts w:hint="eastAsia" w:ascii="黑体" w:hAnsi="黑体" w:eastAsia="黑体" w:cs="黑体"/>
          <w:color w:val="000000" w:themeColor="text1"/>
          <w:spacing w:val="0"/>
          <w:sz w:val="32"/>
          <w:szCs w:val="32"/>
          <w14:textFill>
            <w14:solidFill>
              <w14:schemeClr w14:val="tx1"/>
            </w14:solidFill>
          </w14:textFill>
        </w:rPr>
      </w:pPr>
    </w:p>
    <w:p w14:paraId="13E70609">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第一条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为了规范市人民政府规章</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以下简称规章</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制定程序</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提高规章质量</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根据《中华人民共和国立法法》</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、国务院</w:t>
      </w:r>
      <w:r>
        <w:rPr>
          <w:rFonts w:hint="eastAsia" w:ascii="仿宋_GB2312" w:hAnsi="仿宋_GB2312" w:eastAsia="仿宋_GB2312" w:cs="仿宋_GB2312"/>
          <w:color w:val="000000" w:themeColor="text1"/>
          <w:spacing w:val="0"/>
          <w:sz w:val="32"/>
          <w:szCs w:val="32"/>
          <w14:textFill>
            <w14:solidFill>
              <w14:schemeClr w14:val="tx1"/>
            </w14:solidFill>
          </w14:textFill>
        </w:rPr>
        <w:t>《规章制定程序条例》等法律、法规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结合本市实际</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制定本</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规定</w:t>
      </w:r>
      <w:r>
        <w:rPr>
          <w:rFonts w:hint="eastAsia" w:ascii="仿宋_GB2312" w:hAnsi="仿宋_GB2312" w:eastAsia="仿宋_GB2312" w:cs="仿宋_GB2312"/>
          <w:color w:val="000000" w:themeColor="text1"/>
          <w:spacing w:val="0"/>
          <w:sz w:val="32"/>
          <w:szCs w:val="32"/>
          <w14:textFill>
            <w14:solidFill>
              <w14:schemeClr w14:val="tx1"/>
            </w14:solidFill>
          </w14:textFill>
        </w:rPr>
        <w:t>。</w:t>
      </w:r>
    </w:p>
    <w:p w14:paraId="70068413">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规章的立项、起草、审查、决定、公布、备案、解释</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立法后</w:t>
      </w:r>
      <w:r>
        <w:rPr>
          <w:rFonts w:hint="eastAsia" w:ascii="仿宋_GB2312" w:hAnsi="仿宋_GB2312" w:eastAsia="仿宋_GB2312" w:cs="仿宋_GB2312"/>
          <w:color w:val="000000" w:themeColor="text1"/>
          <w:spacing w:val="0"/>
          <w:sz w:val="32"/>
          <w:szCs w:val="32"/>
          <w14:textFill>
            <w14:solidFill>
              <w14:schemeClr w14:val="tx1"/>
            </w14:solidFill>
          </w14:textFill>
        </w:rPr>
        <w:t>评估、清理等，适用本规定。</w:t>
      </w:r>
    </w:p>
    <w:p w14:paraId="531EF8E7">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制定规章应当坚持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中国共产</w:t>
      </w:r>
      <w:r>
        <w:rPr>
          <w:rFonts w:hint="eastAsia" w:ascii="仿宋_GB2312" w:hAnsi="仿宋_GB2312" w:eastAsia="仿宋_GB2312" w:cs="仿宋_GB2312"/>
          <w:color w:val="000000" w:themeColor="text1"/>
          <w:spacing w:val="0"/>
          <w:sz w:val="32"/>
          <w:szCs w:val="32"/>
          <w14:textFill>
            <w14:solidFill>
              <w14:schemeClr w14:val="tx1"/>
            </w14:solidFill>
          </w14:textFill>
        </w:rPr>
        <w:t>党的领导，贯彻落实党的路线方针和决策部署</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体现</w:t>
      </w:r>
      <w:r>
        <w:rPr>
          <w:rFonts w:hint="eastAsia" w:ascii="仿宋_GB2312" w:hAnsi="仿宋_GB2312" w:eastAsia="仿宋_GB2312" w:cs="仿宋_GB2312"/>
          <w:color w:val="000000" w:themeColor="text1"/>
          <w:spacing w:val="0"/>
          <w:sz w:val="32"/>
          <w:szCs w:val="32"/>
          <w14:textFill>
            <w14:solidFill>
              <w14:schemeClr w14:val="tx1"/>
            </w14:solidFill>
          </w14:textFill>
        </w:rPr>
        <w:t>社会主义核心价值观，体现全面深化改革精神。</w:t>
      </w:r>
    </w:p>
    <w:p w14:paraId="524BF426">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制定规章应当坚持</w:t>
      </w:r>
      <w:r>
        <w:rPr>
          <w:rFonts w:hint="eastAsia" w:ascii="仿宋_GB2312" w:hAnsi="仿宋_GB2312" w:eastAsia="仿宋_GB2312" w:cs="仿宋_GB2312"/>
          <w:color w:val="000000" w:themeColor="text1"/>
          <w:spacing w:val="0"/>
          <w:sz w:val="32"/>
          <w:szCs w:val="32"/>
          <w14:textFill>
            <w14:solidFill>
              <w14:schemeClr w14:val="tx1"/>
            </w14:solidFill>
          </w14:textFill>
        </w:rPr>
        <w:t>科学立法、民主立法、依法立法，</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符合宪法、法律、行政法规和其他上位法的规定，从本市实际出发，突出地方特色，具有针对性和可执行性。</w:t>
      </w:r>
    </w:p>
    <w:p w14:paraId="11A9412C">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没有法律、行政法规、地方性法规的依据，规章不得设定减损公民、法人和其他组织权利或者增加其义务的规范。</w:t>
      </w:r>
    </w:p>
    <w:p w14:paraId="6B7928C1">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制定重大经济社会方面的规章，应当按照有关规定及时报告市委。</w:t>
      </w:r>
    </w:p>
    <w:p w14:paraId="2160AA6B">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四</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规章可以就下列事项作出规定：</w:t>
      </w:r>
    </w:p>
    <w:p w14:paraId="434EE9CF">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（一）为执行法律、行政法规、地方性法规的规定需要制定规章的事项；</w:t>
      </w:r>
    </w:p>
    <w:p w14:paraId="3318ACE7">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（二）属于本市行政区域的具体行政管理事项。</w:t>
      </w:r>
    </w:p>
    <w:p w14:paraId="3AB60973">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根据前款制定规章，限于城乡建设与管理、生态文明建设、历史文化保护、基层治理等方面的事项。</w:t>
      </w:r>
    </w:p>
    <w:p w14:paraId="760B090F">
      <w:pPr>
        <w:keepNext w:val="0"/>
        <w:keepLines w:val="0"/>
        <w:pageBreakBefore w:val="0"/>
        <w:tabs>
          <w:tab w:val="left" w:pos="8190"/>
          <w:tab w:val="left" w:pos="8400"/>
          <w:tab w:val="left" w:pos="8610"/>
        </w:tabs>
        <w:kinsoku/>
        <w:wordWrap/>
        <w:overflowPunct/>
        <w:topLinePunct w:val="0"/>
        <w:autoSpaceDE/>
        <w:autoSpaceDN/>
        <w:bidi w:val="0"/>
        <w:spacing w:line="600" w:lineRule="exact"/>
        <w:ind w:right="0" w:firstLine="640" w:firstLineChars="200"/>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第五条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市人民政府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统一领导本行政区域内</w:t>
      </w:r>
      <w:r>
        <w:rPr>
          <w:rFonts w:hint="eastAsia" w:ascii="仿宋_GB2312" w:hAnsi="仿宋_GB2312" w:eastAsia="仿宋_GB2312" w:cs="仿宋_GB2312"/>
          <w:color w:val="000000" w:themeColor="text1"/>
          <w:spacing w:val="0"/>
          <w:sz w:val="32"/>
          <w:szCs w:val="32"/>
          <w14:textFill>
            <w14:solidFill>
              <w14:schemeClr w14:val="tx1"/>
            </w14:solidFill>
          </w14:textFill>
        </w:rPr>
        <w:t>规章制定工作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研究、协调、决定规章制定工作中的重大问题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将制定规章所需经费列入财政预算。</w:t>
      </w:r>
    </w:p>
    <w:p w14:paraId="12782848">
      <w:pPr>
        <w:keepNext w:val="0"/>
        <w:keepLines w:val="0"/>
        <w:pageBreakBefore w:val="0"/>
        <w:tabs>
          <w:tab w:val="left" w:pos="8190"/>
          <w:tab w:val="left" w:pos="8400"/>
          <w:tab w:val="left" w:pos="8610"/>
        </w:tabs>
        <w:kinsoku/>
        <w:wordWrap/>
        <w:overflowPunct/>
        <w:topLinePunct w:val="0"/>
        <w:autoSpaceDE/>
        <w:autoSpaceDN/>
        <w:bidi w:val="0"/>
        <w:spacing w:line="600" w:lineRule="exact"/>
        <w:ind w:right="0" w:firstLine="640" w:firstLineChars="200"/>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市司法行政部门负责组织</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协调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督促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指导规章制定工作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，并具体负责规章草案的审查工作。</w:t>
      </w:r>
    </w:p>
    <w:p w14:paraId="3FEC15E2">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微软雅黑"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县（市、区）人民政府</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市人民政府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有关</w:t>
      </w:r>
      <w:r>
        <w:rPr>
          <w:rFonts w:hint="eastAsia" w:ascii="仿宋_GB2312" w:hAnsi="仿宋_GB2312" w:eastAsia="仿宋_GB2312" w:cs="仿宋_GB2312"/>
          <w:color w:val="000000" w:themeColor="text1"/>
          <w:spacing w:val="0"/>
          <w:sz w:val="32"/>
          <w:szCs w:val="32"/>
          <w14:textFill>
            <w14:solidFill>
              <w14:schemeClr w14:val="tx1"/>
            </w14:solidFill>
          </w14:textFill>
        </w:rPr>
        <w:t>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及有关单位应当按照职责和要求，做好规章的起草、调研、论证、征求意见等工作。</w:t>
      </w:r>
    </w:p>
    <w:p w14:paraId="31D8964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第六条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市人民政府</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应当拓宽社会公众有序参与政府立法的途径，通过</w:t>
      </w:r>
      <w:r>
        <w:rPr>
          <w:rFonts w:hint="eastAsia" w:ascii="仿宋_GB2312" w:hAnsi="仿宋_GB2312" w:eastAsia="仿宋_GB2312" w:cs="仿宋_GB2312"/>
          <w:color w:val="000000" w:themeColor="text1"/>
          <w:spacing w:val="0"/>
          <w:sz w:val="32"/>
          <w:szCs w:val="32"/>
          <w14:textFill>
            <w14:solidFill>
              <w14:schemeClr w14:val="tx1"/>
            </w14:solidFill>
          </w14:textFill>
        </w:rPr>
        <w:t>设立基层立法联系点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等方式</w:t>
      </w:r>
      <w:r>
        <w:rPr>
          <w:rFonts w:hint="eastAsia" w:ascii="仿宋_GB2312" w:hAnsi="仿宋_GB2312" w:eastAsia="仿宋_GB2312" w:cs="仿宋_GB2312"/>
          <w:color w:val="000000" w:themeColor="text1"/>
          <w:spacing w:val="0"/>
          <w:sz w:val="32"/>
          <w:szCs w:val="32"/>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广泛</w:t>
      </w:r>
      <w:r>
        <w:rPr>
          <w:rFonts w:hint="eastAsia" w:ascii="仿宋_GB2312" w:hAnsi="仿宋_GB2312" w:eastAsia="仿宋_GB2312" w:cs="仿宋_GB2312"/>
          <w:color w:val="000000" w:themeColor="text1"/>
          <w:spacing w:val="0"/>
          <w:sz w:val="32"/>
          <w:szCs w:val="32"/>
          <w14:textFill>
            <w14:solidFill>
              <w14:schemeClr w14:val="tx1"/>
            </w14:solidFill>
          </w14:textFill>
        </w:rPr>
        <w:t>听取基层群众和有关方面对规章草案和立法工作的意见。</w:t>
      </w:r>
    </w:p>
    <w:p w14:paraId="2BC8E53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鼓励社会公众参与规章项目征集、公开征求意见、</w:t>
      </w:r>
      <w:r>
        <w:rPr>
          <w:rFonts w:hint="eastAsia" w:ascii="仿宋_GB2312" w:hAnsi="仿宋_GB2312" w:eastAsia="仿宋_GB2312" w:cs="仿宋_GB2312"/>
          <w:color w:val="000000" w:themeColor="text1"/>
          <w:spacing w:val="0"/>
          <w:sz w:val="32"/>
          <w:szCs w:val="32"/>
          <w14:textFill>
            <w14:solidFill>
              <w14:schemeClr w14:val="tx1"/>
            </w14:solidFill>
          </w14:textFill>
        </w:rPr>
        <w:t>听证、咨询论证、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立法后</w:t>
      </w:r>
      <w:r>
        <w:rPr>
          <w:rFonts w:hint="eastAsia" w:ascii="仿宋_GB2312" w:hAnsi="仿宋_GB2312" w:eastAsia="仿宋_GB2312" w:cs="仿宋_GB2312"/>
          <w:color w:val="000000" w:themeColor="text1"/>
          <w:spacing w:val="0"/>
          <w:sz w:val="32"/>
          <w:szCs w:val="32"/>
          <w14:textFill>
            <w14:solidFill>
              <w14:schemeClr w14:val="tx1"/>
            </w14:solidFill>
          </w14:textFill>
        </w:rPr>
        <w:t>评估</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等立法过程，提高社会公众的关注度和参与度。</w:t>
      </w:r>
    </w:p>
    <w:p w14:paraId="62267D2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七</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宋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规章的名称一般称“规定”“办法”“实施细则”“实施办法”等，但不得称“条例”。</w:t>
      </w:r>
    </w:p>
    <w:p w14:paraId="2790F2E1">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规章应当结构严谨，条理清楚，用语准确、简洁，内容明确、具体。</w:t>
      </w:r>
    </w:p>
    <w:p w14:paraId="0C5E7D1C">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法律、法规已经明确规定的内容，规章</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一般</w:t>
      </w:r>
      <w:r>
        <w:rPr>
          <w:rFonts w:hint="eastAsia" w:ascii="仿宋_GB2312" w:hAnsi="仿宋_GB2312" w:eastAsia="仿宋_GB2312" w:cs="仿宋_GB2312"/>
          <w:color w:val="000000" w:themeColor="text1"/>
          <w:spacing w:val="0"/>
          <w:sz w:val="32"/>
          <w:szCs w:val="32"/>
          <w14:textFill>
            <w14:solidFill>
              <w14:schemeClr w14:val="tx1"/>
            </w14:solidFill>
          </w14:textFill>
        </w:rPr>
        <w:t>不作重复规定。</w:t>
      </w:r>
    </w:p>
    <w:p w14:paraId="5C45F3BD">
      <w:pPr>
        <w:keepNext w:val="0"/>
        <w:keepLines w:val="0"/>
        <w:pageBreakBefore w:val="0"/>
        <w:numPr>
          <w:ilvl w:val="0"/>
          <w:numId w:val="0"/>
        </w:numPr>
        <w:kinsoku/>
        <w:wordWrap/>
        <w:overflowPunct/>
        <w:topLinePunct w:val="0"/>
        <w:autoSpaceDE/>
        <w:autoSpaceDN/>
        <w:bidi w:val="0"/>
        <w:spacing w:line="600" w:lineRule="exact"/>
        <w:ind w:right="0" w:rightChars="0"/>
        <w:jc w:val="center"/>
        <w:rPr>
          <w:rFonts w:hint="eastAsia" w:ascii="黑体" w:hAnsi="黑体" w:eastAsia="黑体" w:cs="黑体"/>
          <w:color w:val="000000" w:themeColor="text1"/>
          <w:spacing w:val="0"/>
          <w:kern w:val="2"/>
          <w:sz w:val="32"/>
          <w:szCs w:val="32"/>
          <w:lang w:val="en-US" w:eastAsia="zh-CN" w:bidi="ar-SA"/>
          <w14:textFill>
            <w14:solidFill>
              <w14:schemeClr w14:val="tx1"/>
            </w14:solidFill>
          </w14:textFill>
        </w:rPr>
      </w:pPr>
    </w:p>
    <w:p w14:paraId="6664AEB0">
      <w:pPr>
        <w:keepNext w:val="0"/>
        <w:keepLines w:val="0"/>
        <w:pageBreakBefore w:val="0"/>
        <w:numPr>
          <w:ilvl w:val="0"/>
          <w:numId w:val="0"/>
        </w:numPr>
        <w:kinsoku/>
        <w:wordWrap/>
        <w:overflowPunct/>
        <w:topLinePunct w:val="0"/>
        <w:autoSpaceDE/>
        <w:autoSpaceDN/>
        <w:bidi w:val="0"/>
        <w:spacing w:line="600" w:lineRule="exact"/>
        <w:ind w:right="0" w:rightChars="0"/>
        <w:jc w:val="center"/>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kern w:val="2"/>
          <w:sz w:val="32"/>
          <w:szCs w:val="32"/>
          <w:lang w:val="en-US" w:eastAsia="zh-CN" w:bidi="ar-SA"/>
          <w14:textFill>
            <w14:solidFill>
              <w14:schemeClr w14:val="tx1"/>
            </w14:solidFill>
          </w14:textFill>
        </w:rPr>
        <w:t xml:space="preserve">第二章 </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sz w:val="32"/>
          <w:szCs w:val="32"/>
          <w14:textFill>
            <w14:solidFill>
              <w14:schemeClr w14:val="tx1"/>
            </w14:solidFill>
          </w14:textFill>
        </w:rPr>
        <w:t>立</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sz w:val="32"/>
          <w:szCs w:val="32"/>
          <w14:textFill>
            <w14:solidFill>
              <w14:schemeClr w14:val="tx1"/>
            </w14:solidFill>
          </w14:textFill>
        </w:rPr>
        <w:t>项</w:t>
      </w:r>
    </w:p>
    <w:p w14:paraId="6AB6B568">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jc w:val="center"/>
        <w:textAlignment w:val="baseline"/>
        <w:rPr>
          <w:rFonts w:hint="eastAsia" w:ascii="黑体" w:hAnsi="黑体" w:eastAsia="黑体" w:cs="黑体"/>
          <w:color w:val="000000" w:themeColor="text1"/>
          <w:spacing w:val="0"/>
          <w:sz w:val="32"/>
          <w:szCs w:val="32"/>
          <w14:textFill>
            <w14:solidFill>
              <w14:schemeClr w14:val="tx1"/>
            </w14:solidFill>
          </w14:textFill>
        </w:rPr>
      </w:pPr>
    </w:p>
    <w:p w14:paraId="588CBBE2">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b w:val="0"/>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 xml:space="preserve">第八条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市人民政府应当编制规章制定年度立法计划（以下简称年度立法计划），具体编制工作由市司法行政部门负责。</w:t>
      </w:r>
    </w:p>
    <w:p w14:paraId="6CF17718">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0" w:name="tiao_9_kuan_2"/>
      <w:bookmarkEnd w:id="0"/>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列入年度立法计划的项目分为正式项目和调研项目。正式项目是指立法条件比较成熟，年内可以提交审议的项目；调研项目是指有制定必要，需要进一步开展立法调研的项目。调研项目优先列为下一年度正式项目。</w:t>
      </w:r>
    </w:p>
    <w:p w14:paraId="36EBCA34">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第九条</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市司法行政部门应当于每年第三季度向县（市、区）人民政府、市人民政府有关部门及有关单位征集下一年度规章立法项目建议，并向社会公开征集立法项目建议。</w:t>
      </w:r>
    </w:p>
    <w:p w14:paraId="75A302F8">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市司法行政部门根据市委、市政府的工作要求或者实际工作需要，可以直接提出规章立法项目建议，交由有关部门、单位研究并反馈立项意见。</w:t>
      </w:r>
    </w:p>
    <w:p w14:paraId="730B440E">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 xml:space="preserve">第十条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公民、法人和其他组织可以通过信函、传真、电子邮件等方式提出规章立法项目建议，说明规章制定的必要性、需要解决的主要问题以及措施建议等内容。</w:t>
      </w:r>
    </w:p>
    <w:p w14:paraId="7036AA82">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市司法行政部门可以将公民、法人和其他组织提出的规章立法项目建议，交由有关部门、单位研究并提出处理意见。</w:t>
      </w:r>
    </w:p>
    <w:p w14:paraId="2322A78D">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 xml:space="preserve">第十一条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县（市、区）人民政府、市人民政府有关部门及有关单位认为需要制定规章的，应当在征集期限内向市司法行政部门申请立项，并提交下列材料：</w:t>
      </w:r>
    </w:p>
    <w:p w14:paraId="24D366EE">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（一）立项申请，包括规章名称、制定依据、立项的必要性和可行性、需要解决的主要问题、拟确立的主要制度、起草工作情况或工作计划等内容；</w:t>
      </w:r>
    </w:p>
    <w:p w14:paraId="58519CF5">
      <w:pPr>
        <w:keepNext w:val="0"/>
        <w:keepLines w:val="0"/>
        <w:pageBreakBefore w:val="0"/>
        <w:kinsoku/>
        <w:wordWrap/>
        <w:topLinePunct w:val="0"/>
        <w:autoSpaceDE/>
        <w:autoSpaceDN/>
        <w:bidi w:val="0"/>
        <w:spacing w:line="600" w:lineRule="exact"/>
        <w:ind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（二）相关法律、法规、规章和政策文件，有借鉴价值的立法资料；</w:t>
      </w:r>
    </w:p>
    <w:p w14:paraId="6EAF3FD6">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（三）重要、疑难问题的专家论证意见。</w:t>
      </w:r>
    </w:p>
    <w:p w14:paraId="5FDBC3C3">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b w:val="0"/>
          <w:bCs/>
          <w:snapToGrid w:val="0"/>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申报正式项目的，应当同时提交规章建议稿、说明等材料。</w:t>
      </w:r>
    </w:p>
    <w:p w14:paraId="4A7A1634">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 xml:space="preserve">第十二条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有下列情形之一的，不予立项：</w:t>
      </w:r>
    </w:p>
    <w:p w14:paraId="54D08CBF">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（一）超越规章制定权限的；</w:t>
      </w:r>
    </w:p>
    <w:p w14:paraId="145D7F06">
      <w:pPr>
        <w:keepNext w:val="0"/>
        <w:keepLines w:val="0"/>
        <w:pageBreakBefore w:val="0"/>
        <w:kinsoku/>
        <w:wordWrap/>
        <w:topLinePunct w:val="0"/>
        <w:autoSpaceDE/>
        <w:autoSpaceDN/>
        <w:bidi w:val="0"/>
        <w:spacing w:line="600" w:lineRule="exact"/>
        <w:ind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（二）法律、法规和规章已经有具体规定的；</w:t>
      </w:r>
    </w:p>
    <w:p w14:paraId="50F5621C">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（三）拟解决的主要问题可以通过制定行政规范性文件或者其他政策措施予以调整的；</w:t>
      </w:r>
    </w:p>
    <w:p w14:paraId="37555DA3">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（四）制定规章目的不明确，或者明显存在部门利益的；</w:t>
      </w:r>
    </w:p>
    <w:p w14:paraId="537180C5">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（五）主要内容与宪法、法律、法规相抵触，或者不符合党和国家有关方针政策的；</w:t>
      </w:r>
    </w:p>
    <w:p w14:paraId="16023BD1">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（六）不符合经济社会发展实际情况和需要的；</w:t>
      </w:r>
    </w:p>
    <w:p w14:paraId="766C4435">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（七）制定时机尚不成熟的；</w:t>
      </w:r>
    </w:p>
    <w:p w14:paraId="11238F1C">
      <w:pPr>
        <w:keepNext w:val="0"/>
        <w:keepLines w:val="0"/>
        <w:pageBreakBefore w:val="0"/>
        <w:kinsoku/>
        <w:wordWrap/>
        <w:topLinePunct w:val="0"/>
        <w:autoSpaceDE/>
        <w:autoSpaceDN/>
        <w:bidi w:val="0"/>
        <w:spacing w:line="600" w:lineRule="exact"/>
        <w:ind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（八）其他不适宜制定规章的情形。</w:t>
      </w:r>
    </w:p>
    <w:p w14:paraId="574C6A70">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eastAsia="仿宋_GB2312"/>
          <w:b w:val="0"/>
          <w:bCs/>
          <w:color w:val="000000" w:themeColor="text1"/>
          <w:spacing w:val="0"/>
          <w:kern w:val="0"/>
          <w:sz w:val="32"/>
          <w:szCs w:val="32"/>
          <w:u w:val="single"/>
          <w14:textFill>
            <w14:solidFill>
              <w14:schemeClr w14:val="tx1"/>
            </w14:solidFill>
          </w14:textFill>
        </w:rPr>
      </w:pP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第十三条</w:t>
      </w:r>
      <w:r>
        <w:rPr>
          <w:rFonts w:hint="eastAsia" w:ascii="仿宋_GB2312" w:eastAsia="仿宋_GB2312"/>
          <w:b w:val="0"/>
          <w:bCs/>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司法行政部门应当根据市委、市政府部署安排和经济社会发展需要，按照突出重点、急需先立、统筹兼顾的原则，对征集到的立项申请和立法项目建议进行评估论证，拟定年度立法计划，报请市人民政府批准后向社会公布。</w:t>
      </w:r>
    </w:p>
    <w:p w14:paraId="351DCB9D">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snapToGrid w:val="0"/>
          <w:color w:val="000000" w:themeColor="text1"/>
          <w:spacing w:val="0"/>
          <w:kern w:val="0"/>
          <w:sz w:val="32"/>
          <w:szCs w:val="32"/>
          <w14:textFill>
            <w14:solidFill>
              <w14:schemeClr w14:val="tx1"/>
            </w14:solidFill>
          </w14:textFill>
        </w:rPr>
        <w:t>第</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十四</w:t>
      </w:r>
      <w:r>
        <w:rPr>
          <w:rFonts w:hint="eastAsia" w:ascii="黑体" w:hAnsi="黑体" w:eastAsia="黑体" w:cs="黑体"/>
          <w:snapToGrid w:val="0"/>
          <w:color w:val="000000" w:themeColor="text1"/>
          <w:spacing w:val="0"/>
          <w:kern w:val="0"/>
          <w:sz w:val="32"/>
          <w:szCs w:val="32"/>
          <w14:textFill>
            <w14:solidFill>
              <w14:schemeClr w14:val="tx1"/>
            </w14:solidFill>
          </w14:textFill>
        </w:rPr>
        <w:t>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年度立法计划在执行过程中，可以根据实际情况调整。</w:t>
      </w:r>
    </w:p>
    <w:p w14:paraId="5DF0A960">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需要增加规章项目，或者调研项目转为正式项目的，应当按照本规定提交相关材料，进行补充论证，并报请市人民政府决定。</w:t>
      </w:r>
    </w:p>
    <w:p w14:paraId="2451157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i w:val="0"/>
          <w:caps w:val="0"/>
          <w:color w:val="000000" w:themeColor="text1"/>
          <w:spacing w:val="0"/>
          <w:sz w:val="32"/>
          <w:szCs w:val="32"/>
          <w:shd w:val="clear" w:color="auto" w:fill="FFFFFF"/>
          <w:lang w:val="en-US" w:eastAsia="zh-CN"/>
          <w14:textFill>
            <w14:solidFill>
              <w14:schemeClr w14:val="tx1"/>
            </w14:solidFill>
          </w14:textFill>
        </w:rPr>
      </w:pPr>
    </w:p>
    <w:p w14:paraId="6711A5DE">
      <w:pPr>
        <w:keepNext w:val="0"/>
        <w:keepLines w:val="0"/>
        <w:pageBreakBefore w:val="0"/>
        <w:numPr>
          <w:ilvl w:val="0"/>
          <w:numId w:val="0"/>
        </w:numPr>
        <w:kinsoku/>
        <w:wordWrap/>
        <w:overflowPunct/>
        <w:topLinePunct w:val="0"/>
        <w:autoSpaceDE/>
        <w:autoSpaceDN/>
        <w:bidi w:val="0"/>
        <w:spacing w:line="600" w:lineRule="exact"/>
        <w:ind w:left="0" w:leftChars="0" w:right="0" w:rightChars="0" w:firstLine="0" w:firstLineChars="0"/>
        <w:jc w:val="center"/>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kern w:val="2"/>
          <w:sz w:val="32"/>
          <w:szCs w:val="32"/>
          <w:lang w:val="en-US" w:eastAsia="zh-CN" w:bidi="ar-SA"/>
          <w14:textFill>
            <w14:solidFill>
              <w14:schemeClr w14:val="tx1"/>
            </w14:solidFill>
          </w14:textFill>
        </w:rPr>
        <w:t>第三章</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sz w:val="32"/>
          <w:szCs w:val="32"/>
          <w14:textFill>
            <w14:solidFill>
              <w14:schemeClr w14:val="tx1"/>
            </w14:solidFill>
          </w14:textFill>
        </w:rPr>
        <w:t>起</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color w:val="000000" w:themeColor="text1"/>
          <w:spacing w:val="0"/>
          <w:sz w:val="32"/>
          <w:szCs w:val="32"/>
          <w14:textFill>
            <w14:solidFill>
              <w14:schemeClr w14:val="tx1"/>
            </w14:solidFill>
          </w14:textFill>
        </w:rPr>
        <w:t>草</w:t>
      </w:r>
    </w:p>
    <w:p w14:paraId="7E23629B">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黑体" w:hAnsi="黑体" w:eastAsia="黑体" w:cs="黑体"/>
          <w:snapToGrid w:val="0"/>
          <w:color w:val="000000" w:themeColor="text1"/>
          <w:spacing w:val="0"/>
          <w:kern w:val="0"/>
          <w:sz w:val="32"/>
          <w:szCs w:val="32"/>
          <w14:textFill>
            <w14:solidFill>
              <w14:schemeClr w14:val="tx1"/>
            </w14:solidFill>
          </w14:textFill>
        </w:rPr>
      </w:pPr>
    </w:p>
    <w:p w14:paraId="34BCA7E3">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eastAsia="仿宋_GB2312"/>
          <w:b w:val="0"/>
          <w:bCs/>
          <w:color w:val="000000" w:themeColor="text1"/>
          <w:spacing w:val="0"/>
          <w:kern w:val="0"/>
          <w:sz w:val="32"/>
          <w:szCs w:val="32"/>
          <w14:textFill>
            <w14:solidFill>
              <w14:schemeClr w14:val="tx1"/>
            </w14:solidFill>
          </w14:textFill>
        </w:rPr>
      </w:pPr>
      <w:r>
        <w:rPr>
          <w:rFonts w:hint="eastAsia" w:ascii="黑体" w:hAnsi="黑体" w:eastAsia="黑体" w:cs="黑体"/>
          <w:snapToGrid w:val="0"/>
          <w:color w:val="000000" w:themeColor="text1"/>
          <w:spacing w:val="0"/>
          <w:kern w:val="0"/>
          <w:sz w:val="32"/>
          <w:szCs w:val="32"/>
          <w14:textFill>
            <w14:solidFill>
              <w14:schemeClr w14:val="tx1"/>
            </w14:solidFill>
          </w14:textFill>
        </w:rPr>
        <w:t>第</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十五</w:t>
      </w:r>
      <w:r>
        <w:rPr>
          <w:rFonts w:hint="eastAsia" w:ascii="黑体" w:hAnsi="黑体" w:eastAsia="黑体" w:cs="黑体"/>
          <w:snapToGrid w:val="0"/>
          <w:color w:val="000000" w:themeColor="text1"/>
          <w:spacing w:val="0"/>
          <w:kern w:val="0"/>
          <w:sz w:val="32"/>
          <w:szCs w:val="32"/>
          <w14:textFill>
            <w14:solidFill>
              <w14:schemeClr w14:val="tx1"/>
            </w14:solidFill>
          </w14:textFill>
        </w:rPr>
        <w:t>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规章原则上由提出立项申请的部门负责起草。规章内容涉及多个部门职责或者内容复杂的，可以由相关</w:t>
      </w:r>
      <w:r>
        <w:rPr>
          <w:rFonts w:hint="eastAsia" w:ascii="仿宋_GB2312" w:hAnsi="仿宋_GB2312" w:eastAsia="仿宋_GB2312" w:cs="仿宋_GB2312"/>
          <w:color w:val="000000" w:themeColor="text1"/>
          <w:spacing w:val="0"/>
          <w:sz w:val="32"/>
          <w:szCs w:val="32"/>
          <w14:textFill>
            <w14:solidFill>
              <w14:schemeClr w14:val="tx1"/>
            </w14:solidFill>
          </w14:textFill>
        </w:rPr>
        <w:t>部门共同协商确定起草单位，或者由市人民政府指定单位牵头，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其他</w:t>
      </w:r>
      <w:r>
        <w:rPr>
          <w:rFonts w:hint="eastAsia" w:ascii="仿宋_GB2312" w:hAnsi="仿宋_GB2312" w:eastAsia="仿宋_GB2312" w:cs="仿宋_GB2312"/>
          <w:color w:val="000000" w:themeColor="text1"/>
          <w:spacing w:val="0"/>
          <w:sz w:val="32"/>
          <w:szCs w:val="32"/>
          <w14:textFill>
            <w14:solidFill>
              <w14:schemeClr w14:val="tx1"/>
            </w14:solidFill>
          </w14:textFill>
        </w:rPr>
        <w:t>相关部门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参与</w:t>
      </w:r>
      <w:r>
        <w:rPr>
          <w:rFonts w:hint="eastAsia" w:ascii="仿宋_GB2312" w:hAnsi="仿宋_GB2312" w:eastAsia="仿宋_GB2312" w:cs="仿宋_GB2312"/>
          <w:color w:val="000000" w:themeColor="text1"/>
          <w:spacing w:val="0"/>
          <w:sz w:val="32"/>
          <w:szCs w:val="32"/>
          <w14:textFill>
            <w14:solidFill>
              <w14:schemeClr w14:val="tx1"/>
            </w14:solidFill>
          </w14:textFill>
        </w:rPr>
        <w:t>共同起草。</w:t>
      </w:r>
    </w:p>
    <w:p w14:paraId="7367D56A">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eastAsia="仿宋_GB2312"/>
          <w:b w:val="0"/>
          <w:bCs/>
          <w:color w:val="000000" w:themeColor="text1"/>
          <w:spacing w:val="0"/>
          <w:kern w:val="0"/>
          <w:sz w:val="32"/>
          <w:szCs w:val="32"/>
          <w:lang w:val="en-US" w:eastAsia="zh-CN"/>
          <w14:textFill>
            <w14:solidFill>
              <w14:schemeClr w14:val="tx1"/>
            </w14:solidFill>
          </w14:textFill>
        </w:rPr>
      </w:pPr>
      <w:r>
        <w:rPr>
          <w:rFonts w:hint="eastAsia" w:ascii="仿宋_GB2312" w:eastAsia="仿宋_GB2312"/>
          <w:b w:val="0"/>
          <w:bCs/>
          <w:color w:val="000000" w:themeColor="text1"/>
          <w:spacing w:val="0"/>
          <w:kern w:val="0"/>
          <w:sz w:val="32"/>
          <w:szCs w:val="32"/>
          <w14:textFill>
            <w14:solidFill>
              <w14:schemeClr w14:val="tx1"/>
            </w14:solidFill>
          </w14:textFill>
        </w:rPr>
        <w:t>规章内容</w:t>
      </w:r>
      <w:r>
        <w:rPr>
          <w:rFonts w:hint="eastAsia" w:ascii="仿宋_GB2312" w:eastAsia="仿宋_GB2312"/>
          <w:b w:val="0"/>
          <w:bCs/>
          <w:color w:val="000000" w:themeColor="text1"/>
          <w:spacing w:val="0"/>
          <w:kern w:val="0"/>
          <w:sz w:val="32"/>
          <w:szCs w:val="32"/>
          <w:lang w:val="en-US" w:eastAsia="zh-CN"/>
          <w14:textFill>
            <w14:solidFill>
              <w14:schemeClr w14:val="tx1"/>
            </w14:solidFill>
          </w14:textFill>
        </w:rPr>
        <w:t>涉及共同行政管理行为或者综合性较强的，经市人民政府批准，可以由市司法行政部门组织起草，其他有关部门应当予以配合。</w:t>
      </w:r>
    </w:p>
    <w:p w14:paraId="4A5BCF3E">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十六</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起草</w:t>
      </w:r>
      <w:r>
        <w:rPr>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专业性较强的</w:t>
      </w: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规章，起草单位可以邀请</w:t>
      </w:r>
      <w:r>
        <w:rPr>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相关领域的专家参与</w:t>
      </w: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，也可以委托具有立法研究能力和实践经验的教学科研单位、法律服务机构、行业协会等第三方承担起草工作。</w:t>
      </w:r>
    </w:p>
    <w:p w14:paraId="2DA13CC6">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委托第三方起草的，起草单位应当加强起草过程指导，保证起草质量。</w:t>
      </w:r>
    </w:p>
    <w:p w14:paraId="40A7A4B2">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十七条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eastAsia="仿宋_GB2312"/>
          <w:color w:val="000000" w:themeColor="text1"/>
          <w:spacing w:val="0"/>
          <w:kern w:val="0"/>
          <w:sz w:val="32"/>
          <w:szCs w:val="32"/>
          <w:lang w:val="en-US" w:eastAsia="zh-CN"/>
          <w14:textFill>
            <w14:solidFill>
              <w14:schemeClr w14:val="tx1"/>
            </w14:solidFill>
          </w14:textFill>
        </w:rPr>
        <w:t>起草单位应当在年度立法计划公</w:t>
      </w: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布之日起三十日内，成立由负责人、相关业务部门、法制工作机构组成的起草小组，制定工作方案，明确人员责任、进度安排、工作要求，落实工作经费，并将工作方案报送市司法行政部门。</w:t>
      </w:r>
    </w:p>
    <w:p w14:paraId="08E4EDE3">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市司法行政部门应当加强对规章起草工作的指导，及时跟踪了解起草进度，根据需要提前介入起草工作，必要时可以参与调研、论证等活动。</w:t>
      </w:r>
    </w:p>
    <w:p w14:paraId="4BA2D229">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第十八条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起草单位应当充分研究有关法律、法规和政策，学习借鉴先进经验，通过实地考察、问卷调查、统计分析等方式开展立法调研，明确需要解决的主要问题、拟确立的主要制度。</w:t>
      </w:r>
    </w:p>
    <w:p w14:paraId="03AE4E4B">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县（市、区）人民政府、市人民政府有关部门及有关单位应当配合起草单位开展立法调研活动，及时提供意见、建议和有关资料。</w:t>
      </w:r>
    </w:p>
    <w:p w14:paraId="11133D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黑体" w:hAnsi="黑体" w:eastAsia="黑体" w:cs="黑体"/>
          <w:i w:val="0"/>
          <w:iCs w:val="0"/>
          <w:caps w:val="0"/>
          <w:color w:val="000000" w:themeColor="text1"/>
          <w:spacing w:val="0"/>
          <w:sz w:val="32"/>
          <w:szCs w:val="32"/>
          <w:shd w:val="clear" w:color="auto" w:fill="FFFFFF"/>
          <w:lang w:val="en-US" w:eastAsia="zh-CN"/>
          <w14:textFill>
            <w14:solidFill>
              <w14:schemeClr w14:val="tx1"/>
            </w14:solidFill>
          </w14:textFill>
        </w:rPr>
        <w:t>第十九条</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除依法需要保密的外，起草单位应当将规章草案及其说明</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通过政府门户网站、部门网站、</w:t>
      </w:r>
      <w:r>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政务新媒体</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或者报刊、广播、电视等便于公众知晓的方式</w:t>
      </w:r>
      <w:r>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向社会公开征求意见</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w:t>
      </w:r>
      <w:r>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征求意见的期限一般不少于</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三十</w:t>
      </w:r>
      <w:r>
        <w:rPr>
          <w:rFonts w:hint="default"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日。</w:t>
      </w:r>
    </w:p>
    <w:p w14:paraId="32D157C1">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规章草案与市场主体生产经营活动密切相关的，应当充分听取市场主体、行业协会商会的意见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14061370">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规章草案</w:t>
      </w:r>
      <w:r>
        <w:rPr>
          <w:rFonts w:hint="eastAsia" w:ascii="仿宋_GB2312" w:hAnsi="仿宋_GB2312" w:eastAsia="仿宋_GB2312" w:cs="仿宋_GB2312"/>
          <w:color w:val="000000" w:themeColor="text1"/>
          <w:spacing w:val="0"/>
          <w:sz w:val="32"/>
          <w:szCs w:val="32"/>
          <w14:textFill>
            <w14:solidFill>
              <w14:schemeClr w14:val="tx1"/>
            </w14:solidFill>
          </w14:textFill>
        </w:rPr>
        <w:t>涉及老年人、妇女、未成年人</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和</w:t>
      </w:r>
      <w:r>
        <w:rPr>
          <w:rFonts w:hint="eastAsia" w:ascii="仿宋_GB2312" w:hAnsi="仿宋_GB2312" w:eastAsia="仿宋_GB2312" w:cs="仿宋_GB2312"/>
          <w:color w:val="000000" w:themeColor="text1"/>
          <w:spacing w:val="0"/>
          <w:sz w:val="32"/>
          <w:szCs w:val="32"/>
          <w14:textFill>
            <w14:solidFill>
              <w14:schemeClr w14:val="tx1"/>
            </w14:solidFill>
          </w14:textFill>
        </w:rPr>
        <w:t>残疾人等法律特殊保护群体权益的，应当听取有关部门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组织</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和群体</w:t>
      </w:r>
      <w:r>
        <w:rPr>
          <w:rFonts w:hint="eastAsia" w:ascii="仿宋_GB2312" w:hAnsi="仿宋_GB2312" w:eastAsia="仿宋_GB2312" w:cs="仿宋_GB2312"/>
          <w:color w:val="000000" w:themeColor="text1"/>
          <w:spacing w:val="0"/>
          <w:sz w:val="32"/>
          <w:szCs w:val="32"/>
          <w14:textFill>
            <w14:solidFill>
              <w14:schemeClr w14:val="tx1"/>
            </w14:solidFill>
          </w14:textFill>
        </w:rPr>
        <w:t>的意见。</w:t>
      </w:r>
    </w:p>
    <w:p w14:paraId="60D813C6">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pPr>
      <w:r>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t>规章草案涉及其他部门职责或者与其他部门关系紧密的，起草单位应当</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充分</w:t>
      </w:r>
      <w:r>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t>征求相关部门</w:t>
      </w:r>
      <w:r>
        <w:rPr>
          <w:rFonts w:hint="eastAsia" w:ascii="仿宋" w:hAnsi="仿宋" w:eastAsia="仿宋_GB2312" w:cs="仿宋"/>
          <w:i w:val="0"/>
          <w:iCs w:val="0"/>
          <w:caps w:val="0"/>
          <w:color w:val="000000" w:themeColor="text1"/>
          <w:spacing w:val="0"/>
          <w:sz w:val="32"/>
          <w:szCs w:val="32"/>
          <w:shd w:val="clear" w:color="auto" w:fill="FFFFFF"/>
          <w:lang w:eastAsia="zh-CN"/>
          <w14:textFill>
            <w14:solidFill>
              <w14:schemeClr w14:val="tx1"/>
            </w14:solidFill>
          </w14:textFill>
        </w:rPr>
        <w:t>的</w:t>
      </w:r>
      <w:r>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t>意见</w:t>
      </w:r>
      <w:r>
        <w:rPr>
          <w:rFonts w:hint="eastAsia" w:ascii="仿宋" w:hAnsi="仿宋" w:eastAsia="仿宋_GB2312" w:cs="仿宋"/>
          <w:i w:val="0"/>
          <w:iCs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对存在的分歧进行</w:t>
      </w:r>
      <w:r>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t>充分协商；协商后仍不能达成一致的，在报送</w:t>
      </w:r>
      <w:r>
        <w:rPr>
          <w:rFonts w:hint="eastAsia" w:ascii="仿宋" w:hAnsi="仿宋" w:eastAsia="仿宋_GB2312" w:cs="仿宋"/>
          <w:i w:val="0"/>
          <w:iCs w:val="0"/>
          <w:caps w:val="0"/>
          <w:color w:val="000000" w:themeColor="text1"/>
          <w:spacing w:val="0"/>
          <w:sz w:val="32"/>
          <w:szCs w:val="32"/>
          <w:shd w:val="clear" w:color="auto" w:fill="FFFFFF"/>
          <w:lang w:eastAsia="zh-CN"/>
          <w14:textFill>
            <w14:solidFill>
              <w14:schemeClr w14:val="tx1"/>
            </w14:solidFill>
          </w14:textFill>
        </w:rPr>
        <w:t>规章</w:t>
      </w:r>
      <w:r>
        <w:rPr>
          <w:rFonts w:hint="eastAsia" w:ascii="仿宋" w:hAnsi="仿宋" w:eastAsia="仿宋_GB2312" w:cs="仿宋"/>
          <w:i w:val="0"/>
          <w:iCs w:val="0"/>
          <w:caps w:val="0"/>
          <w:color w:val="000000" w:themeColor="text1"/>
          <w:spacing w:val="0"/>
          <w:sz w:val="32"/>
          <w:szCs w:val="32"/>
          <w:shd w:val="clear" w:color="auto" w:fill="FFFFFF"/>
          <w:lang w:val="en-US" w:eastAsia="zh-CN"/>
          <w14:textFill>
            <w14:solidFill>
              <w14:schemeClr w14:val="tx1"/>
            </w14:solidFill>
          </w14:textFill>
        </w:rPr>
        <w:t>草案</w:t>
      </w:r>
      <w:r>
        <w:rPr>
          <w:rFonts w:hint="eastAsia" w:ascii="仿宋" w:hAnsi="仿宋" w:eastAsia="仿宋_GB2312" w:cs="仿宋"/>
          <w:i w:val="0"/>
          <w:iCs w:val="0"/>
          <w:caps w:val="0"/>
          <w:color w:val="000000" w:themeColor="text1"/>
          <w:spacing w:val="0"/>
          <w:sz w:val="32"/>
          <w:szCs w:val="32"/>
          <w:shd w:val="clear" w:color="auto" w:fill="FFFFFF"/>
          <w:lang w:eastAsia="zh-CN"/>
          <w14:textFill>
            <w14:solidFill>
              <w14:schemeClr w14:val="tx1"/>
            </w14:solidFill>
          </w14:textFill>
        </w:rPr>
        <w:t>送审稿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（以下简称规章送审稿）</w:t>
      </w:r>
      <w:r>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t>时说明情况和理由。</w:t>
      </w:r>
    </w:p>
    <w:p w14:paraId="69CC0A38">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起草的规章，涉及社会公众普遍关注的热点难点问题和经济社会发展遇到的突出矛盾，减损公民、法人和其他组织权利或者增加其义务，对社会公众有重要影响等重大利益调整事项</w:t>
      </w:r>
      <w:r>
        <w:rPr>
          <w:rFonts w:hint="eastAsia" w:ascii="仿宋_GB2312" w:hAnsi="仿宋_GB2312" w:eastAsia="仿宋_GB2312" w:cs="仿宋_GB2312"/>
          <w:b w:val="0"/>
          <w:bCs/>
          <w:color w:val="000000" w:themeColor="text1"/>
          <w:spacing w:val="0"/>
          <w:sz w:val="32"/>
          <w:szCs w:val="32"/>
          <w14:textFill>
            <w14:solidFill>
              <w14:schemeClr w14:val="tx1"/>
            </w14:solidFill>
          </w14:textFill>
        </w:rPr>
        <w:t>或者</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专业性较强的，起草单位应当通过召开论证会、书面征询专家意见或者委托专业机构等方式，对相关内容进行论证。</w:t>
      </w:r>
    </w:p>
    <w:p w14:paraId="1DB22EC2">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起草的规章，涉及重大利益调整或者存在重大意见分歧，对公民、法人或者其他组织的权利义务有较大影响，人民群众普遍关注，需要进行听证的，</w:t>
      </w:r>
      <w:r>
        <w:rPr>
          <w:rFonts w:hint="eastAsia" w:ascii="仿宋" w:hAnsi="仿宋" w:eastAsia="仿宋_GB2312" w:cs="仿宋"/>
          <w:b w:val="0"/>
          <w:bCs/>
          <w:i w:val="0"/>
          <w:iCs w:val="0"/>
          <w:caps w:val="0"/>
          <w:color w:val="000000" w:themeColor="text1"/>
          <w:spacing w:val="0"/>
          <w:kern w:val="0"/>
          <w:sz w:val="32"/>
          <w:szCs w:val="32"/>
          <w:shd w:val="clear" w:fill="FFFFFF"/>
          <w:lang w:val="en-US" w:eastAsia="zh-CN" w:bidi="ar"/>
          <w14:textFill>
            <w14:solidFill>
              <w14:schemeClr w14:val="tx1"/>
            </w14:solidFill>
          </w14:textFill>
        </w:rPr>
        <w:t>起草单位应当举行听证会听取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意见。听证会依照下列程序组织：</w:t>
      </w:r>
    </w:p>
    <w:p w14:paraId="120CB4EF">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（一）听证会公开举行，起草单位应当在举行听证会的三十日前公布听证会的时间、地点和内容；</w:t>
      </w:r>
    </w:p>
    <w:p w14:paraId="3A390B95">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（二）参加听证会的有关机关、组织和公民对起草的规章，有权提问和发表意见；</w:t>
      </w:r>
    </w:p>
    <w:p w14:paraId="651C0EE5">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（三）听证会应当制作笔录，如实记录发言人的主要观点和理由；</w:t>
      </w:r>
    </w:p>
    <w:p w14:paraId="3EF93477">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（四）起草单位应当认真研究听证会反映的各种意见，起草的规章在报送审查时，应当说明对听证会意见的处理情况及其理由。</w:t>
      </w:r>
    </w:p>
    <w:p w14:paraId="0FEF4FD1">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第二十一条</w:t>
      </w:r>
      <w:r>
        <w:rPr>
          <w:rFonts w:hint="eastAsia" w:ascii="黑体" w:hAnsi="黑体" w:eastAsia="黑体" w:cs="黑体"/>
          <w:snapToGrid w:val="0"/>
          <w:color w:val="000000" w:themeColor="text1"/>
          <w:spacing w:val="0"/>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起草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w:t>
      </w:r>
      <w:r>
        <w:rPr>
          <w:rFonts w:hint="eastAsia" w:ascii="仿宋_GB2312" w:hAnsi="仿宋_GB2312" w:eastAsia="仿宋_GB2312" w:cs="仿宋_GB2312"/>
          <w:color w:val="000000" w:themeColor="text1"/>
          <w:spacing w:val="0"/>
          <w:sz w:val="32"/>
          <w:szCs w:val="32"/>
          <w14:textFill>
            <w14:solidFill>
              <w14:schemeClr w14:val="tx1"/>
            </w14:solidFill>
          </w14:textFill>
        </w:rPr>
        <w:t>涉及经营者经济活动</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，起草单位应当</w:t>
      </w:r>
      <w:r>
        <w:rPr>
          <w:rFonts w:hint="eastAsia" w:ascii="仿宋_GB2312" w:hAnsi="仿宋_GB2312" w:eastAsia="仿宋_GB2312" w:cs="仿宋_GB2312"/>
          <w:color w:val="000000" w:themeColor="text1"/>
          <w:spacing w:val="0"/>
          <w:sz w:val="32"/>
          <w:szCs w:val="32"/>
          <w14:textFill>
            <w14:solidFill>
              <w14:schemeClr w14:val="tx1"/>
            </w14:solidFill>
          </w14:textFill>
        </w:rPr>
        <w:t>依照</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有关</w:t>
      </w:r>
      <w:r>
        <w:rPr>
          <w:rFonts w:hint="eastAsia" w:ascii="仿宋_GB2312" w:hAnsi="仿宋_GB2312" w:eastAsia="仿宋_GB2312" w:cs="仿宋_GB2312"/>
          <w:color w:val="000000" w:themeColor="text1"/>
          <w:spacing w:val="0"/>
          <w:sz w:val="32"/>
          <w:szCs w:val="32"/>
          <w14:textFill>
            <w14:solidFill>
              <w14:schemeClr w14:val="tx1"/>
            </w14:solidFill>
          </w14:textFill>
        </w:rPr>
        <w:t>规定开展公平竞争审查</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初审，并送市市场监督管理部门会审</w:t>
      </w:r>
      <w:r>
        <w:rPr>
          <w:rFonts w:hint="eastAsia" w:ascii="仿宋_GB2312" w:hAnsi="仿宋_GB2312" w:eastAsia="仿宋_GB2312" w:cs="仿宋_GB2312"/>
          <w:color w:val="000000" w:themeColor="text1"/>
          <w:spacing w:val="0"/>
          <w:sz w:val="32"/>
          <w:szCs w:val="32"/>
          <w14:textFill>
            <w14:solidFill>
              <w14:schemeClr w14:val="tx1"/>
            </w14:solidFill>
          </w14:textFill>
        </w:rPr>
        <w:t>。</w:t>
      </w:r>
    </w:p>
    <w:p w14:paraId="5A70431D">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二十二</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起草单位应当组织本</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部门</w:t>
      </w:r>
      <w:r>
        <w:rPr>
          <w:rFonts w:hint="eastAsia" w:ascii="仿宋_GB2312" w:hAnsi="仿宋_GB2312" w:eastAsia="仿宋_GB2312" w:cs="仿宋_GB2312"/>
          <w:color w:val="000000" w:themeColor="text1"/>
          <w:spacing w:val="0"/>
          <w:sz w:val="32"/>
          <w:szCs w:val="32"/>
          <w14:textFill>
            <w14:solidFill>
              <w14:schemeClr w14:val="tx1"/>
            </w14:solidFill>
          </w14:textFill>
        </w:rPr>
        <w:t>负责法制、信访</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纪检监察</w:t>
      </w:r>
      <w:r>
        <w:rPr>
          <w:rFonts w:hint="eastAsia" w:ascii="仿宋_GB2312" w:hAnsi="仿宋_GB2312" w:eastAsia="仿宋_GB2312" w:cs="仿宋_GB2312"/>
          <w:color w:val="000000" w:themeColor="text1"/>
          <w:spacing w:val="0"/>
          <w:sz w:val="32"/>
          <w:szCs w:val="32"/>
          <w14:textFill>
            <w14:solidFill>
              <w14:schemeClr w14:val="tx1"/>
            </w14:solidFill>
          </w14:textFill>
        </w:rPr>
        <w:t>等工作的机构以及有关社会组织、专业机构、专家学者等</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评估主体</w:t>
      </w:r>
      <w:r>
        <w:rPr>
          <w:rFonts w:hint="eastAsia" w:ascii="仿宋_GB2312" w:hAnsi="仿宋_GB2312" w:eastAsia="仿宋_GB2312" w:cs="仿宋_GB2312"/>
          <w:color w:val="000000" w:themeColor="text1"/>
          <w:spacing w:val="0"/>
          <w:sz w:val="32"/>
          <w:szCs w:val="32"/>
          <w14:textFill>
            <w14:solidFill>
              <w14:schemeClr w14:val="tx1"/>
            </w14:solidFill>
          </w14:textFill>
        </w:rPr>
        <w:t>对规章项目进行社会稳定风险评估、制度廉洁性风险评估。</w:t>
      </w:r>
    </w:p>
    <w:p w14:paraId="1FD367F7">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jc w:val="both"/>
        <w:textAlignment w:val="auto"/>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社会稳定风险评估、制度廉洁性风险评估可以采取公开征求意见、问卷调查、网络投票、实地走访、召开座谈会等方式</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听取</w:t>
      </w:r>
      <w:r>
        <w:rPr>
          <w:rFonts w:hint="eastAsia" w:ascii="仿宋_GB2312" w:hAnsi="仿宋_GB2312" w:eastAsia="仿宋_GB2312" w:cs="仿宋_GB2312"/>
          <w:color w:val="000000" w:themeColor="text1"/>
          <w:spacing w:val="0"/>
          <w:sz w:val="32"/>
          <w:szCs w:val="32"/>
          <w14:textFill>
            <w14:solidFill>
              <w14:schemeClr w14:val="tx1"/>
            </w14:solidFill>
          </w14:textFill>
        </w:rPr>
        <w:t>意见。</w:t>
      </w:r>
    </w:p>
    <w:p w14:paraId="5297829A">
      <w:pPr>
        <w:keepNext w:val="0"/>
        <w:keepLines w:val="0"/>
        <w:pageBreakBefore w:val="0"/>
        <w:kinsoku/>
        <w:wordWrap/>
        <w:overflowPunct/>
        <w:topLinePunct w:val="0"/>
        <w:autoSpaceDE/>
        <w:autoSpaceDN/>
        <w:bidi w:val="0"/>
        <w:spacing w:line="600" w:lineRule="exact"/>
        <w:ind w:right="0" w:firstLine="664"/>
        <w:jc w:val="both"/>
        <w:rPr>
          <w:rFonts w:hint="eastAsia" w:ascii="仿宋" w:hAnsi="仿宋" w:eastAsia="仿宋_GB2312" w:cs="仿宋"/>
          <w:i w:val="0"/>
          <w:iCs w:val="0"/>
          <w:caps w:val="0"/>
          <w:color w:val="000000" w:themeColor="text1"/>
          <w:spacing w:val="0"/>
          <w:sz w:val="32"/>
          <w:szCs w:val="32"/>
          <w:shd w:val="clear" w:color="auto" w:fill="FFFFFF"/>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第二十三条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规章送审稿应当经</w:t>
      </w:r>
      <w:r>
        <w:rPr>
          <w:rFonts w:hint="eastAsia" w:ascii="仿宋_GB2312" w:hAnsi="仿宋_GB2312" w:eastAsia="仿宋_GB2312" w:cs="仿宋_GB2312"/>
          <w:color w:val="000000" w:themeColor="text1"/>
          <w:spacing w:val="0"/>
          <w:sz w:val="32"/>
          <w:szCs w:val="32"/>
          <w14:textFill>
            <w14:solidFill>
              <w14:schemeClr w14:val="tx1"/>
            </w14:solidFill>
          </w14:textFill>
        </w:rPr>
        <w:t>起草单位法制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工作</w:t>
      </w:r>
      <w:r>
        <w:rPr>
          <w:rFonts w:hint="eastAsia" w:ascii="仿宋_GB2312" w:hAnsi="仿宋_GB2312" w:eastAsia="仿宋_GB2312" w:cs="仿宋_GB2312"/>
          <w:color w:val="000000" w:themeColor="text1"/>
          <w:spacing w:val="0"/>
          <w:sz w:val="32"/>
          <w:szCs w:val="32"/>
          <w14:textFill>
            <w14:solidFill>
              <w14:schemeClr w14:val="tx1"/>
            </w14:solidFill>
          </w14:textFill>
        </w:rPr>
        <w:t>机构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审查、领导班子集体讨论通过后，由起草单位</w:t>
      </w:r>
      <w:r>
        <w:rPr>
          <w:rFonts w:hint="eastAsia" w:ascii="仿宋_GB2312" w:hAnsi="仿宋_GB2312" w:eastAsia="仿宋_GB2312" w:cs="仿宋_GB2312"/>
          <w:color w:val="000000" w:themeColor="text1"/>
          <w:spacing w:val="0"/>
          <w:sz w:val="32"/>
          <w:szCs w:val="32"/>
          <w14:textFill>
            <w14:solidFill>
              <w14:schemeClr w14:val="tx1"/>
            </w14:solidFill>
          </w14:textFill>
        </w:rPr>
        <w:t>主要负责人签署</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多个</w:t>
      </w:r>
      <w:r>
        <w:rPr>
          <w:rFonts w:hint="eastAsia" w:ascii="仿宋_GB2312" w:hAnsi="仿宋_GB2312" w:eastAsia="仿宋_GB2312" w:cs="仿宋_GB2312"/>
          <w:color w:val="000000" w:themeColor="text1"/>
          <w:spacing w:val="0"/>
          <w:sz w:val="32"/>
          <w:szCs w:val="32"/>
          <w14:textFill>
            <w14:solidFill>
              <w14:schemeClr w14:val="tx1"/>
            </w14:solidFill>
          </w14:textFill>
        </w:rPr>
        <w:t>单位共同起草的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应当由各起草单位主要负责人共同签署。</w:t>
      </w:r>
    </w:p>
    <w:p w14:paraId="6AE821B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二十四</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起草单位应当</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按照年度立法计划的要求完成起草工作，并向市司法行政部门报送下列材料</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57F05DAC">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）规章送审稿、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w:t>
      </w:r>
      <w:r>
        <w:rPr>
          <w:rFonts w:hint="eastAsia" w:ascii="仿宋_GB2312" w:hAnsi="仿宋_GB2312" w:eastAsia="仿宋_GB2312" w:cs="仿宋_GB2312"/>
          <w:color w:val="000000" w:themeColor="text1"/>
          <w:spacing w:val="0"/>
          <w:sz w:val="32"/>
          <w:szCs w:val="32"/>
          <w14:textFill>
            <w14:solidFill>
              <w14:schemeClr w14:val="tx1"/>
            </w14:solidFill>
          </w14:textFill>
        </w:rPr>
        <w:t>说明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参阅资料对照表</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其中起草说明</w:t>
      </w:r>
      <w:r>
        <w:rPr>
          <w:rFonts w:hint="eastAsia" w:ascii="仿宋_GB2312" w:hAnsi="仿宋_GB2312" w:eastAsia="仿宋_GB2312" w:cs="仿宋_GB2312"/>
          <w:color w:val="000000" w:themeColor="text1"/>
          <w:spacing w:val="0"/>
          <w:sz w:val="32"/>
          <w:szCs w:val="32"/>
          <w14:textFill>
            <w14:solidFill>
              <w14:schemeClr w14:val="tx1"/>
            </w14:solidFill>
          </w14:textFill>
        </w:rPr>
        <w:t>包括制定规章的必要性、</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起草依据、起草</w:t>
      </w:r>
      <w:r>
        <w:rPr>
          <w:rFonts w:hint="eastAsia" w:ascii="仿宋_GB2312" w:hAnsi="仿宋_GB2312" w:eastAsia="仿宋_GB2312" w:cs="仿宋_GB2312"/>
          <w:color w:val="000000" w:themeColor="text1"/>
          <w:spacing w:val="0"/>
          <w:sz w:val="32"/>
          <w:szCs w:val="32"/>
          <w14:textFill>
            <w14:solidFill>
              <w14:schemeClr w14:val="tx1"/>
            </w14:solidFill>
          </w14:textFill>
        </w:rPr>
        <w:t>过程、</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主要内容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有关方面分歧意见的</w:t>
      </w:r>
      <w:r>
        <w:rPr>
          <w:rFonts w:hint="eastAsia" w:ascii="仿宋_GB2312" w:hAnsi="仿宋_GB2312" w:eastAsia="仿宋_GB2312" w:cs="仿宋_GB2312"/>
          <w:color w:val="000000" w:themeColor="text1"/>
          <w:spacing w:val="0"/>
          <w:sz w:val="32"/>
          <w:szCs w:val="32"/>
          <w14:textFill>
            <w14:solidFill>
              <w14:schemeClr w14:val="tx1"/>
            </w14:solidFill>
          </w14:textFill>
        </w:rPr>
        <w:t>协商处理情况等内容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EA8914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立法调研情况</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56CDFD3F">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征求意</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见及意见采纳情况</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举行听证会、论证会的有关记录或者报告；</w:t>
      </w:r>
    </w:p>
    <w:p w14:paraId="259698FC">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依据的有关</w:t>
      </w:r>
      <w:r>
        <w:rPr>
          <w:rFonts w:hint="eastAsia" w:ascii="仿宋_GB2312" w:hAnsi="仿宋_GB2312" w:eastAsia="仿宋_GB2312" w:cs="仿宋_GB2312"/>
          <w:color w:val="000000" w:themeColor="text1"/>
          <w:spacing w:val="0"/>
          <w:sz w:val="32"/>
          <w:szCs w:val="32"/>
          <w14:textFill>
            <w14:solidFill>
              <w14:schemeClr w14:val="tx1"/>
            </w14:solidFill>
          </w14:textFill>
        </w:rPr>
        <w:t>法律、法规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政策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文件以及外地有关立法资料等；</w:t>
      </w:r>
    </w:p>
    <w:p w14:paraId="4CF94F7F">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开展风险评估、公平竞争审查的相关材料；</w:t>
      </w:r>
    </w:p>
    <w:p w14:paraId="2C4F5DD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本单位</w:t>
      </w:r>
      <w:r>
        <w:rPr>
          <w:rFonts w:hint="eastAsia" w:ascii="仿宋_GB2312" w:hAnsi="仿宋_GB2312" w:eastAsia="仿宋_GB2312" w:cs="仿宋_GB2312"/>
          <w:color w:val="000000" w:themeColor="text1"/>
          <w:spacing w:val="0"/>
          <w:sz w:val="32"/>
          <w:szCs w:val="32"/>
          <w14:textFill>
            <w14:solidFill>
              <w14:schemeClr w14:val="tx1"/>
            </w14:solidFill>
          </w14:textFill>
        </w:rPr>
        <w:t>法制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工作</w:t>
      </w:r>
      <w:r>
        <w:rPr>
          <w:rFonts w:hint="eastAsia" w:ascii="仿宋_GB2312" w:hAnsi="仿宋_GB2312" w:eastAsia="仿宋_GB2312" w:cs="仿宋_GB2312"/>
          <w:color w:val="000000" w:themeColor="text1"/>
          <w:spacing w:val="0"/>
          <w:sz w:val="32"/>
          <w:szCs w:val="32"/>
          <w14:textFill>
            <w14:solidFill>
              <w14:schemeClr w14:val="tx1"/>
            </w14:solidFill>
          </w14:textFill>
        </w:rPr>
        <w:t>机构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审查意见，领导班子</w:t>
      </w:r>
      <w:r>
        <w:rPr>
          <w:rFonts w:hint="eastAsia" w:ascii="仿宋_GB2312" w:hAnsi="仿宋_GB2312" w:eastAsia="仿宋_GB2312" w:cs="仿宋_GB2312"/>
          <w:color w:val="000000" w:themeColor="text1"/>
          <w:spacing w:val="0"/>
          <w:sz w:val="32"/>
          <w:szCs w:val="32"/>
          <w14:textFill>
            <w14:solidFill>
              <w14:schemeClr w14:val="tx1"/>
            </w14:solidFill>
          </w14:textFill>
        </w:rPr>
        <w:t>集体</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讨论</w:t>
      </w:r>
      <w:r>
        <w:rPr>
          <w:rFonts w:hint="eastAsia" w:ascii="仿宋_GB2312" w:hAnsi="仿宋_GB2312" w:eastAsia="仿宋_GB2312" w:cs="仿宋_GB2312"/>
          <w:color w:val="000000" w:themeColor="text1"/>
          <w:spacing w:val="0"/>
          <w:sz w:val="32"/>
          <w:szCs w:val="32"/>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记录</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4972C422">
      <w:pPr>
        <w:keepNext w:val="0"/>
        <w:keepLines w:val="0"/>
        <w:pageBreakBefore w:val="0"/>
        <w:kinsoku/>
        <w:wordWrap/>
        <w:overflowPunct/>
        <w:topLinePunct w:val="0"/>
        <w:autoSpaceDE/>
        <w:autoSpaceDN/>
        <w:bidi w:val="0"/>
        <w:spacing w:line="600" w:lineRule="exact"/>
        <w:ind w:right="0" w:firstLine="640" w:firstLineChars="200"/>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（七）</w:t>
      </w:r>
      <w:r>
        <w:rPr>
          <w:rFonts w:hint="eastAsia" w:ascii="仿宋_GB2312" w:hAnsi="仿宋_GB2312" w:eastAsia="仿宋_GB2312" w:cs="仿宋_GB2312"/>
          <w:color w:val="000000" w:themeColor="text1"/>
          <w:spacing w:val="0"/>
          <w:sz w:val="32"/>
          <w:szCs w:val="32"/>
          <w14:textFill>
            <w14:solidFill>
              <w14:schemeClr w14:val="tx1"/>
            </w14:solidFill>
          </w14:textFill>
        </w:rPr>
        <w:t>其他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有关</w:t>
      </w:r>
      <w:r>
        <w:rPr>
          <w:rFonts w:hint="eastAsia" w:ascii="仿宋_GB2312" w:hAnsi="仿宋_GB2312" w:eastAsia="仿宋_GB2312" w:cs="仿宋_GB2312"/>
          <w:color w:val="000000" w:themeColor="text1"/>
          <w:spacing w:val="0"/>
          <w:sz w:val="32"/>
          <w:szCs w:val="32"/>
          <w14:textFill>
            <w14:solidFill>
              <w14:schemeClr w14:val="tx1"/>
            </w14:solidFill>
          </w14:textFill>
        </w:rPr>
        <w:t>材料。</w:t>
      </w:r>
    </w:p>
    <w:p w14:paraId="6E33A2FF">
      <w:pPr>
        <w:keepNext w:val="0"/>
        <w:keepLines w:val="0"/>
        <w:pageBreakBefore w:val="0"/>
        <w:widowControl w:val="0"/>
        <w:suppressLineNumbers w:val="0"/>
        <w:kinsoku/>
        <w:wordWrap/>
        <w:overflowPunct/>
        <w:topLinePunct w:val="0"/>
        <w:autoSpaceDE w:val="0"/>
        <w:autoSpaceDN/>
        <w:bidi w:val="0"/>
        <w:adjustRightInd/>
        <w:snapToGrid w:val="0"/>
        <w:spacing w:beforeAutospacing="0" w:afterAutospacing="0" w:line="600" w:lineRule="exact"/>
        <w:ind w:left="0" w:leftChars="0" w:right="0" w:rightChars="0" w:firstLine="640" w:firstLineChars="200"/>
        <w:contextualSpacing/>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第二十五条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起草单位不能按时完成起草报送工作的，应当在期限届满前提交书面材料说明理由。无正当理由逾期未报送的，由市司法行政部门发送督促函，同时上报市人民政府。</w:t>
      </w:r>
    </w:p>
    <w:p w14:paraId="44571AED">
      <w:pPr>
        <w:keepNext w:val="0"/>
        <w:keepLines w:val="0"/>
        <w:pageBreakBefore w:val="0"/>
        <w:kinsoku/>
        <w:wordWrap/>
        <w:overflowPunct w:val="0"/>
        <w:topLinePunct w:val="0"/>
        <w:autoSpaceDE w:val="0"/>
        <w:autoSpaceDN/>
        <w:bidi w:val="0"/>
        <w:spacing w:beforeAutospacing="0" w:afterAutospacing="0" w:line="600" w:lineRule="exact"/>
        <w:ind w:left="0" w:leftChars="0" w:right="0" w:rightChars="0" w:firstLine="640" w:firstLineChars="200"/>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p>
    <w:p w14:paraId="503A676D">
      <w:pPr>
        <w:keepNext w:val="0"/>
        <w:keepLines w:val="0"/>
        <w:pageBreakBefore w:val="0"/>
        <w:kinsoku/>
        <w:wordWrap/>
        <w:overflowPunct/>
        <w:topLinePunct w:val="0"/>
        <w:autoSpaceDE/>
        <w:autoSpaceDN/>
        <w:bidi w:val="0"/>
        <w:spacing w:line="600" w:lineRule="exact"/>
        <w:ind w:right="0"/>
        <w:jc w:val="cente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pP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第四章</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审</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查</w:t>
      </w:r>
    </w:p>
    <w:p w14:paraId="1356A1BB">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黑体" w:hAnsi="黑体" w:eastAsia="黑体" w:cs="黑体"/>
          <w:color w:val="000000" w:themeColor="text1"/>
          <w:spacing w:val="0"/>
          <w:sz w:val="32"/>
          <w:szCs w:val="32"/>
          <w14:textFill>
            <w14:solidFill>
              <w14:schemeClr w14:val="tx1"/>
            </w14:solidFill>
          </w14:textFill>
        </w:rPr>
      </w:pPr>
    </w:p>
    <w:p w14:paraId="7F7AEE9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二十六</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Times New Roman"/>
          <w:color w:val="000000" w:themeColor="text1"/>
          <w:spacing w:val="0"/>
          <w:sz w:val="32"/>
          <w:szCs w:val="32"/>
          <w14:textFill>
            <w14:solidFill>
              <w14:schemeClr w14:val="tx1"/>
            </w14:solidFill>
          </w14:textFill>
        </w:rPr>
        <w:t>市司法行政</w:t>
      </w:r>
      <w:r>
        <w:rPr>
          <w:rFonts w:hint="eastAsia" w:ascii="仿宋_GB2312" w:hAnsi="仿宋_GB2312" w:eastAsia="仿宋_GB2312" w:cs="Times New Roman"/>
          <w:color w:val="000000" w:themeColor="text1"/>
          <w:spacing w:val="0"/>
          <w:sz w:val="32"/>
          <w:szCs w:val="32"/>
          <w:lang w:val="en-US" w:eastAsia="zh-CN"/>
          <w14:textFill>
            <w14:solidFill>
              <w14:schemeClr w14:val="tx1"/>
            </w14:solidFill>
          </w14:textFill>
        </w:rPr>
        <w:t>部门</w:t>
      </w:r>
      <w:r>
        <w:rPr>
          <w:rFonts w:hint="eastAsia" w:ascii="仿宋_GB2312" w:hAnsi="仿宋_GB2312" w:eastAsia="仿宋_GB2312" w:cs="Times New Roman"/>
          <w:color w:val="000000" w:themeColor="text1"/>
          <w:spacing w:val="0"/>
          <w:sz w:val="32"/>
          <w:szCs w:val="32"/>
          <w14:textFill>
            <w14:solidFill>
              <w14:schemeClr w14:val="tx1"/>
            </w14:solidFill>
          </w14:textFill>
        </w:rPr>
        <w:t>应当对</w:t>
      </w:r>
      <w:r>
        <w:rPr>
          <w:rFonts w:hint="eastAsia" w:ascii="仿宋_GB2312" w:hAnsi="仿宋_GB2312" w:eastAsia="仿宋_GB2312" w:cs="Times New Roman"/>
          <w:color w:val="000000" w:themeColor="text1"/>
          <w:spacing w:val="0"/>
          <w:sz w:val="32"/>
          <w:szCs w:val="32"/>
          <w:lang w:val="en-US" w:eastAsia="zh-CN"/>
          <w14:textFill>
            <w14:solidFill>
              <w14:schemeClr w14:val="tx1"/>
            </w14:solidFill>
          </w14:textFill>
        </w:rPr>
        <w:t>起草单位报送的材料</w:t>
      </w:r>
      <w:r>
        <w:rPr>
          <w:rFonts w:hint="eastAsia" w:ascii="仿宋_GB2312" w:hAnsi="仿宋_GB2312" w:eastAsia="仿宋_GB2312" w:cs="Times New Roman"/>
          <w:color w:val="000000" w:themeColor="text1"/>
          <w:spacing w:val="0"/>
          <w:sz w:val="32"/>
          <w:szCs w:val="32"/>
          <w14:textFill>
            <w14:solidFill>
              <w14:schemeClr w14:val="tx1"/>
            </w14:solidFill>
          </w14:textFill>
        </w:rPr>
        <w:t>进行</w:t>
      </w:r>
      <w:r>
        <w:rPr>
          <w:rFonts w:hint="eastAsia" w:ascii="仿宋_GB2312" w:hAnsi="仿宋_GB2312" w:eastAsia="仿宋_GB2312" w:cs="Times New Roman"/>
          <w:color w:val="000000" w:themeColor="text1"/>
          <w:spacing w:val="0"/>
          <w:sz w:val="32"/>
          <w:szCs w:val="32"/>
          <w:lang w:val="en-US" w:eastAsia="zh-CN"/>
          <w14:textFill>
            <w14:solidFill>
              <w14:schemeClr w14:val="tx1"/>
            </w14:solidFill>
          </w14:textFill>
        </w:rPr>
        <w:t>初步</w:t>
      </w:r>
      <w:r>
        <w:rPr>
          <w:rFonts w:hint="eastAsia" w:ascii="仿宋_GB2312" w:hAnsi="仿宋_GB2312" w:eastAsia="仿宋_GB2312" w:cs="Times New Roman"/>
          <w:color w:val="000000" w:themeColor="text1"/>
          <w:spacing w:val="0"/>
          <w:sz w:val="32"/>
          <w:szCs w:val="32"/>
          <w14:textFill>
            <w14:solidFill>
              <w14:schemeClr w14:val="tx1"/>
            </w14:solidFill>
          </w14:textFill>
        </w:rPr>
        <w:t>审查</w:t>
      </w:r>
      <w:r>
        <w:rPr>
          <w:rFonts w:hint="eastAsia" w:ascii="仿宋_GB2312" w:hAnsi="仿宋_GB2312" w:eastAsia="仿宋_GB2312" w:cs="Times New Roman"/>
          <w:color w:val="000000" w:themeColor="text1"/>
          <w:spacing w:val="0"/>
          <w:sz w:val="32"/>
          <w:szCs w:val="32"/>
          <w:lang w:eastAsia="zh-CN"/>
          <w14:textFill>
            <w14:solidFill>
              <w14:schemeClr w14:val="tx1"/>
            </w14:solidFill>
          </w14:textFill>
        </w:rPr>
        <w:t>。</w:t>
      </w:r>
      <w:r>
        <w:rPr>
          <w:rFonts w:hint="eastAsia" w:ascii="仿宋_GB2312" w:hAnsi="仿宋_GB2312" w:eastAsia="仿宋_GB2312" w:cs="Times New Roman"/>
          <w:color w:val="000000" w:themeColor="text1"/>
          <w:spacing w:val="0"/>
          <w:sz w:val="32"/>
          <w:szCs w:val="32"/>
          <w14:textFill>
            <w14:solidFill>
              <w14:schemeClr w14:val="tx1"/>
            </w14:solidFill>
          </w14:textFill>
        </w:rPr>
        <w:t>材料不齐全或者不符合要求的，应当通知起草单位限期补正。</w:t>
      </w:r>
    </w:p>
    <w:p w14:paraId="7E8BADAA">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二十七</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市司法行政部门主要从</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下列</w:t>
      </w:r>
      <w:r>
        <w:rPr>
          <w:rFonts w:hint="eastAsia" w:ascii="仿宋_GB2312" w:hAnsi="仿宋_GB2312" w:eastAsia="仿宋_GB2312" w:cs="仿宋_GB2312"/>
          <w:color w:val="000000" w:themeColor="text1"/>
          <w:spacing w:val="0"/>
          <w:sz w:val="32"/>
          <w:szCs w:val="32"/>
          <w14:textFill>
            <w14:solidFill>
              <w14:schemeClr w14:val="tx1"/>
            </w14:solidFill>
          </w14:textFill>
        </w:rPr>
        <w:t>方面对规章送审稿进行</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全面</w:t>
      </w:r>
      <w:r>
        <w:rPr>
          <w:rFonts w:hint="eastAsia" w:ascii="仿宋_GB2312" w:hAnsi="仿宋_GB2312" w:eastAsia="仿宋_GB2312" w:cs="仿宋_GB2312"/>
          <w:color w:val="000000" w:themeColor="text1"/>
          <w:spacing w:val="0"/>
          <w:sz w:val="32"/>
          <w:szCs w:val="32"/>
          <w14:textFill>
            <w14:solidFill>
              <w14:schemeClr w14:val="tx1"/>
            </w14:solidFill>
          </w14:textFill>
        </w:rPr>
        <w:t>审查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10928A8">
      <w:pPr>
        <w:keepNext w:val="0"/>
        <w:keepLines w:val="0"/>
        <w:pageBreakBefore w:val="0"/>
        <w:numPr>
          <w:ilvl w:val="0"/>
          <w:numId w:val="2"/>
        </w:numPr>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是否符合党的路线方针政策和</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改革精神</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5DFC8A5A">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符合上位法的规定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是否与有关规章协调、衔接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4D29CD21">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是否符合规章的立法权限</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和立法程序</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170CD626">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是否符合社会主义核心价值观的要求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4EF23069">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五</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拟确立的主要制度和管理措施是否必要、适当、可行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6DB70CF8">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六</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是否正确处理有关单位、组织和公民对规章送审稿主要问题的意见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是否正确处理有关重大意见分歧</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9F9EFB7">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是否符合公平竞争的要求；</w:t>
      </w:r>
    </w:p>
    <w:p w14:paraId="35DF639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八</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是否符合立法技术</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767998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九</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其他需要审查的内容。</w:t>
      </w:r>
    </w:p>
    <w:p w14:paraId="27CC55B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二十八</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规章送审稿有下列情形之一的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市司法行政部门可以缓办或者退回起草单位</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291D305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一</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制定规章的基本条件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尚不成熟或者</w:t>
      </w:r>
      <w:r>
        <w:rPr>
          <w:rFonts w:hint="eastAsia" w:ascii="仿宋_GB2312" w:hAnsi="仿宋_GB2312" w:eastAsia="仿宋_GB2312" w:cs="仿宋_GB2312"/>
          <w:color w:val="000000" w:themeColor="text1"/>
          <w:spacing w:val="0"/>
          <w:sz w:val="32"/>
          <w:szCs w:val="32"/>
          <w14:textFill>
            <w14:solidFill>
              <w14:schemeClr w14:val="tx1"/>
            </w14:solidFill>
          </w14:textFill>
        </w:rPr>
        <w:t>发生重大变化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的</w:t>
      </w:r>
      <w:r>
        <w:rPr>
          <w:rFonts w:hint="eastAsia" w:ascii="仿宋_GB2312" w:hAnsi="仿宋_GB2312" w:eastAsia="仿宋_GB2312" w:cs="仿宋_GB2312"/>
          <w:strike w:val="0"/>
          <w:dstrike w:val="0"/>
          <w:color w:val="000000" w:themeColor="text1"/>
          <w:spacing w:val="0"/>
          <w:sz w:val="32"/>
          <w:szCs w:val="32"/>
          <w:lang w:eastAsia="zh-CN"/>
          <w14:textFill>
            <w14:solidFill>
              <w14:schemeClr w14:val="tx1"/>
            </w14:solidFill>
          </w14:textFill>
        </w:rPr>
        <w:t>；</w:t>
      </w:r>
    </w:p>
    <w:p w14:paraId="478D5B60">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有关</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部门</w:t>
      </w:r>
      <w:r>
        <w:rPr>
          <w:rFonts w:hint="eastAsia" w:ascii="仿宋_GB2312" w:hAnsi="仿宋_GB2312" w:eastAsia="仿宋_GB2312" w:cs="仿宋_GB2312"/>
          <w:color w:val="000000" w:themeColor="text1"/>
          <w:spacing w:val="0"/>
          <w:sz w:val="32"/>
          <w:szCs w:val="32"/>
          <w14:textFill>
            <w14:solidFill>
              <w14:schemeClr w14:val="tx1"/>
            </w14:solidFill>
          </w14:textFill>
        </w:rPr>
        <w:t>或者</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spacing w:val="0"/>
          <w:sz w:val="32"/>
          <w:szCs w:val="32"/>
          <w14:textFill>
            <w14:solidFill>
              <w14:schemeClr w14:val="tx1"/>
            </w14:solidFill>
          </w14:textFill>
        </w:rPr>
        <w:t>对规定的主要制度存在较大争议</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起草单位未与有关单位或者部门充分协商的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3FD690DE">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未按照规定公开征求意见的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6FCEF7A1">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strike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pacing w:val="0"/>
          <w:sz w:val="32"/>
          <w:szCs w:val="32"/>
          <w14:textFill>
            <w14:solidFill>
              <w14:schemeClr w14:val="tx1"/>
            </w14:solidFill>
          </w14:textFill>
        </w:rPr>
        <w:t>主要内容严重脱离实际或者在立法技术上存在重大缺陷</w:t>
      </w:r>
      <w:r>
        <w:rPr>
          <w:rFonts w:hint="eastAsia" w:ascii="仿宋_GB2312" w:hAnsi="仿宋_GB2312" w:eastAsia="仿宋_GB2312" w:cs="仿宋_GB2312"/>
          <w:strike w:val="0"/>
          <w:dstrike w:val="0"/>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strike w:val="0"/>
          <w:dstrike w:val="0"/>
          <w:color w:val="000000" w:themeColor="text1"/>
          <w:spacing w:val="0"/>
          <w:sz w:val="32"/>
          <w:szCs w:val="32"/>
          <w14:textFill>
            <w14:solidFill>
              <w14:schemeClr w14:val="tx1"/>
            </w14:solidFill>
          </w14:textFill>
        </w:rPr>
        <w:t>需要全面调整和修改的</w:t>
      </w:r>
      <w:r>
        <w:rPr>
          <w:rFonts w:hint="eastAsia" w:ascii="仿宋_GB2312" w:hAnsi="仿宋_GB2312" w:eastAsia="仿宋_GB2312" w:cs="仿宋_GB2312"/>
          <w:strike w:val="0"/>
          <w:dstrike w:val="0"/>
          <w:color w:val="000000" w:themeColor="text1"/>
          <w:spacing w:val="0"/>
          <w:sz w:val="32"/>
          <w:szCs w:val="32"/>
          <w:lang w:eastAsia="zh-CN"/>
          <w14:textFill>
            <w14:solidFill>
              <w14:schemeClr w14:val="tx1"/>
            </w14:solidFill>
          </w14:textFill>
        </w:rPr>
        <w:t>；</w:t>
      </w:r>
    </w:p>
    <w:p w14:paraId="5220E4D7">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五</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主要内容照抄照搬上位法且无实质性内容的；</w:t>
      </w:r>
    </w:p>
    <w:p w14:paraId="45A0EB78">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报送的规章送审稿不符合报送材料要求，未按照规定补正的；</w:t>
      </w:r>
    </w:p>
    <w:p w14:paraId="0D973C2D">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其他需要缓办或者退回的情形。</w:t>
      </w:r>
    </w:p>
    <w:p w14:paraId="26806D8A">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二十九</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司法行政部门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审查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规章送审稿，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应当书面</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征求</w:t>
      </w:r>
      <w:r>
        <w:rPr>
          <w:rFonts w:hint="eastAsia" w:ascii="仿宋_GB2312" w:hAnsi="Arial"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县（市、区）</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人民</w:t>
      </w:r>
      <w:r>
        <w:rPr>
          <w:rFonts w:hint="eastAsia" w:ascii="仿宋_GB2312" w:hAnsi="Arial"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政府</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w:t>
      </w:r>
      <w:r>
        <w:rPr>
          <w:rFonts w:hint="eastAsia" w:ascii="仿宋_GB2312" w:hAnsi="Arial"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市</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人民</w:t>
      </w:r>
      <w:r>
        <w:rPr>
          <w:rFonts w:hint="eastAsia" w:ascii="仿宋_GB2312" w:hAnsi="Arial"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政府</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有关</w:t>
      </w:r>
      <w:r>
        <w:rPr>
          <w:rFonts w:hint="eastAsia" w:ascii="仿宋_GB2312" w:hAnsi="Arial"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部门</w:t>
      </w:r>
      <w:r>
        <w:rPr>
          <w:rFonts w:hint="eastAsia" w:ascii="仿宋_GB2312" w:eastAsia="仿宋_GB2312" w:cs="Arial"/>
          <w:bCs/>
          <w:i w:val="0"/>
          <w:iCs w:val="0"/>
          <w:caps w:val="0"/>
          <w:snapToGrid w:val="0"/>
          <w:color w:val="000000" w:themeColor="text1"/>
          <w:spacing w:val="0"/>
          <w:kern w:val="0"/>
          <w:sz w:val="32"/>
          <w:szCs w:val="32"/>
          <w:shd w:val="clear" w:color="auto" w:fill="auto"/>
          <w:vertAlign w:val="baseline"/>
          <w:lang w:val="en-US" w:eastAsia="zh-CN" w:bidi="ar"/>
          <w14:textFill>
            <w14:solidFill>
              <w14:schemeClr w14:val="tx1"/>
            </w14:solidFill>
          </w14:textFill>
        </w:rPr>
        <w:t>及有关单位等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有关方面的意见。</w:t>
      </w:r>
    </w:p>
    <w:p w14:paraId="60B47171">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县（市、区）人民政府、市人民政府有关部门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及有关单位应当认真组织</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研究，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按要求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反馈书面意见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p>
    <w:p w14:paraId="64BADF86">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司法行政部门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可以将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规章送审稿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及其说明等通过传统媒体、新媒体向社会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公开征求意见，征求意见的期限一般不少于</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日。</w:t>
      </w:r>
    </w:p>
    <w:p w14:paraId="5AE81C36">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第三十条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市司法行政部门应当就规章送审稿涉及的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主要内容和重要问题，会同起草单位深入基层开展调查研究，听取基层有关部门、组织和公民的意见。</w:t>
      </w:r>
    </w:p>
    <w:p w14:paraId="35275EE7">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三十一</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规章送审稿</w:t>
      </w:r>
      <w:r>
        <w:rPr>
          <w:rFonts w:hint="eastAsia" w:ascii="仿宋_GB2312" w:hAnsi="仿宋_GB2312" w:eastAsia="仿宋_GB2312" w:cs="仿宋_GB2312"/>
          <w:color w:val="000000" w:themeColor="text1"/>
          <w:spacing w:val="0"/>
          <w:sz w:val="32"/>
          <w:szCs w:val="32"/>
          <w14:textFill>
            <w14:solidFill>
              <w14:schemeClr w14:val="tx1"/>
            </w14:solidFill>
          </w14:textFill>
        </w:rPr>
        <w:t>涉及重大利益调整或者存在重大意见分歧</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应当进行论证咨询，广泛听取有关方面的意见。论证咨询可以采取座谈会、论证会、听证会、委托研究等形式。</w:t>
      </w:r>
    </w:p>
    <w:p w14:paraId="64C1A551">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三十二</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有关部门对规章送审稿涉及的主要措施、管理体制、权限分工等问题有不同意见的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市司法行政部门应</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当组织相关单位召开协调会</w:t>
      </w:r>
      <w:r>
        <w:rPr>
          <w:rFonts w:hint="eastAsia" w:ascii="仿宋_GB2312" w:hAnsi="仿宋_GB2312" w:eastAsia="仿宋_GB2312" w:cs="仿宋_GB2312"/>
          <w:color w:val="000000" w:themeColor="text1"/>
          <w:spacing w:val="0"/>
          <w:sz w:val="32"/>
          <w:szCs w:val="32"/>
          <w14:textFill>
            <w14:solidFill>
              <w14:schemeClr w14:val="tx1"/>
            </w14:solidFill>
          </w14:textFill>
        </w:rPr>
        <w:t>进行协调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snapToGrid w:val="0"/>
          <w:color w:val="000000" w:themeColor="text1"/>
          <w:spacing w:val="0"/>
          <w:kern w:val="0"/>
          <w:sz w:val="32"/>
          <w:szCs w:val="32"/>
          <w:lang w:val="en-US" w:eastAsia="zh-CN"/>
          <w14:textFill>
            <w14:solidFill>
              <w14:schemeClr w14:val="tx1"/>
            </w14:solidFill>
          </w14:textFill>
        </w:rPr>
        <w:t>对有较大争议的重要立法事项，市司法行政部门可以委托有关专家、教学科研单位、社会组织进行评估，评估结果作为协调处理争议的重要参考。</w:t>
      </w:r>
    </w:p>
    <w:p w14:paraId="26963F1A">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经充分协调仍</w:t>
      </w:r>
      <w:r>
        <w:rPr>
          <w:rFonts w:hint="eastAsia" w:ascii="仿宋_GB2312" w:hAnsi="仿宋_GB2312" w:eastAsia="仿宋_GB2312" w:cs="仿宋_GB2312"/>
          <w:color w:val="000000" w:themeColor="text1"/>
          <w:spacing w:val="0"/>
          <w:sz w:val="32"/>
          <w:szCs w:val="32"/>
          <w14:textFill>
            <w14:solidFill>
              <w14:schemeClr w14:val="tx1"/>
            </w14:solidFill>
          </w14:textFill>
        </w:rPr>
        <w:t>不能达成一致意见的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市司法行政部门应当将主要问题、有关部门的意见和</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本</w:t>
      </w:r>
      <w:r>
        <w:rPr>
          <w:rFonts w:hint="eastAsia" w:ascii="仿宋_GB2312" w:hAnsi="仿宋_GB2312" w:eastAsia="仿宋_GB2312" w:cs="仿宋_GB2312"/>
          <w:color w:val="000000" w:themeColor="text1"/>
          <w:spacing w:val="0"/>
          <w:sz w:val="32"/>
          <w:szCs w:val="32"/>
          <w14:textFill>
            <w14:solidFill>
              <w14:schemeClr w14:val="tx1"/>
            </w14:solidFill>
          </w14:textFill>
        </w:rPr>
        <w:t>部门的意见报市人民政府决定。</w:t>
      </w:r>
    </w:p>
    <w:p w14:paraId="7AFBC55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snapToGrid w:val="0"/>
          <w:color w:val="000000" w:themeColor="text1"/>
          <w:spacing w:val="0"/>
          <w:kern w:val="0"/>
          <w:sz w:val="32"/>
          <w:szCs w:val="32"/>
          <w:lang w:val="en-US" w:eastAsia="zh-CN" w:bidi="ar"/>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三十三</w:t>
      </w:r>
      <w:r>
        <w:rPr>
          <w:rFonts w:hint="eastAsia" w:ascii="黑体" w:hAnsi="黑体" w:eastAsia="黑体" w:cs="黑体"/>
          <w:color w:val="000000" w:themeColor="text1"/>
          <w:spacing w:val="0"/>
          <w:sz w:val="32"/>
          <w:szCs w:val="32"/>
          <w14:textFill>
            <w14:solidFill>
              <w14:schemeClr w14:val="tx1"/>
            </w14:solidFill>
          </w14:textFill>
        </w:rPr>
        <w:t>条</w:t>
      </w:r>
      <w:bookmarkStart w:id="1" w:name="tiao_27_kuan_2"/>
      <w:bookmarkEnd w:id="1"/>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snapToGrid w:val="0"/>
          <w:color w:val="000000" w:themeColor="text1"/>
          <w:spacing w:val="0"/>
          <w:kern w:val="0"/>
          <w:sz w:val="32"/>
          <w:szCs w:val="32"/>
          <w:lang w:val="en-US" w:eastAsia="zh-CN" w:bidi="ar"/>
          <w14:textFill>
            <w14:solidFill>
              <w14:schemeClr w14:val="tx1"/>
            </w14:solidFill>
          </w14:textFill>
        </w:rPr>
        <w:t>市司法行政部门应当认真研究各方面的意见，与起草单位协商后，对规章送审稿进行修改，形成规章草案和对草案的说明。说明应当包括制定规章拟解决的主要问题、确立的主要措施以及与有关部门的协调情况等。</w:t>
      </w:r>
    </w:p>
    <w:p w14:paraId="076A0CD9">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规章草案和说明应当经市司法行政部门集体</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研究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由主要负责人签署后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提出</w:t>
      </w:r>
      <w:r>
        <w:rPr>
          <w:rFonts w:hint="eastAsia" w:ascii="仿宋_GB2312" w:hAnsi="仿宋_GB2312" w:eastAsia="仿宋_GB2312" w:cs="仿宋_GB2312"/>
          <w:color w:val="000000" w:themeColor="text1"/>
          <w:spacing w:val="0"/>
          <w:sz w:val="32"/>
          <w:szCs w:val="32"/>
          <w14:textFill>
            <w14:solidFill>
              <w14:schemeClr w14:val="tx1"/>
            </w14:solidFill>
          </w14:textFill>
        </w:rPr>
        <w:t>提请市人民政府审议</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建议</w:t>
      </w:r>
      <w:r>
        <w:rPr>
          <w:rFonts w:hint="eastAsia" w:ascii="仿宋_GB2312" w:hAnsi="仿宋_GB2312" w:eastAsia="仿宋_GB2312" w:cs="仿宋_GB2312"/>
          <w:color w:val="000000" w:themeColor="text1"/>
          <w:spacing w:val="0"/>
          <w:sz w:val="32"/>
          <w:szCs w:val="32"/>
          <w14:textFill>
            <w14:solidFill>
              <w14:schemeClr w14:val="tx1"/>
            </w14:solidFill>
          </w14:textFill>
        </w:rPr>
        <w:t>。</w:t>
      </w:r>
    </w:p>
    <w:p w14:paraId="3FF82F6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p>
    <w:p w14:paraId="2E105B52">
      <w:pPr>
        <w:keepNext w:val="0"/>
        <w:keepLines w:val="0"/>
        <w:pageBreakBefore w:val="0"/>
        <w:kinsoku/>
        <w:wordWrap/>
        <w:overflowPunct/>
        <w:topLinePunct w:val="0"/>
        <w:autoSpaceDE/>
        <w:autoSpaceDN/>
        <w:bidi w:val="0"/>
        <w:spacing w:line="600" w:lineRule="exact"/>
        <w:ind w:right="0" w:firstLine="1864"/>
        <w:jc w:val="both"/>
        <w:rPr>
          <w:rFonts w:hint="default"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pP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第五章</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决定、公布</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备案</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和解释</w:t>
      </w:r>
    </w:p>
    <w:p w14:paraId="154870C6">
      <w:pPr>
        <w:keepNext w:val="0"/>
        <w:keepLines w:val="0"/>
        <w:pageBreakBefore w:val="0"/>
        <w:kinsoku/>
        <w:wordWrap/>
        <w:overflowPunct/>
        <w:topLinePunct w:val="0"/>
        <w:autoSpaceDE/>
        <w:autoSpaceDN/>
        <w:bidi w:val="0"/>
        <w:spacing w:line="600" w:lineRule="exact"/>
        <w:ind w:right="0" w:firstLine="664"/>
        <w:jc w:val="both"/>
        <w:rPr>
          <w:rFonts w:hint="eastAsia" w:ascii="黑体" w:hAnsi="黑体" w:eastAsia="黑体" w:cs="黑体"/>
          <w:color w:val="000000" w:themeColor="text1"/>
          <w:spacing w:val="0"/>
          <w:sz w:val="32"/>
          <w:szCs w:val="32"/>
          <w14:textFill>
            <w14:solidFill>
              <w14:schemeClr w14:val="tx1"/>
            </w14:solidFill>
          </w14:textFill>
        </w:rPr>
      </w:pPr>
    </w:p>
    <w:p w14:paraId="67C79AC8">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三十四</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规章应当经市政府常务会议或者全体会议</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审议</w:t>
      </w:r>
      <w:r>
        <w:rPr>
          <w:rFonts w:hint="eastAsia" w:ascii="仿宋_GB2312" w:hAnsi="仿宋_GB2312" w:eastAsia="仿宋_GB2312" w:cs="仿宋_GB2312"/>
          <w:color w:val="000000" w:themeColor="text1"/>
          <w:spacing w:val="0"/>
          <w:sz w:val="32"/>
          <w:szCs w:val="32"/>
          <w14:textFill>
            <w14:solidFill>
              <w14:schemeClr w14:val="tx1"/>
            </w14:solidFill>
          </w14:textFill>
        </w:rPr>
        <w:t>决定。审议规章草案时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可以由</w:t>
      </w:r>
      <w:r>
        <w:rPr>
          <w:rFonts w:hint="eastAsia" w:ascii="仿宋_GB2312" w:hAnsi="仿宋_GB2312" w:eastAsia="仿宋_GB2312" w:cs="仿宋_GB2312"/>
          <w:color w:val="000000" w:themeColor="text1"/>
          <w:spacing w:val="0"/>
          <w:sz w:val="32"/>
          <w:szCs w:val="32"/>
          <w14:textFill>
            <w14:solidFill>
              <w14:schemeClr w14:val="tx1"/>
            </w14:solidFill>
          </w14:textFill>
        </w:rPr>
        <w:t>起草单位作说明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也可以由市司法行政部门作说明。</w:t>
      </w:r>
    </w:p>
    <w:p w14:paraId="71FEDE5F">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规章草案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经</w:t>
      </w:r>
      <w:r>
        <w:rPr>
          <w:rFonts w:hint="eastAsia" w:ascii="仿宋_GB2312" w:hAnsi="仿宋_GB2312" w:eastAsia="仿宋_GB2312" w:cs="仿宋_GB2312"/>
          <w:color w:val="000000" w:themeColor="text1"/>
          <w:spacing w:val="0"/>
          <w:sz w:val="32"/>
          <w:szCs w:val="32"/>
          <w14:textFill>
            <w14:solidFill>
              <w14:schemeClr w14:val="tx1"/>
            </w14:solidFill>
          </w14:textFill>
        </w:rPr>
        <w:t>审议</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通过后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司法行政部门</w:t>
      </w:r>
      <w:r>
        <w:rPr>
          <w:rFonts w:hint="eastAsia" w:ascii="仿宋_GB2312" w:hAnsi="仿宋_GB2312" w:eastAsia="仿宋_GB2312" w:cs="仿宋_GB2312"/>
          <w:color w:val="000000" w:themeColor="text1"/>
          <w:spacing w:val="0"/>
          <w:sz w:val="32"/>
          <w:szCs w:val="32"/>
          <w14:textFill>
            <w14:solidFill>
              <w14:schemeClr w14:val="tx1"/>
            </w14:solidFill>
          </w14:textFill>
        </w:rPr>
        <w:t>应当</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组织起草单位</w:t>
      </w:r>
      <w:r>
        <w:rPr>
          <w:rFonts w:hint="eastAsia" w:ascii="仿宋_GB2312" w:hAnsi="仿宋_GB2312" w:eastAsia="仿宋_GB2312" w:cs="仿宋_GB2312"/>
          <w:color w:val="000000" w:themeColor="text1"/>
          <w:spacing w:val="0"/>
          <w:sz w:val="32"/>
          <w:szCs w:val="32"/>
          <w14:textFill>
            <w14:solidFill>
              <w14:schemeClr w14:val="tx1"/>
            </w14:solidFill>
          </w14:textFill>
        </w:rPr>
        <w:t>根据审议意见对规章草案进行修改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形成规章草案修改稿</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按程序报请市长签署命令予以公布。</w:t>
      </w:r>
    </w:p>
    <w:p w14:paraId="410B155B">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规章草案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经</w:t>
      </w:r>
      <w:r>
        <w:rPr>
          <w:rFonts w:hint="eastAsia" w:ascii="仿宋_GB2312" w:hAnsi="仿宋_GB2312" w:eastAsia="仿宋_GB2312" w:cs="仿宋_GB2312"/>
          <w:color w:val="000000" w:themeColor="text1"/>
          <w:spacing w:val="0"/>
          <w:sz w:val="32"/>
          <w:szCs w:val="32"/>
          <w14:textFill>
            <w14:solidFill>
              <w14:schemeClr w14:val="tx1"/>
            </w14:solidFill>
          </w14:textFill>
        </w:rPr>
        <w:t>审议</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未</w:t>
      </w:r>
      <w:r>
        <w:rPr>
          <w:rFonts w:hint="eastAsia" w:ascii="仿宋_GB2312" w:hAnsi="仿宋_GB2312" w:eastAsia="仿宋_GB2312" w:cs="仿宋_GB2312"/>
          <w:color w:val="000000" w:themeColor="text1"/>
          <w:spacing w:val="0"/>
          <w:sz w:val="32"/>
          <w:szCs w:val="32"/>
          <w14:textFill>
            <w14:solidFill>
              <w14:schemeClr w14:val="tx1"/>
            </w14:solidFill>
          </w14:textFill>
        </w:rPr>
        <w:t>通过的，根据审议意见进行处理。</w:t>
      </w:r>
    </w:p>
    <w:p w14:paraId="0C88C90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第三十五</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规章公布后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应当及时在《南阳市人民政府公报》、市人民政府门户网站、《南阳日报》等全文刊载。</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南阳</w:t>
      </w:r>
      <w:r>
        <w:rPr>
          <w:rFonts w:hint="eastAsia" w:ascii="仿宋_GB2312" w:hAnsi="仿宋_GB2312" w:eastAsia="仿宋_GB2312" w:cs="仿宋_GB2312"/>
          <w:color w:val="000000" w:themeColor="text1"/>
          <w:spacing w:val="0"/>
          <w:sz w:val="32"/>
          <w:szCs w:val="32"/>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人民</w:t>
      </w:r>
      <w:r>
        <w:rPr>
          <w:rFonts w:hint="eastAsia" w:ascii="仿宋_GB2312" w:hAnsi="仿宋_GB2312" w:eastAsia="仿宋_GB2312" w:cs="仿宋_GB2312"/>
          <w:color w:val="000000" w:themeColor="text1"/>
          <w:spacing w:val="0"/>
          <w:sz w:val="32"/>
          <w:szCs w:val="32"/>
          <w14:textFill>
            <w14:solidFill>
              <w14:schemeClr w14:val="tx1"/>
            </w14:solidFill>
          </w14:textFill>
        </w:rPr>
        <w:t>政府公报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刊登的规章文本为标准文本。</w:t>
      </w:r>
    </w:p>
    <w:p w14:paraId="30C6C733">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三十六</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规章应当自公布之日起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三十</w:t>
      </w:r>
      <w:r>
        <w:rPr>
          <w:rFonts w:hint="eastAsia" w:ascii="仿宋_GB2312" w:hAnsi="仿宋_GB2312" w:eastAsia="仿宋_GB2312" w:cs="仿宋_GB2312"/>
          <w:color w:val="000000" w:themeColor="text1"/>
          <w:spacing w:val="0"/>
          <w:sz w:val="32"/>
          <w:szCs w:val="32"/>
          <w14:textFill>
            <w14:solidFill>
              <w14:schemeClr w14:val="tx1"/>
            </w14:solidFill>
          </w14:textFill>
        </w:rPr>
        <w:t>日后施行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但是，</w:t>
      </w:r>
      <w:r>
        <w:rPr>
          <w:rFonts w:hint="eastAsia" w:ascii="仿宋_GB2312" w:hAnsi="仿宋_GB2312" w:eastAsia="仿宋_GB2312" w:cs="仿宋_GB2312"/>
          <w:color w:val="000000" w:themeColor="text1"/>
          <w:spacing w:val="0"/>
          <w:sz w:val="32"/>
          <w:szCs w:val="32"/>
          <w14:textFill>
            <w14:solidFill>
              <w14:schemeClr w14:val="tx1"/>
            </w14:solidFill>
          </w14:textFill>
        </w:rPr>
        <w:t>涉及国家安全以及公布后不立即施行将有碍规章施行的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可以自公布之日起施行。</w:t>
      </w:r>
    </w:p>
    <w:p w14:paraId="7A71BE5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kern w:val="2"/>
          <w:sz w:val="32"/>
          <w:szCs w:val="32"/>
          <w:shd w:val="clear" w:color="auto" w:fill="FFFFFF"/>
          <w:lang w:val="en-US" w:eastAsia="zh-CN" w:bidi="ar-SA"/>
          <w14:textFill>
            <w14:solidFill>
              <w14:schemeClr w14:val="tx1"/>
            </w14:solidFill>
          </w14:textFill>
        </w:rPr>
        <w:t>规章施行前，规章的实施单位应当做好规章的宣传、培训及实施前准备工作。</w:t>
      </w:r>
    </w:p>
    <w:p w14:paraId="3F533042">
      <w:pPr>
        <w:keepNext w:val="0"/>
        <w:keepLines w:val="0"/>
        <w:pageBreakBefore w:val="0"/>
        <w:kinsoku/>
        <w:wordWrap/>
        <w:overflowPunct/>
        <w:topLinePunct w:val="0"/>
        <w:autoSpaceDE/>
        <w:autoSpaceDN/>
        <w:bidi w:val="0"/>
        <w:spacing w:line="600" w:lineRule="exact"/>
        <w:ind w:right="0" w:firstLine="664"/>
        <w:jc w:val="both"/>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三十七</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应当自</w:t>
      </w:r>
      <w:r>
        <w:rPr>
          <w:rFonts w:hint="eastAsia" w:ascii="仿宋_GB2312" w:hAnsi="仿宋_GB2312" w:eastAsia="仿宋_GB2312" w:cs="仿宋_GB2312"/>
          <w:color w:val="000000" w:themeColor="text1"/>
          <w:spacing w:val="0"/>
          <w:sz w:val="32"/>
          <w:szCs w:val="32"/>
          <w14:textFill>
            <w14:solidFill>
              <w14:schemeClr w14:val="tx1"/>
            </w14:solidFill>
          </w14:textFill>
        </w:rPr>
        <w:t>公布之日起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三十</w:t>
      </w:r>
      <w:r>
        <w:rPr>
          <w:rFonts w:hint="eastAsia" w:ascii="仿宋_GB2312" w:hAnsi="仿宋_GB2312" w:eastAsia="仿宋_GB2312" w:cs="仿宋_GB2312"/>
          <w:color w:val="000000" w:themeColor="text1"/>
          <w:spacing w:val="0"/>
          <w:sz w:val="32"/>
          <w:szCs w:val="32"/>
          <w14:textFill>
            <w14:solidFill>
              <w14:schemeClr w14:val="tx1"/>
            </w14:solidFill>
          </w14:textFill>
        </w:rPr>
        <w:t>日内</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由市人民政府依照有关规定报</w:t>
      </w:r>
      <w:r>
        <w:rPr>
          <w:rFonts w:hint="eastAsia" w:ascii="仿宋_GB2312" w:hAnsi="仿宋_GB2312" w:eastAsia="仿宋_GB2312" w:cs="仿宋_GB2312"/>
          <w:color w:val="000000" w:themeColor="text1"/>
          <w:spacing w:val="0"/>
          <w:sz w:val="32"/>
          <w:szCs w:val="32"/>
          <w14:textFill>
            <w14:solidFill>
              <w14:schemeClr w14:val="tx1"/>
            </w14:solidFill>
          </w14:textFill>
        </w:rPr>
        <w:t>国务院、省人民代表大会常务委员会、省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人民</w:t>
      </w:r>
      <w:r>
        <w:rPr>
          <w:rFonts w:hint="eastAsia" w:ascii="仿宋_GB2312" w:hAnsi="仿宋_GB2312" w:eastAsia="仿宋_GB2312" w:cs="仿宋_GB2312"/>
          <w:color w:val="000000" w:themeColor="text1"/>
          <w:spacing w:val="0"/>
          <w:sz w:val="32"/>
          <w:szCs w:val="32"/>
          <w14:textFill>
            <w14:solidFill>
              <w14:schemeClr w14:val="tx1"/>
            </w14:solidFill>
          </w14:textFill>
        </w:rPr>
        <w:t>政府、市人民代表大会常务委员会备案。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具体工作由市司法行政部门负责。</w:t>
      </w:r>
    </w:p>
    <w:p w14:paraId="558E0C9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三十八</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规章解释权属于市</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人民</w:t>
      </w:r>
      <w:r>
        <w:rPr>
          <w:rFonts w:hint="eastAsia" w:ascii="仿宋_GB2312" w:hAnsi="仿宋_GB2312" w:eastAsia="仿宋_GB2312" w:cs="仿宋_GB2312"/>
          <w:color w:val="000000" w:themeColor="text1"/>
          <w:spacing w:val="0"/>
          <w:sz w:val="32"/>
          <w:szCs w:val="32"/>
          <w14:textFill>
            <w14:solidFill>
              <w14:schemeClr w14:val="tx1"/>
            </w14:solidFill>
          </w14:textFill>
        </w:rPr>
        <w:t>政府。</w:t>
      </w:r>
    </w:p>
    <w:p w14:paraId="0347B51C">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规章</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制定后，</w:t>
      </w:r>
      <w:r>
        <w:rPr>
          <w:rFonts w:hint="eastAsia" w:ascii="仿宋_GB2312" w:hAnsi="仿宋_GB2312" w:eastAsia="仿宋_GB2312" w:cs="仿宋_GB2312"/>
          <w:color w:val="000000" w:themeColor="text1"/>
          <w:spacing w:val="0"/>
          <w:sz w:val="32"/>
          <w:szCs w:val="32"/>
          <w14:textFill>
            <w14:solidFill>
              <w14:schemeClr w14:val="tx1"/>
            </w14:solidFill>
          </w14:textFill>
        </w:rPr>
        <w:t>需要进一步明确</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相关规定的</w:t>
      </w:r>
      <w:r>
        <w:rPr>
          <w:rFonts w:hint="eastAsia" w:ascii="仿宋_GB2312" w:hAnsi="仿宋_GB2312" w:eastAsia="仿宋_GB2312" w:cs="仿宋_GB2312"/>
          <w:color w:val="000000" w:themeColor="text1"/>
          <w:spacing w:val="0"/>
          <w:sz w:val="32"/>
          <w:szCs w:val="32"/>
          <w14:textFill>
            <w14:solidFill>
              <w14:schemeClr w14:val="tx1"/>
            </w14:solidFill>
          </w14:textFill>
        </w:rPr>
        <w:t>具体含义，或者出现新的情况需要明确适用规章依据的，由规章</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起草单位或者</w:t>
      </w:r>
      <w:r>
        <w:rPr>
          <w:rFonts w:hint="eastAsia" w:ascii="仿宋_GB2312" w:hAnsi="仿宋_GB2312" w:eastAsia="仿宋_GB2312" w:cs="仿宋_GB2312"/>
          <w:color w:val="000000" w:themeColor="text1"/>
          <w:spacing w:val="0"/>
          <w:sz w:val="32"/>
          <w:szCs w:val="32"/>
          <w14:textFill>
            <w14:solidFill>
              <w14:schemeClr w14:val="tx1"/>
            </w14:solidFill>
          </w14:textFill>
        </w:rPr>
        <w:t>实施单位提出解释意见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由</w:t>
      </w:r>
      <w:r>
        <w:rPr>
          <w:rFonts w:hint="eastAsia" w:ascii="仿宋_GB2312" w:hAnsi="仿宋_GB2312" w:eastAsia="仿宋_GB2312" w:cs="仿宋_GB2312"/>
          <w:color w:val="000000" w:themeColor="text1"/>
          <w:spacing w:val="0"/>
          <w:sz w:val="32"/>
          <w:szCs w:val="32"/>
          <w14:textFill>
            <w14:solidFill>
              <w14:schemeClr w14:val="tx1"/>
            </w14:solidFill>
          </w14:textFill>
        </w:rPr>
        <w:t>市司法行政部门审查，报</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请</w:t>
      </w:r>
      <w:r>
        <w:rPr>
          <w:rFonts w:hint="eastAsia" w:ascii="仿宋_GB2312" w:hAnsi="仿宋_GB2312" w:eastAsia="仿宋_GB2312" w:cs="仿宋_GB2312"/>
          <w:color w:val="000000" w:themeColor="text1"/>
          <w:spacing w:val="0"/>
          <w:sz w:val="32"/>
          <w:szCs w:val="32"/>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人民</w:t>
      </w:r>
      <w:r>
        <w:rPr>
          <w:rFonts w:hint="eastAsia" w:ascii="仿宋_GB2312" w:hAnsi="仿宋_GB2312" w:eastAsia="仿宋_GB2312" w:cs="仿宋_GB2312"/>
          <w:color w:val="000000" w:themeColor="text1"/>
          <w:spacing w:val="0"/>
          <w:sz w:val="32"/>
          <w:szCs w:val="32"/>
          <w14:textFill>
            <w14:solidFill>
              <w14:schemeClr w14:val="tx1"/>
            </w14:solidFill>
          </w14:textFill>
        </w:rPr>
        <w:t>政府批准后公布。</w:t>
      </w:r>
    </w:p>
    <w:p w14:paraId="63707C4E">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规章解释同规章具有同等效力。</w:t>
      </w:r>
    </w:p>
    <w:p w14:paraId="368E0DBA">
      <w:pPr>
        <w:keepNext w:val="0"/>
        <w:keepLines w:val="0"/>
        <w:pageBreakBefore w:val="0"/>
        <w:kinsoku/>
        <w:wordWrap/>
        <w:overflowPunct/>
        <w:topLinePunct w:val="0"/>
        <w:autoSpaceDE/>
        <w:autoSpaceDN/>
        <w:bidi w:val="0"/>
        <w:spacing w:line="600" w:lineRule="exact"/>
        <w:ind w:right="0" w:firstLine="1714"/>
        <w:jc w:val="both"/>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pPr>
    </w:p>
    <w:p w14:paraId="085E60C9">
      <w:pPr>
        <w:keepNext w:val="0"/>
        <w:keepLines w:val="0"/>
        <w:pageBreakBefore w:val="0"/>
        <w:kinsoku/>
        <w:wordWrap/>
        <w:overflowPunct/>
        <w:topLinePunct w:val="0"/>
        <w:autoSpaceDE/>
        <w:autoSpaceDN/>
        <w:bidi w:val="0"/>
        <w:spacing w:line="600" w:lineRule="exact"/>
        <w:ind w:right="0" w:firstLine="1714"/>
        <w:jc w:val="both"/>
        <w:rPr>
          <w:rFonts w:hint="default"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pP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第六章</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立法后</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评估、</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清理及其他规定</w:t>
      </w:r>
    </w:p>
    <w:p w14:paraId="419C9668">
      <w:pPr>
        <w:keepNext w:val="0"/>
        <w:keepLines w:val="0"/>
        <w:pageBreakBefore w:val="0"/>
        <w:kinsoku/>
        <w:wordWrap/>
        <w:overflowPunct/>
        <w:topLinePunct w:val="0"/>
        <w:autoSpaceDE/>
        <w:autoSpaceDN/>
        <w:bidi w:val="0"/>
        <w:spacing w:line="600" w:lineRule="exact"/>
        <w:ind w:right="0" w:firstLine="664"/>
        <w:jc w:val="both"/>
        <w:rPr>
          <w:rFonts w:hint="eastAsia" w:ascii="黑体" w:hAnsi="黑体" w:eastAsia="黑体" w:cs="黑体"/>
          <w:color w:val="000000" w:themeColor="text1"/>
          <w:spacing w:val="0"/>
          <w:sz w:val="32"/>
          <w:szCs w:val="32"/>
          <w:lang w:val="en-US" w:eastAsia="zh-CN"/>
          <w14:textFill>
            <w14:solidFill>
              <w14:schemeClr w14:val="tx1"/>
            </w14:solidFill>
          </w14:textFill>
        </w:rPr>
      </w:pPr>
    </w:p>
    <w:p w14:paraId="2BB79FE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第三十九条 </w:t>
      </w:r>
      <w:r>
        <w:rPr>
          <w:rFonts w:hint="eastAsia" w:ascii="仿宋_GB2312" w:hAnsi="仿宋_GB2312" w:eastAsia="仿宋_GB2312" w:cs="仿宋_GB2312"/>
          <w:color w:val="000000" w:themeColor="text1"/>
          <w:spacing w:val="0"/>
          <w:sz w:val="32"/>
          <w:szCs w:val="32"/>
          <w14:textFill>
            <w14:solidFill>
              <w14:schemeClr w14:val="tx1"/>
            </w14:solidFill>
          </w14:textFill>
        </w:rPr>
        <w:t>规章有下列情形之一的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规章实施单位应当进行立法后评估</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78349F8A">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一</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拟上升为地方性法规的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3D694DEB">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拟进行重大修改的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575A8C56">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三</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拟废止但有较大争议的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470FF4FE">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与经济社会发展或者公众利益密切相关</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且施行满五年</w:t>
      </w:r>
      <w:r>
        <w:rPr>
          <w:rFonts w:hint="eastAsia" w:ascii="仿宋_GB2312" w:hAnsi="仿宋_GB2312" w:eastAsia="仿宋_GB2312" w:cs="仿宋_GB2312"/>
          <w:color w:val="000000" w:themeColor="text1"/>
          <w:spacing w:val="0"/>
          <w:sz w:val="32"/>
          <w:szCs w:val="32"/>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A45F314">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五</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人大代表、政协委员或者社会各界意见和建议较为集中的</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0A44E998">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六</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其他</w:t>
      </w:r>
      <w:r>
        <w:rPr>
          <w:rFonts w:hint="eastAsia" w:ascii="仿宋_GB2312" w:hAnsi="仿宋_GB2312" w:eastAsia="仿宋_GB2312" w:cs="仿宋_GB2312"/>
          <w:color w:val="000000" w:themeColor="text1"/>
          <w:spacing w:val="0"/>
          <w:sz w:val="32"/>
          <w:szCs w:val="32"/>
          <w14:textFill>
            <w14:solidFill>
              <w14:schemeClr w14:val="tx1"/>
            </w14:solidFill>
          </w14:textFill>
        </w:rPr>
        <w:t>需要进行立法后评估的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情形</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14:paraId="163019C7">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四十</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规章</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实施单位应当按照本省开展</w:t>
      </w:r>
      <w:r>
        <w:rPr>
          <w:rFonts w:hint="eastAsia" w:ascii="仿宋_GB2312" w:hAnsi="仿宋_GB2312" w:eastAsia="仿宋_GB2312" w:cs="仿宋_GB2312"/>
          <w:color w:val="000000" w:themeColor="text1"/>
          <w:spacing w:val="0"/>
          <w:sz w:val="32"/>
          <w:szCs w:val="32"/>
          <w14:textFill>
            <w14:solidFill>
              <w14:schemeClr w14:val="tx1"/>
            </w14:solidFill>
          </w14:textFill>
        </w:rPr>
        <w:t>规章立法后评估</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有关规定，对规章的立法质量、实施效果等进行调查、分析、评价，提出继续执行、修改或者废止规章等意见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并形成</w:t>
      </w:r>
      <w:r>
        <w:rPr>
          <w:rFonts w:hint="eastAsia" w:ascii="仿宋_GB2312" w:hAnsi="仿宋_GB2312" w:eastAsia="仿宋_GB2312" w:cs="仿宋_GB2312"/>
          <w:color w:val="000000" w:themeColor="text1"/>
          <w:spacing w:val="0"/>
          <w:sz w:val="32"/>
          <w:szCs w:val="32"/>
          <w14:textFill>
            <w14:solidFill>
              <w14:schemeClr w14:val="tx1"/>
            </w14:solidFill>
          </w14:textFill>
        </w:rPr>
        <w:t>评估报告</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评估报告应当作为修改、废止规章的重要依据。</w:t>
      </w:r>
    </w:p>
    <w:p w14:paraId="659356D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lang w:val="en-US" w:eastAsia="zh-CN"/>
          <w14:textFill>
            <w14:solidFill>
              <w14:schemeClr w14:val="tx1"/>
            </w14:solidFill>
          </w14:textFill>
        </w:rPr>
        <w:t>四十一</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应当根据全面深化改革、经济社会发展需要以及上位法的修改调整情况，及时组织开展规章清理工作。规章清理由规章起草单位、实施单位提出清理建议，市司法行政部门审查后形成清理结果报请市人民政府审定。</w:t>
      </w:r>
    </w:p>
    <w:p w14:paraId="050A3B2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2" w:name="tiao_54_kuan_2"/>
      <w:bookmarkEnd w:id="2"/>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规章清理结果应当及时向社会公布。</w:t>
      </w:r>
    </w:p>
    <w:p w14:paraId="728A7D0B">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3" w:name="tiao_55"/>
      <w:bookmarkEnd w:id="3"/>
      <w:r>
        <w:rPr>
          <w:rFonts w:hint="eastAsia" w:ascii="黑体" w:hAnsi="黑体" w:eastAsia="黑体" w:cs="黑体"/>
          <w:color w:val="000000" w:themeColor="text1"/>
          <w:spacing w:val="0"/>
          <w:sz w:val="32"/>
          <w:szCs w:val="32"/>
          <w:lang w:val="en-US" w:eastAsia="zh-CN"/>
          <w14:textFill>
            <w14:solidFill>
              <w14:schemeClr w14:val="tx1"/>
            </w14:solidFill>
          </w14:textFill>
        </w:rPr>
        <w:t>第四十二条</w:t>
      </w:r>
      <w:bookmarkStart w:id="4" w:name="tiao_55_kuan_1"/>
      <w:bookmarkEnd w:id="4"/>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规章有下列情形之一的，规章实施单位或者市司法行政部门应当及时提出修改、废止的建议：</w:t>
      </w:r>
    </w:p>
    <w:p w14:paraId="12454193">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5" w:name="tiao_36_kuan_1_xiang_1"/>
      <w:bookmarkEnd w:id="5"/>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（一）依据的上位法已经修改或者废止的；</w:t>
      </w:r>
    </w:p>
    <w:p w14:paraId="71240460">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6" w:name="tiao_36_kuan_1_xiang_2"/>
      <w:bookmarkEnd w:id="6"/>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（二）主要内容被有关上位法或者其他规章替代的；</w:t>
      </w:r>
    </w:p>
    <w:p w14:paraId="75E3FC52">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bookmarkStart w:id="7" w:name="tiao_36_kuan_1_xiang_3"/>
      <w:bookmarkEnd w:id="7"/>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（三）规范的社会实际情况发生重大变化的；</w:t>
      </w:r>
    </w:p>
    <w:p w14:paraId="3B4032E0">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（四）经评估需要修改或者废止的；</w:t>
      </w:r>
    </w:p>
    <w:p w14:paraId="277F152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（五）其他应当修改、废止的情形。</w:t>
      </w:r>
    </w:p>
    <w:p w14:paraId="31115BCF">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规章的修改、废止程序，适用本规定。规章修改、废止后，应当及时公布。</w:t>
      </w:r>
    </w:p>
    <w:p w14:paraId="118F914D">
      <w:pPr>
        <w:keepNext w:val="0"/>
        <w:keepLines w:val="0"/>
        <w:pageBreakBefore w:val="0"/>
        <w:kinsoku/>
        <w:wordWrap/>
        <w:overflowPunct/>
        <w:topLinePunct w:val="0"/>
        <w:autoSpaceDE/>
        <w:autoSpaceDN/>
        <w:bidi w:val="0"/>
        <w:spacing w:line="600" w:lineRule="exact"/>
        <w:ind w:right="0" w:firstLine="664"/>
        <w:jc w:val="both"/>
        <w:rPr>
          <w:rFonts w:hint="eastAsia" w:ascii="仿宋_GB2312" w:hAnsi="仿宋_GB2312" w:eastAsia="仿宋_GB2312" w:cs="仿宋_GB2312"/>
          <w:color w:val="000000" w:themeColor="text1"/>
          <w:spacing w:val="0"/>
          <w:sz w:val="32"/>
          <w:szCs w:val="32"/>
          <w14:textFill>
            <w14:solidFill>
              <w14:schemeClr w14:val="tx1"/>
            </w14:solidFill>
          </w14:textFill>
        </w:rPr>
      </w:pPr>
    </w:p>
    <w:p w14:paraId="513B4A97">
      <w:pPr>
        <w:keepNext w:val="0"/>
        <w:keepLines w:val="0"/>
        <w:pageBreakBefore w:val="0"/>
        <w:numPr>
          <w:ilvl w:val="0"/>
          <w:numId w:val="3"/>
        </w:numPr>
        <w:kinsoku/>
        <w:wordWrap/>
        <w:overflowPunct/>
        <w:topLinePunct w:val="0"/>
        <w:autoSpaceDE/>
        <w:autoSpaceDN/>
        <w:bidi w:val="0"/>
        <w:spacing w:line="600" w:lineRule="exact"/>
        <w:ind w:right="0" w:firstLine="3045"/>
        <w:jc w:val="both"/>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pP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附</w:t>
      </w:r>
      <w:r>
        <w:rPr>
          <w:rFonts w:hint="eastAsia"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 xml:space="preserve"> </w:t>
      </w:r>
      <w:r>
        <w:rPr>
          <w:rFonts w:ascii="黑体" w:hAnsi="宋体" w:eastAsia="黑体" w:cs="黑体"/>
          <w:i w:val="0"/>
          <w:iCs w:val="0"/>
          <w:caps w:val="0"/>
          <w:snapToGrid w:val="0"/>
          <w:color w:val="000000" w:themeColor="text1"/>
          <w:spacing w:val="0"/>
          <w:kern w:val="0"/>
          <w:sz w:val="32"/>
          <w:szCs w:val="32"/>
          <w:shd w:val="clear" w:color="auto" w:fill="FFFFFF"/>
          <w:lang w:val="en-US" w:eastAsia="zh-CN" w:bidi="ar"/>
          <w14:textFill>
            <w14:solidFill>
              <w14:schemeClr w14:val="tx1"/>
            </w14:solidFill>
          </w14:textFill>
        </w:rPr>
        <w:t>则</w:t>
      </w:r>
    </w:p>
    <w:p w14:paraId="43EE7679">
      <w:pPr>
        <w:keepNext w:val="0"/>
        <w:keepLines w:val="0"/>
        <w:pageBreakBefore w:val="0"/>
        <w:kinsoku/>
        <w:wordWrap/>
        <w:overflowPunct/>
        <w:topLinePunct w:val="0"/>
        <w:autoSpaceDE/>
        <w:autoSpaceDN/>
        <w:bidi w:val="0"/>
        <w:spacing w:line="600" w:lineRule="exact"/>
        <w:ind w:right="0" w:firstLine="664"/>
        <w:jc w:val="both"/>
        <w:rPr>
          <w:rFonts w:hint="eastAsia" w:ascii="黑体" w:hAnsi="黑体" w:eastAsia="黑体" w:cs="黑体"/>
          <w:color w:val="000000" w:themeColor="text1"/>
          <w:spacing w:val="0"/>
          <w:sz w:val="32"/>
          <w:szCs w:val="32"/>
          <w:lang w:val="en-US" w:eastAsia="zh-CN"/>
          <w14:textFill>
            <w14:solidFill>
              <w14:schemeClr w14:val="tx1"/>
            </w14:solidFill>
          </w14:textFill>
        </w:rPr>
      </w:pPr>
    </w:p>
    <w:p w14:paraId="7FB62C08">
      <w:pPr>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第四十三条 </w:t>
      </w:r>
      <w:r>
        <w:rPr>
          <w:rFonts w:hint="eastAsia" w:ascii="仿宋_GB2312" w:hAnsi="仿宋_GB2312" w:eastAsia="仿宋_GB2312" w:cs="仿宋_GB2312"/>
          <w:color w:val="000000" w:themeColor="text1"/>
          <w:spacing w:val="0"/>
          <w:sz w:val="32"/>
          <w:szCs w:val="32"/>
          <w14:textFill>
            <w14:solidFill>
              <w14:schemeClr w14:val="tx1"/>
            </w14:solidFill>
          </w14:textFill>
        </w:rPr>
        <w:t>本</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规定</w:t>
      </w:r>
      <w:r>
        <w:rPr>
          <w:rFonts w:hint="eastAsia" w:ascii="仿宋_GB2312" w:hAnsi="仿宋_GB2312" w:eastAsia="仿宋_GB2312" w:cs="仿宋_GB2312"/>
          <w:color w:val="000000" w:themeColor="text1"/>
          <w:spacing w:val="0"/>
          <w:sz w:val="32"/>
          <w:szCs w:val="32"/>
          <w14:textFill>
            <w14:solidFill>
              <w14:schemeClr w14:val="tx1"/>
            </w14:solidFill>
          </w14:textFill>
        </w:rPr>
        <w:t>自</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2025年3月1日</w:t>
      </w:r>
      <w:r>
        <w:rPr>
          <w:rFonts w:hint="eastAsia" w:ascii="仿宋_GB2312" w:hAnsi="仿宋_GB2312" w:eastAsia="仿宋_GB2312" w:cs="仿宋_GB2312"/>
          <w:color w:val="000000" w:themeColor="text1"/>
          <w:spacing w:val="0"/>
          <w:sz w:val="32"/>
          <w:szCs w:val="32"/>
          <w14:textFill>
            <w14:solidFill>
              <w14:schemeClr w14:val="tx1"/>
            </w14:solidFill>
          </w14:textFill>
        </w:rPr>
        <w:t>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embedRegular r:id="rId1" w:fontKey="{CC7A0FDC-48B3-4987-BADA-2909006F5CCA}"/>
  </w:font>
  <w:font w:name="黑体">
    <w:panose1 w:val="02010609060101010101"/>
    <w:charset w:val="86"/>
    <w:family w:val="auto"/>
    <w:pitch w:val="default"/>
    <w:sig w:usb0="800002BF" w:usb1="38CF7CFA" w:usb2="00000016" w:usb3="00000000" w:csb0="00040001" w:csb1="00000000"/>
    <w:embedRegular r:id="rId2" w:fontKey="{F9AA1E54-1D98-4419-BE9C-2DD6252BEB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微软雅黑"/>
    <w:panose1 w:val="02010609060101010101"/>
    <w:charset w:val="86"/>
    <w:family w:val="auto"/>
    <w:pitch w:val="default"/>
    <w:sig w:usb0="00000000" w:usb1="00000000" w:usb2="00000016" w:usb3="00000000" w:csb0="00040001" w:csb1="00000000"/>
    <w:embedRegular r:id="rId3" w:fontKey="{D189BA54-0B9E-4E65-84EC-E2E0C72B05C2}"/>
  </w:font>
  <w:font w:name="微软雅黑">
    <w:panose1 w:val="020B0503020204020204"/>
    <w:charset w:val="86"/>
    <w:family w:val="auto"/>
    <w:pitch w:val="default"/>
    <w:sig w:usb0="80000287" w:usb1="2ACF3C50" w:usb2="00000016" w:usb3="00000000" w:csb0="0004001F" w:csb1="00000000"/>
    <w:embedRegular r:id="rId4" w:fontKey="{1A233A4E-6E03-4A63-AC76-409C0690F07F}"/>
  </w:font>
  <w:font w:name="仿宋_GB2312">
    <w:panose1 w:val="02010609030101010101"/>
    <w:charset w:val="86"/>
    <w:family w:val="auto"/>
    <w:pitch w:val="default"/>
    <w:sig w:usb0="00000001" w:usb1="080E0000" w:usb2="00000000" w:usb3="00000000" w:csb0="00040000" w:csb1="00000000"/>
    <w:embedRegular r:id="rId5" w:fontKey="{BA0D99DE-446C-4E5E-A29B-DBD5F59C7456}"/>
  </w:font>
  <w:font w:name="楷体_GB2312">
    <w:panose1 w:val="02010609030101010101"/>
    <w:charset w:val="86"/>
    <w:family w:val="auto"/>
    <w:pitch w:val="default"/>
    <w:sig w:usb0="00000001" w:usb1="080E0000" w:usb2="00000000" w:usb3="00000000" w:csb0="00040000" w:csb1="00000000"/>
    <w:embedRegular r:id="rId6" w:fontKey="{F5D6626A-8C33-4FEE-B371-FF7437F08AB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6036B">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78C624">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E78C624">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6F5129">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南阳市人民政府发布     </w:t>
    </w:r>
  </w:p>
  <w:p w14:paraId="626577A4">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6B69D">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AE082F5">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南阳市人民政府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22497F"/>
    <w:multiLevelType w:val="singleLevel"/>
    <w:tmpl w:val="9822497F"/>
    <w:lvl w:ilvl="0" w:tentative="0">
      <w:start w:val="7"/>
      <w:numFmt w:val="chineseCounting"/>
      <w:suff w:val="space"/>
      <w:lvlText w:val="第%1章"/>
      <w:lvlJc w:val="left"/>
      <w:rPr>
        <w:rFonts w:hint="eastAsia"/>
      </w:rPr>
    </w:lvl>
  </w:abstractNum>
  <w:abstractNum w:abstractNumId="1">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abstractNum w:abstractNumId="2">
    <w:nsid w:val="54764D25"/>
    <w:multiLevelType w:val="singleLevel"/>
    <w:tmpl w:val="54764D25"/>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4B679C3"/>
    <w:rsid w:val="0693584D"/>
    <w:rsid w:val="080F63D8"/>
    <w:rsid w:val="09341458"/>
    <w:rsid w:val="0B0912D7"/>
    <w:rsid w:val="10E32902"/>
    <w:rsid w:val="152D2DCA"/>
    <w:rsid w:val="15AD7DB1"/>
    <w:rsid w:val="1DEC284C"/>
    <w:rsid w:val="1E6523AC"/>
    <w:rsid w:val="22440422"/>
    <w:rsid w:val="245530B6"/>
    <w:rsid w:val="291A2D83"/>
    <w:rsid w:val="2D2C652A"/>
    <w:rsid w:val="315128D3"/>
    <w:rsid w:val="31A15F24"/>
    <w:rsid w:val="323C057F"/>
    <w:rsid w:val="352C25BB"/>
    <w:rsid w:val="395347B5"/>
    <w:rsid w:val="39A232A0"/>
    <w:rsid w:val="39E745AA"/>
    <w:rsid w:val="3B5A6BBB"/>
    <w:rsid w:val="3EDA13A6"/>
    <w:rsid w:val="42F058B7"/>
    <w:rsid w:val="436109F6"/>
    <w:rsid w:val="441A38D4"/>
    <w:rsid w:val="4BC77339"/>
    <w:rsid w:val="4C9236C5"/>
    <w:rsid w:val="505C172E"/>
    <w:rsid w:val="52F46F0B"/>
    <w:rsid w:val="532D3F74"/>
    <w:rsid w:val="53D8014D"/>
    <w:rsid w:val="55E064E0"/>
    <w:rsid w:val="572C6D10"/>
    <w:rsid w:val="59EA00F4"/>
    <w:rsid w:val="5DC34279"/>
    <w:rsid w:val="608816D1"/>
    <w:rsid w:val="60EF4E7F"/>
    <w:rsid w:val="665233C1"/>
    <w:rsid w:val="6AD9688B"/>
    <w:rsid w:val="6B3D4C4F"/>
    <w:rsid w:val="6D0E3F22"/>
    <w:rsid w:val="6E0D556A"/>
    <w:rsid w:val="77D31AA6"/>
    <w:rsid w:val="7C9011D9"/>
    <w:rsid w:val="7CCD2F68"/>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numPr>
        <w:ilvl w:val="0"/>
        <w:numId w:val="1"/>
      </w:numPr>
    </w:p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paragraph" w:customStyle="1" w:styleId="11">
    <w:name w:val="列表段落2"/>
    <w:basedOn w:val="1"/>
    <w:qFormat/>
    <w:uiPriority w:val="0"/>
    <w:pPr>
      <w:ind w:firstLine="420" w:firstLineChars="200"/>
    </w:pPr>
  </w:style>
  <w:style w:type="paragraph" w:customStyle="1" w:styleId="12">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6046</Words>
  <Characters>6057</Characters>
  <Lines>1</Lines>
  <Paragraphs>1</Paragraphs>
  <TotalTime>1</TotalTime>
  <ScaleCrop>false</ScaleCrop>
  <LinksUpToDate>false</LinksUpToDate>
  <CharactersWithSpaces>6119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胡</cp:lastModifiedBy>
  <cp:lastPrinted>2021-10-26T03:30:00Z</cp:lastPrinted>
  <dcterms:modified xsi:type="dcterms:W3CDTF">2026-01-06T02:25:47Z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