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center" w:pos="7759"/>
          <w:tab w:val="left" w:pos="11757"/>
        </w:tabs>
        <w:kinsoku/>
        <w:wordWrap/>
        <w:overflowPunct/>
        <w:topLinePunct w:val="0"/>
        <w:autoSpaceDE/>
        <w:autoSpaceDN/>
        <w:bidi w:val="0"/>
        <w:adjustRightInd/>
        <w:snapToGrid/>
        <w:jc w:val="left"/>
        <w:textAlignment w:val="auto"/>
        <w:rPr>
          <w:rFonts w:hint="eastAsia" w:ascii="黑体" w:hAnsi="黑体" w:eastAsia="黑体" w:cs="黑体"/>
          <w:color w:val="auto"/>
          <w:sz w:val="32"/>
          <w:szCs w:val="32"/>
          <w:vertAlign w:val="baseline"/>
          <w:lang w:val="en-US" w:eastAsia="zh-CN"/>
        </w:rPr>
      </w:pPr>
      <w:r>
        <w:rPr>
          <w:rFonts w:hint="eastAsia" w:ascii="黑体" w:hAnsi="黑体" w:eastAsia="黑体" w:cs="黑体"/>
          <w:color w:val="auto"/>
          <w:sz w:val="32"/>
          <w:szCs w:val="32"/>
          <w:vertAlign w:val="baseline"/>
          <w:lang w:eastAsia="zh-CN"/>
        </w:rPr>
        <w:t>附件</w:t>
      </w:r>
      <w:r>
        <w:rPr>
          <w:rFonts w:hint="eastAsia" w:ascii="黑体" w:hAnsi="黑体" w:eastAsia="黑体" w:cs="黑体"/>
          <w:color w:val="auto"/>
          <w:sz w:val="32"/>
          <w:szCs w:val="32"/>
          <w:vertAlign w:val="baseline"/>
          <w:lang w:val="en-US" w:eastAsia="zh-CN"/>
        </w:rPr>
        <w:t>2</w:t>
      </w:r>
    </w:p>
    <w:p>
      <w:pPr>
        <w:keepNext w:val="0"/>
        <w:keepLines w:val="0"/>
        <w:pageBreakBefore w:val="0"/>
        <w:widowControl w:val="0"/>
        <w:tabs>
          <w:tab w:val="center" w:pos="7759"/>
          <w:tab w:val="left" w:pos="11757"/>
        </w:tabs>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vertAlign w:val="baseline"/>
          <w:lang w:eastAsia="zh-CN"/>
        </w:rPr>
      </w:pPr>
      <w:r>
        <w:rPr>
          <w:rFonts w:hint="eastAsia" w:ascii="方正小标宋_GBK" w:hAnsi="方正小标宋_GBK" w:eastAsia="方正小标宋_GBK" w:cs="方正小标宋_GBK"/>
          <w:sz w:val="44"/>
          <w:szCs w:val="44"/>
          <w:highlight w:val="none"/>
          <w:u w:val="none"/>
          <w:lang w:eastAsia="zh-CN"/>
        </w:rPr>
        <w:t>南阳市财政局</w:t>
      </w:r>
      <w:r>
        <w:rPr>
          <w:rFonts w:hint="eastAsia" w:ascii="方正小标宋_GBK" w:hAnsi="方正小标宋_GBK" w:eastAsia="方正小标宋_GBK" w:cs="方正小标宋_GBK"/>
          <w:sz w:val="44"/>
          <w:szCs w:val="44"/>
          <w:highlight w:val="none"/>
          <w:u w:val="none"/>
        </w:rPr>
        <w:t>权责清单目录</w:t>
      </w:r>
    </w:p>
    <w:p>
      <w:pPr>
        <w:keepNext w:val="0"/>
        <w:keepLines w:val="0"/>
        <w:pageBreakBefore w:val="0"/>
        <w:widowControl w:val="0"/>
        <w:tabs>
          <w:tab w:val="center" w:pos="7759"/>
          <w:tab w:val="left" w:pos="11757"/>
        </w:tabs>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b/>
          <w:bCs/>
          <w:color w:val="auto"/>
          <w:sz w:val="44"/>
          <w:szCs w:val="44"/>
          <w:vertAlign w:val="baseline"/>
          <w:lang w:eastAsia="zh-CN"/>
        </w:rPr>
      </w:pPr>
      <w:r>
        <w:rPr>
          <w:rFonts w:hint="eastAsia" w:ascii="楷体_GB2312" w:hAnsi="楷体_GB2312" w:eastAsia="楷体_GB2312" w:cs="楷体_GB2312"/>
          <w:b/>
          <w:bCs/>
          <w:color w:val="auto"/>
          <w:sz w:val="32"/>
          <w:szCs w:val="32"/>
          <w:vertAlign w:val="baseline"/>
          <w:lang w:val="en-US" w:eastAsia="zh-CN"/>
        </w:rPr>
        <w:t>（共90项）</w:t>
      </w:r>
    </w:p>
    <w:tbl>
      <w:tblPr>
        <w:tblStyle w:val="5"/>
        <w:tblW w:w="88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6750"/>
        <w:gridCol w:w="1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blHeader/>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val="0"/>
                <w:bCs w:val="0"/>
                <w:color w:val="auto"/>
                <w:sz w:val="28"/>
                <w:szCs w:val="28"/>
                <w:highlight w:val="none"/>
                <w:vertAlign w:val="baseline"/>
                <w:lang w:eastAsia="zh-CN"/>
              </w:rPr>
            </w:pPr>
            <w:r>
              <w:rPr>
                <w:rFonts w:hint="eastAsia" w:ascii="黑体" w:hAnsi="黑体" w:eastAsia="黑体" w:cs="黑体"/>
                <w:b w:val="0"/>
                <w:bCs w:val="0"/>
                <w:color w:val="auto"/>
                <w:sz w:val="28"/>
                <w:szCs w:val="28"/>
                <w:highlight w:val="none"/>
                <w:vertAlign w:val="baseline"/>
                <w:lang w:eastAsia="zh-CN"/>
              </w:rPr>
              <w:t>序号</w:t>
            </w:r>
          </w:p>
        </w:tc>
        <w:tc>
          <w:tcPr>
            <w:tcW w:w="67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val="0"/>
                <w:bCs w:val="0"/>
                <w:color w:val="auto"/>
                <w:sz w:val="28"/>
                <w:szCs w:val="28"/>
                <w:highlight w:val="none"/>
                <w:vertAlign w:val="baseline"/>
                <w:lang w:eastAsia="zh-CN"/>
              </w:rPr>
            </w:pPr>
            <w:r>
              <w:rPr>
                <w:rFonts w:hint="eastAsia" w:ascii="黑体" w:hAnsi="黑体" w:eastAsia="黑体" w:cs="黑体"/>
                <w:b w:val="0"/>
                <w:bCs w:val="0"/>
                <w:color w:val="auto"/>
                <w:sz w:val="28"/>
                <w:szCs w:val="28"/>
                <w:highlight w:val="none"/>
                <w:vertAlign w:val="baseline"/>
                <w:lang w:eastAsia="zh-CN"/>
              </w:rPr>
              <w:t>职权名称</w:t>
            </w:r>
          </w:p>
        </w:tc>
        <w:tc>
          <w:tcPr>
            <w:tcW w:w="13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val="0"/>
                <w:bCs w:val="0"/>
                <w:color w:val="auto"/>
                <w:sz w:val="28"/>
                <w:szCs w:val="28"/>
                <w:highlight w:val="none"/>
                <w:vertAlign w:val="baseline"/>
                <w:lang w:eastAsia="zh-CN"/>
              </w:rPr>
            </w:pPr>
            <w:r>
              <w:rPr>
                <w:rFonts w:hint="eastAsia" w:ascii="黑体" w:hAnsi="黑体" w:eastAsia="黑体" w:cs="黑体"/>
                <w:b w:val="0"/>
                <w:bCs w:val="0"/>
                <w:color w:val="auto"/>
                <w:sz w:val="28"/>
                <w:szCs w:val="28"/>
                <w:highlight w:val="none"/>
                <w:vertAlign w:val="baseline"/>
                <w:lang w:eastAsia="zh-CN"/>
              </w:rPr>
              <w:t>职权类别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66"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auto"/>
                <w:sz w:val="28"/>
                <w:szCs w:val="28"/>
                <w:highlight w:val="none"/>
                <w:shd w:val="clear" w:color="070000" w:fill="FFFFFF"/>
              </w:rPr>
            </w:pPr>
            <w:r>
              <w:rPr>
                <w:rFonts w:hint="eastAsia" w:ascii="仿宋_GB2312" w:hAnsi="仿宋_GB2312" w:eastAsia="仿宋_GB2312" w:cs="仿宋_GB2312"/>
                <w:b/>
                <w:bCs/>
                <w:color w:val="auto"/>
                <w:sz w:val="28"/>
                <w:szCs w:val="28"/>
                <w:highlight w:val="none"/>
                <w:lang w:eastAsia="zh-CN"/>
              </w:rPr>
              <w:t>一、行政许可（</w:t>
            </w:r>
            <w:r>
              <w:rPr>
                <w:rFonts w:hint="eastAsia" w:ascii="仿宋_GB2312" w:hAnsi="仿宋_GB2312" w:eastAsia="仿宋_GB2312" w:cs="仿宋_GB2312"/>
                <w:b/>
                <w:bCs/>
                <w:color w:val="auto"/>
                <w:sz w:val="28"/>
                <w:szCs w:val="28"/>
                <w:highlight w:val="none"/>
                <w:lang w:val="en-US" w:eastAsia="zh-CN"/>
              </w:rPr>
              <w:t>0项</w:t>
            </w:r>
            <w:r>
              <w:rPr>
                <w:rFonts w:hint="eastAsia" w:ascii="仿宋_GB2312" w:hAnsi="仿宋_GB2312" w:eastAsia="仿宋_GB2312" w:cs="仿宋_GB2312"/>
                <w:b/>
                <w:bCs/>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8866"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auto"/>
                <w:sz w:val="28"/>
                <w:szCs w:val="28"/>
                <w:highlight w:val="none"/>
                <w:shd w:val="clear" w:color="070000" w:fill="FFFFFF"/>
              </w:rPr>
            </w:pPr>
            <w:r>
              <w:rPr>
                <w:rFonts w:hint="eastAsia" w:ascii="仿宋_GB2312" w:hAnsi="仿宋_GB2312" w:eastAsia="仿宋_GB2312" w:cs="仿宋_GB2312"/>
                <w:b/>
                <w:bCs/>
                <w:color w:val="auto"/>
                <w:sz w:val="28"/>
                <w:szCs w:val="28"/>
                <w:highlight w:val="none"/>
                <w:lang w:eastAsia="zh-CN"/>
              </w:rPr>
              <w:t>二、行政处罚（</w:t>
            </w:r>
            <w:r>
              <w:rPr>
                <w:rFonts w:hint="eastAsia" w:ascii="仿宋_GB2312" w:hAnsi="仿宋_GB2312" w:eastAsia="仿宋_GB2312" w:cs="仿宋_GB2312"/>
                <w:b/>
                <w:bCs/>
                <w:color w:val="auto"/>
                <w:sz w:val="28"/>
                <w:szCs w:val="28"/>
                <w:highlight w:val="none"/>
                <w:lang w:val="en-US" w:eastAsia="zh-CN"/>
              </w:rPr>
              <w:t>33项</w:t>
            </w:r>
            <w:r>
              <w:rPr>
                <w:rFonts w:hint="eastAsia" w:ascii="仿宋_GB2312" w:hAnsi="仿宋_GB2312" w:eastAsia="仿宋_GB2312" w:cs="仿宋_GB2312"/>
                <w:b/>
                <w:bCs/>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lang w:val="en-US" w:eastAsia="zh-CN"/>
              </w:rPr>
              <w:t>1</w:t>
            </w:r>
          </w:p>
        </w:tc>
        <w:tc>
          <w:tcPr>
            <w:tcW w:w="67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rPr>
              <w:t>采购人、采购代理机构政府采购违法行为的处罚</w:t>
            </w:r>
          </w:p>
        </w:tc>
        <w:tc>
          <w:tcPr>
            <w:tcW w:w="134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2</w:t>
            </w:r>
          </w:p>
        </w:tc>
        <w:tc>
          <w:tcPr>
            <w:tcW w:w="67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b w:val="0"/>
                <w:bCs w:val="0"/>
                <w:color w:val="auto"/>
                <w:kern w:val="2"/>
                <w:sz w:val="28"/>
                <w:szCs w:val="28"/>
                <w:highlight w:val="none"/>
                <w:shd w:val="clear" w:color="070000" w:fill="FFFFFF"/>
                <w:lang w:val="en-US" w:eastAsia="zh-CN" w:bidi="ar-SA"/>
              </w:rPr>
            </w:pPr>
            <w:r>
              <w:rPr>
                <w:rFonts w:hint="eastAsia" w:ascii="仿宋_GB2312" w:hAnsi="仿宋_GB2312" w:eastAsia="仿宋_GB2312" w:cs="仿宋_GB2312"/>
                <w:b w:val="0"/>
                <w:bCs w:val="0"/>
                <w:color w:val="auto"/>
                <w:sz w:val="28"/>
                <w:szCs w:val="28"/>
                <w:highlight w:val="none"/>
              </w:rPr>
              <w:t>采购人、采购代理机构及其工作人员恶意串通、获取不正当利益、提供虚假材料、泄露标底等的处罚</w:t>
            </w:r>
          </w:p>
        </w:tc>
        <w:tc>
          <w:tcPr>
            <w:tcW w:w="13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color w:val="auto"/>
                <w:kern w:val="2"/>
                <w:sz w:val="28"/>
                <w:szCs w:val="28"/>
                <w:highlight w:val="none"/>
                <w:shd w:val="clear" w:color="070000" w:fill="FFFFFF"/>
                <w:lang w:val="en-US" w:eastAsia="zh-CN" w:bidi="ar-SA"/>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lang w:val="en-US" w:eastAsia="zh-CN"/>
              </w:rPr>
              <w:t>3</w:t>
            </w:r>
          </w:p>
        </w:tc>
        <w:tc>
          <w:tcPr>
            <w:tcW w:w="67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rPr>
              <w:t>采购人、采购代理机构隐匿、销毁应当保存的采购文件或者伪造、变造采购文件的处罚</w:t>
            </w:r>
          </w:p>
        </w:tc>
        <w:tc>
          <w:tcPr>
            <w:tcW w:w="13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4</w:t>
            </w:r>
          </w:p>
        </w:tc>
        <w:tc>
          <w:tcPr>
            <w:tcW w:w="67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b w:val="0"/>
                <w:bCs w:val="0"/>
                <w:color w:val="auto"/>
                <w:sz w:val="28"/>
                <w:szCs w:val="28"/>
                <w:highlight w:val="none"/>
                <w:shd w:val="clear" w:color="070000" w:fill="FFFFFF"/>
              </w:rPr>
            </w:pPr>
            <w:r>
              <w:rPr>
                <w:rFonts w:hint="eastAsia" w:ascii="仿宋_GB2312" w:hAnsi="仿宋_GB2312" w:eastAsia="仿宋_GB2312" w:cs="仿宋_GB2312"/>
                <w:b w:val="0"/>
                <w:bCs w:val="0"/>
                <w:color w:val="auto"/>
                <w:sz w:val="28"/>
                <w:szCs w:val="28"/>
                <w:highlight w:val="none"/>
              </w:rPr>
              <w:t>供应商违法行为的处罚</w:t>
            </w:r>
          </w:p>
        </w:tc>
        <w:tc>
          <w:tcPr>
            <w:tcW w:w="13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color w:val="auto"/>
                <w:sz w:val="28"/>
                <w:szCs w:val="28"/>
                <w:highlight w:val="none"/>
                <w:shd w:val="clear" w:color="070000" w:fill="FFFFFF"/>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5</w:t>
            </w:r>
          </w:p>
        </w:tc>
        <w:tc>
          <w:tcPr>
            <w:tcW w:w="67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b w:val="0"/>
                <w:bCs w:val="0"/>
                <w:color w:val="auto"/>
                <w:sz w:val="28"/>
                <w:szCs w:val="28"/>
                <w:highlight w:val="none"/>
                <w:shd w:val="clear" w:color="070000" w:fill="FFFFFF"/>
              </w:rPr>
            </w:pPr>
            <w:r>
              <w:rPr>
                <w:rFonts w:hint="eastAsia" w:ascii="仿宋_GB2312" w:hAnsi="仿宋_GB2312" w:eastAsia="仿宋_GB2312" w:cs="仿宋_GB2312"/>
                <w:b w:val="0"/>
                <w:bCs w:val="0"/>
                <w:color w:val="auto"/>
                <w:sz w:val="28"/>
                <w:szCs w:val="28"/>
                <w:highlight w:val="none"/>
              </w:rPr>
              <w:t>采购人未编制采购计划、规避招标、违规确定供应商、未依法管理合同、未依法采用非招标方式等行为的处罚</w:t>
            </w:r>
          </w:p>
        </w:tc>
        <w:tc>
          <w:tcPr>
            <w:tcW w:w="13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color w:val="auto"/>
                <w:sz w:val="28"/>
                <w:szCs w:val="28"/>
                <w:highlight w:val="none"/>
                <w:shd w:val="clear" w:color="070000" w:fill="FFFFFF"/>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6</w:t>
            </w:r>
          </w:p>
        </w:tc>
        <w:tc>
          <w:tcPr>
            <w:tcW w:w="67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b w:val="0"/>
                <w:bCs w:val="0"/>
                <w:color w:val="auto"/>
                <w:kern w:val="2"/>
                <w:sz w:val="28"/>
                <w:szCs w:val="28"/>
                <w:highlight w:val="none"/>
                <w:shd w:val="clear" w:color="070000" w:fill="FFFFFF"/>
                <w:lang w:val="en-US" w:eastAsia="zh-CN" w:bidi="ar-SA"/>
              </w:rPr>
            </w:pPr>
            <w:r>
              <w:rPr>
                <w:rFonts w:hint="eastAsia" w:ascii="仿宋_GB2312" w:hAnsi="仿宋_GB2312" w:eastAsia="仿宋_GB2312" w:cs="仿宋_GB2312"/>
                <w:b w:val="0"/>
                <w:bCs w:val="0"/>
                <w:color w:val="auto"/>
                <w:sz w:val="28"/>
                <w:szCs w:val="28"/>
                <w:highlight w:val="none"/>
              </w:rPr>
              <w:t>集中采购机构内部制度不健全、依法应当分设分离的岗位和人员未分设分离，将集中采购项目委托其他采购代理机构采购，从事营利活动的处罚</w:t>
            </w:r>
          </w:p>
        </w:tc>
        <w:tc>
          <w:tcPr>
            <w:tcW w:w="13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color w:val="auto"/>
                <w:kern w:val="2"/>
                <w:sz w:val="28"/>
                <w:szCs w:val="28"/>
                <w:highlight w:val="none"/>
                <w:shd w:val="clear" w:color="070000" w:fill="FFFFFF"/>
                <w:lang w:val="en-US" w:eastAsia="zh-CN" w:bidi="ar-SA"/>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7</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rPr>
            </w:pPr>
            <w:r>
              <w:rPr>
                <w:rFonts w:hint="eastAsia" w:ascii="仿宋_GB2312" w:hAnsi="仿宋_GB2312" w:eastAsia="仿宋_GB2312" w:cs="仿宋_GB2312"/>
                <w:b w:val="0"/>
                <w:bCs w:val="0"/>
                <w:color w:val="auto"/>
                <w:sz w:val="28"/>
                <w:szCs w:val="28"/>
                <w:highlight w:val="none"/>
              </w:rPr>
              <w:t>采购人员与供应商有利害关系而不依法回避的处罚</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8</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rPr>
            </w:pPr>
            <w:r>
              <w:rPr>
                <w:rFonts w:hint="eastAsia" w:ascii="仿宋_GB2312" w:hAnsi="仿宋_GB2312" w:eastAsia="仿宋_GB2312" w:cs="仿宋_GB2312"/>
                <w:b w:val="0"/>
                <w:bCs w:val="0"/>
                <w:color w:val="auto"/>
                <w:sz w:val="28"/>
                <w:szCs w:val="28"/>
                <w:highlight w:val="none"/>
              </w:rPr>
              <w:t>评审专家未依法独立评审、泄露评审情况，应回避而未回避，收受贿赂或者获取其他不正当利益、存在明显不合理或者不正当倾向性等行为的处罚</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9</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rPr>
            </w:pPr>
            <w:r>
              <w:rPr>
                <w:rFonts w:hint="eastAsia" w:ascii="仿宋_GB2312" w:hAnsi="仿宋_GB2312" w:eastAsia="仿宋_GB2312" w:cs="仿宋_GB2312"/>
                <w:b w:val="0"/>
                <w:bCs w:val="0"/>
                <w:color w:val="auto"/>
                <w:sz w:val="28"/>
                <w:szCs w:val="28"/>
                <w:highlight w:val="none"/>
              </w:rPr>
              <w:t>采购人、采购代理机构应公告</w:t>
            </w:r>
            <w:bookmarkStart w:id="0" w:name="_GoBack"/>
            <w:bookmarkEnd w:id="0"/>
            <w:r>
              <w:rPr>
                <w:rFonts w:hint="eastAsia" w:ascii="仿宋_GB2312" w:hAnsi="仿宋_GB2312" w:eastAsia="仿宋_GB2312" w:cs="仿宋_GB2312"/>
                <w:b w:val="0"/>
                <w:bCs w:val="0"/>
                <w:color w:val="auto"/>
                <w:sz w:val="28"/>
                <w:szCs w:val="28"/>
                <w:highlight w:val="none"/>
              </w:rPr>
              <w:t>而未公告、不在指定媒体公告、不同媒体公告内容不一致、未按规定期限公告、公告信息不真实、排斥潜在供应商等行为的处罚</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lang w:val="en-US" w:eastAsia="zh-CN"/>
              </w:rPr>
              <w:t>10</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caps w:val="0"/>
                <w:color w:val="auto"/>
                <w:spacing w:val="0"/>
                <w:kern w:val="2"/>
                <w:sz w:val="28"/>
                <w:szCs w:val="28"/>
                <w:highlight w:val="none"/>
                <w:shd w:val="clear" w:color="070000" w:fill="FFFFFF"/>
                <w:lang w:val="en-US" w:eastAsia="zh-CN" w:bidi="ar-SA"/>
              </w:rPr>
            </w:pPr>
            <w:r>
              <w:rPr>
                <w:rFonts w:hint="eastAsia" w:ascii="仿宋_GB2312" w:hAnsi="仿宋_GB2312" w:eastAsia="仿宋_GB2312" w:cs="仿宋_GB2312"/>
                <w:b w:val="0"/>
                <w:bCs w:val="0"/>
                <w:color w:val="auto"/>
                <w:sz w:val="28"/>
                <w:szCs w:val="28"/>
                <w:highlight w:val="none"/>
                <w:lang w:eastAsia="zh-CN"/>
              </w:rPr>
              <w:t>在农村综合改革和基层财政管理工作中，对单位和个人违反国家有关投资建设项目规定行为的处罚</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i w:val="0"/>
                <w:caps w:val="0"/>
                <w:color w:val="auto"/>
                <w:spacing w:val="0"/>
                <w:kern w:val="2"/>
                <w:sz w:val="28"/>
                <w:szCs w:val="28"/>
                <w:highlight w:val="none"/>
                <w:shd w:val="clear" w:color="070000" w:fill="FFFFFF"/>
                <w:lang w:val="en-US" w:eastAsia="zh-CN" w:bidi="ar-SA"/>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lang w:val="en-US" w:eastAsia="zh-CN"/>
              </w:rPr>
              <w:t>11</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eastAsia="zh-CN"/>
              </w:rPr>
              <w:t>在农村综合改革和基层财政管理工作中，对企业和个人违法违规行为的处罚</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lang w:val="en-US" w:eastAsia="zh-CN"/>
              </w:rPr>
              <w:t>12</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eastAsia="zh-CN"/>
              </w:rPr>
              <w:t>对国家机关及其工作人员违反规定使用、骗取农村综合改革及基层财政管理类财政专项资金行为的处罚</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sz w:val="28"/>
                <w:szCs w:val="28"/>
                <w:highlight w:val="none"/>
                <w:u w:val="none"/>
                <w:lang w:val="en-US" w:eastAsia="zh-CN"/>
              </w:rPr>
            </w:pPr>
            <w:r>
              <w:rPr>
                <w:rFonts w:hint="eastAsia" w:ascii="仿宋_GB2312" w:hAnsi="仿宋_GB2312" w:eastAsia="仿宋_GB2312" w:cs="仿宋_GB2312"/>
                <w:b w:val="0"/>
                <w:bCs w:val="0"/>
                <w:i w:val="0"/>
                <w:snapToGrid/>
                <w:color w:val="auto"/>
                <w:sz w:val="28"/>
                <w:szCs w:val="28"/>
                <w:highlight w:val="none"/>
                <w:u w:val="none"/>
                <w:lang w:val="en-US" w:eastAsia="zh-CN"/>
              </w:rPr>
              <w:t>13</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国家机关及其工作人员违反规定使用、骗取政府承贷或者担保的外国政府贷款、国际金融组织贷款的处罚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14</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违反规定使用、骗取财政资金以及政府承贷或者担保的外国政府贷款、国际金融组织贷款行为的处罚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lang w:val="en-US" w:eastAsia="zh-CN"/>
              </w:rPr>
              <w:t>15</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snapToGrid/>
                <w:color w:val="auto"/>
                <w:sz w:val="28"/>
                <w:szCs w:val="28"/>
                <w:highlight w:val="none"/>
                <w:u w:val="none"/>
                <w:lang w:eastAsia="zh-CN"/>
              </w:rPr>
            </w:pPr>
            <w:r>
              <w:rPr>
                <w:rFonts w:hint="eastAsia" w:ascii="仿宋_GB2312" w:hAnsi="仿宋_GB2312" w:eastAsia="仿宋_GB2312" w:cs="仿宋_GB2312"/>
                <w:b w:val="0"/>
                <w:bCs w:val="0"/>
                <w:i w:val="0"/>
                <w:snapToGrid/>
                <w:color w:val="auto"/>
                <w:sz w:val="28"/>
                <w:szCs w:val="28"/>
                <w:highlight w:val="none"/>
                <w:u w:val="none"/>
                <w:lang w:eastAsia="zh-CN"/>
              </w:rPr>
              <w:t>金融企业国有资产转让违规的处罚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sz w:val="28"/>
                <w:szCs w:val="28"/>
                <w:highlight w:val="none"/>
                <w:u w:val="none"/>
                <w:lang w:val="en-US" w:eastAsia="zh-CN"/>
              </w:rPr>
            </w:pPr>
            <w:r>
              <w:rPr>
                <w:rFonts w:hint="eastAsia" w:ascii="仿宋_GB2312" w:hAnsi="仿宋_GB2312" w:eastAsia="仿宋_GB2312" w:cs="仿宋_GB2312"/>
                <w:b w:val="0"/>
                <w:bCs w:val="0"/>
                <w:i w:val="0"/>
                <w:snapToGrid/>
                <w:color w:val="auto"/>
                <w:sz w:val="28"/>
                <w:szCs w:val="28"/>
                <w:highlight w:val="none"/>
                <w:u w:val="none"/>
                <w:lang w:val="en-US" w:eastAsia="zh-CN"/>
              </w:rPr>
              <w:t>16</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企业国有资产产权登记违反规定的处罚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17</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金融企业不按照规定建立内部财务管理制度；内部财务管理制度明显与国家法律、法规和统一的财务管理规章制度相抵触，且不按财政部门要求修改的；不按照规定提供财务信息的；拒绝、阻扰依法实施的财务监督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18</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金融企业在报送国有资本保值增值材料中存在故意漏报、瞒报以及提供虚假材料等情况的处罚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tabs>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19</w:t>
            </w:r>
          </w:p>
        </w:tc>
        <w:tc>
          <w:tcPr>
            <w:tcW w:w="6750" w:type="dxa"/>
            <w:noWrap w:val="0"/>
            <w:vAlign w:val="center"/>
          </w:tcPr>
          <w:p>
            <w:pPr>
              <w:keepNext w:val="0"/>
              <w:keepLines w:val="0"/>
              <w:pageBreakBefore w:val="0"/>
              <w:tabs>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不依法设置会计账簿等的处罚</w:t>
            </w:r>
          </w:p>
        </w:tc>
        <w:tc>
          <w:tcPr>
            <w:tcW w:w="1340" w:type="dxa"/>
            <w:noWrap w:val="0"/>
            <w:vAlign w:val="center"/>
          </w:tcPr>
          <w:p>
            <w:pPr>
              <w:keepNext w:val="0"/>
              <w:keepLines w:val="0"/>
              <w:pageBreakBefore w:val="0"/>
              <w:tabs>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20</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伪造、变造会计凭证、会计账簿，编制虚假财务会计报告的处罚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sz w:val="28"/>
                <w:szCs w:val="28"/>
                <w:highlight w:val="none"/>
                <w:u w:val="none"/>
                <w:lang w:val="en-US" w:eastAsia="zh-CN"/>
              </w:rPr>
            </w:pPr>
            <w:r>
              <w:rPr>
                <w:rFonts w:hint="eastAsia" w:ascii="仿宋_GB2312" w:hAnsi="仿宋_GB2312" w:eastAsia="仿宋_GB2312" w:cs="仿宋_GB2312"/>
                <w:b w:val="0"/>
                <w:bCs w:val="0"/>
                <w:i w:val="0"/>
                <w:snapToGrid/>
                <w:color w:val="auto"/>
                <w:sz w:val="28"/>
                <w:szCs w:val="28"/>
                <w:highlight w:val="none"/>
                <w:u w:val="none"/>
                <w:lang w:val="en-US" w:eastAsia="zh-CN"/>
              </w:rPr>
              <w:t>21</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隐匿或者故意销毁依法应当保存的会计凭证、会计账簿、财务会计报告的处罚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22</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授意、指使、强令会计机构、会计人员及其他人员编制、对外提供虚假的或者隐瞒重要事实的财务会计报告，或者隐匿、故意销毁依法应当保存的财务会计报告的处罚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sz w:val="28"/>
                <w:szCs w:val="28"/>
                <w:highlight w:val="none"/>
                <w:u w:val="none"/>
                <w:lang w:val="en-US" w:eastAsia="zh-CN"/>
              </w:rPr>
            </w:pPr>
            <w:r>
              <w:rPr>
                <w:rFonts w:hint="eastAsia" w:ascii="仿宋_GB2312" w:hAnsi="仿宋_GB2312" w:eastAsia="仿宋_GB2312" w:cs="仿宋_GB2312"/>
                <w:b w:val="0"/>
                <w:bCs w:val="0"/>
                <w:i w:val="0"/>
                <w:snapToGrid/>
                <w:color w:val="auto"/>
                <w:sz w:val="28"/>
                <w:szCs w:val="28"/>
                <w:highlight w:val="none"/>
                <w:u w:val="none"/>
                <w:lang w:val="en-US" w:eastAsia="zh-CN"/>
              </w:rPr>
              <w:t>23</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对企业随意改变会计要素的确认和计量标准等的处罚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24</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企业编制、对外提供虚假的或者隐瞒重要事实的财务会计报告的处罚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25</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企业和企业负有直接责任的主管人员和其他人员未按规定列支成本费用，截留、隐瞒、侵占企业收入，分配利润，处理国有资源，清偿职工债务的处罚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26</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企业和企业负有直接责任的主管人员和其他人员未按规定建立健全内部财务管理制度、拒绝修正财务管理制度违规内容的处罚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27</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单位和个人违反国家有关投资建设项目规定行为的处罚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28</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lang w:val="en-US" w:eastAsia="zh-CN"/>
              </w:rPr>
              <w:t>国家机关及其工作人员违反《中华人民共和国民法典》及国家有关规定，擅自提供担保的处罚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lang w:val="en-US" w:eastAsia="zh-CN"/>
              </w:rPr>
              <w:t>29</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snapToGrid/>
                <w:color w:val="auto"/>
                <w:sz w:val="28"/>
                <w:szCs w:val="28"/>
                <w:highlight w:val="none"/>
                <w:u w:val="none"/>
                <w:lang w:eastAsia="zh-CN"/>
              </w:rPr>
            </w:pPr>
            <w:r>
              <w:rPr>
                <w:rFonts w:hint="eastAsia" w:ascii="仿宋_GB2312" w:hAnsi="仿宋_GB2312" w:eastAsia="仿宋_GB2312" w:cs="仿宋_GB2312"/>
                <w:b w:val="0"/>
                <w:bCs w:val="0"/>
                <w:i w:val="0"/>
                <w:snapToGrid/>
                <w:color w:val="auto"/>
                <w:sz w:val="28"/>
                <w:szCs w:val="28"/>
                <w:highlight w:val="none"/>
                <w:u w:val="none"/>
                <w:lang w:eastAsia="zh-CN"/>
              </w:rPr>
              <w:t>国家机关及其工作人员违反国家有关账户管理规定，擅自在金融机构开立、使用账户的处罚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30</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单位和个人违反财务管理规定私存私放财政资金或者其他公款的处罚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31</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被监督对象阻挠、拒绝监督检查或者不如实提供有关资料、实物的处罚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lang w:val="en-US" w:eastAsia="zh-CN"/>
              </w:rPr>
              <w:t>32</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color w:val="auto"/>
                <w:kern w:val="0"/>
                <w:sz w:val="28"/>
                <w:szCs w:val="28"/>
                <w:highlight w:val="none"/>
                <w:u w:val="none"/>
                <w:lang w:val="en-US" w:eastAsia="zh-CN" w:bidi="ar"/>
              </w:rPr>
            </w:pPr>
            <w:r>
              <w:rPr>
                <w:rFonts w:hint="eastAsia" w:ascii="仿宋_GB2312" w:hAnsi="仿宋_GB2312" w:eastAsia="仿宋_GB2312" w:cs="仿宋_GB2312"/>
                <w:b w:val="0"/>
                <w:bCs w:val="0"/>
                <w:i w:val="0"/>
                <w:color w:val="auto"/>
                <w:kern w:val="0"/>
                <w:sz w:val="28"/>
                <w:szCs w:val="28"/>
                <w:highlight w:val="none"/>
                <w:u w:val="none"/>
                <w:lang w:val="en-US" w:eastAsia="zh-CN" w:bidi="ar"/>
              </w:rPr>
              <w:t>违反规定印制和使用财政票据的处罚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i w:val="0"/>
                <w:color w:val="auto"/>
                <w:kern w:val="0"/>
                <w:sz w:val="28"/>
                <w:szCs w:val="28"/>
                <w:highlight w:val="none"/>
                <w:u w:val="none"/>
                <w:lang w:val="en-US" w:eastAsia="zh-CN" w:bidi="ar"/>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776"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lang w:val="en-US" w:eastAsia="zh-CN"/>
              </w:rPr>
              <w:t>33</w:t>
            </w:r>
          </w:p>
        </w:tc>
        <w:tc>
          <w:tcPr>
            <w:tcW w:w="675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color w:val="auto"/>
                <w:kern w:val="0"/>
                <w:sz w:val="28"/>
                <w:szCs w:val="28"/>
                <w:highlight w:val="none"/>
                <w:u w:val="none"/>
                <w:lang w:val="en-US" w:eastAsia="zh-CN" w:bidi="ar"/>
              </w:rPr>
            </w:pPr>
            <w:r>
              <w:rPr>
                <w:rFonts w:hint="eastAsia" w:ascii="仿宋_GB2312" w:hAnsi="仿宋_GB2312" w:eastAsia="仿宋_GB2312" w:cs="仿宋_GB2312"/>
                <w:b w:val="0"/>
                <w:bCs w:val="0"/>
                <w:i w:val="0"/>
                <w:color w:val="auto"/>
                <w:kern w:val="0"/>
                <w:sz w:val="28"/>
                <w:szCs w:val="28"/>
                <w:highlight w:val="none"/>
                <w:u w:val="none"/>
                <w:lang w:val="en-US" w:eastAsia="zh-CN" w:bidi="ar"/>
              </w:rPr>
              <w:t>国有资产管理行政主管部门或者行业主管部门工作人员利用职权谋取私利，或者玩忽职守，造成国有资产损失的处罚</w:t>
            </w:r>
          </w:p>
        </w:tc>
        <w:tc>
          <w:tcPr>
            <w:tcW w:w="1340" w:type="dxa"/>
            <w:noWrap w:val="0"/>
            <w:vAlign w:val="center"/>
          </w:tcPr>
          <w:p>
            <w:pPr>
              <w:keepNext w:val="0"/>
              <w:keepLines w:val="0"/>
              <w:pageBreakBefore w:val="0"/>
              <w:tabs>
                <w:tab w:val="left" w:pos="1737"/>
                <w:tab w:val="center" w:pos="7629"/>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i w:val="0"/>
                <w:color w:val="auto"/>
                <w:kern w:val="0"/>
                <w:sz w:val="28"/>
                <w:szCs w:val="28"/>
                <w:highlight w:val="none"/>
                <w:u w:val="none"/>
                <w:lang w:val="en-US" w:eastAsia="zh-CN" w:bidi="ar"/>
              </w:rPr>
            </w:pPr>
            <w:r>
              <w:rPr>
                <w:rFonts w:hint="eastAsia" w:ascii="仿宋_GB2312" w:hAnsi="仿宋_GB2312" w:eastAsia="仿宋_GB2312" w:cs="仿宋_GB2312"/>
                <w:b w:val="0"/>
                <w:bCs w:val="0"/>
                <w:color w:val="auto"/>
                <w:sz w:val="28"/>
                <w:szCs w:val="28"/>
                <w:highlight w:val="none"/>
                <w:lang w:val="en-US" w:eastAsia="zh-CN"/>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66"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auto"/>
                <w:sz w:val="28"/>
                <w:szCs w:val="28"/>
                <w:highlight w:val="none"/>
                <w:lang w:eastAsia="zh-CN"/>
              </w:rPr>
            </w:pPr>
            <w:r>
              <w:rPr>
                <w:rFonts w:hint="eastAsia" w:ascii="仿宋_GB2312" w:hAnsi="仿宋_GB2312" w:eastAsia="仿宋_GB2312" w:cs="仿宋_GB2312"/>
                <w:b/>
                <w:bCs/>
                <w:color w:val="auto"/>
                <w:sz w:val="28"/>
                <w:szCs w:val="28"/>
                <w:highlight w:val="none"/>
                <w:lang w:eastAsia="zh-CN"/>
              </w:rPr>
              <w:t>三、行政强制（</w:t>
            </w:r>
            <w:r>
              <w:rPr>
                <w:rFonts w:hint="eastAsia" w:ascii="仿宋_GB2312" w:hAnsi="仿宋_GB2312" w:eastAsia="仿宋_GB2312" w:cs="仿宋_GB2312"/>
                <w:b/>
                <w:bCs/>
                <w:color w:val="auto"/>
                <w:sz w:val="28"/>
                <w:szCs w:val="28"/>
                <w:highlight w:val="none"/>
                <w:lang w:val="en-US" w:eastAsia="zh-CN"/>
              </w:rPr>
              <w:t>0项</w:t>
            </w:r>
            <w:r>
              <w:rPr>
                <w:rFonts w:hint="eastAsia" w:ascii="仿宋_GB2312" w:hAnsi="仿宋_GB2312" w:eastAsia="仿宋_GB2312" w:cs="仿宋_GB2312"/>
                <w:b/>
                <w:bCs/>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66"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auto"/>
                <w:sz w:val="28"/>
                <w:szCs w:val="28"/>
                <w:highlight w:val="none"/>
                <w:lang w:eastAsia="zh-CN"/>
              </w:rPr>
            </w:pPr>
            <w:r>
              <w:rPr>
                <w:rFonts w:hint="eastAsia" w:ascii="仿宋_GB2312" w:hAnsi="仿宋_GB2312" w:eastAsia="仿宋_GB2312" w:cs="仿宋_GB2312"/>
                <w:b/>
                <w:bCs/>
                <w:color w:val="auto"/>
                <w:sz w:val="28"/>
                <w:szCs w:val="28"/>
                <w:highlight w:val="none"/>
                <w:lang w:eastAsia="zh-CN"/>
              </w:rPr>
              <w:t>四、行政征收（</w:t>
            </w:r>
            <w:r>
              <w:rPr>
                <w:rFonts w:hint="eastAsia" w:ascii="仿宋_GB2312" w:hAnsi="仿宋_GB2312" w:eastAsia="仿宋_GB2312" w:cs="仿宋_GB2312"/>
                <w:b/>
                <w:bCs/>
                <w:color w:val="auto"/>
                <w:sz w:val="28"/>
                <w:szCs w:val="28"/>
                <w:highlight w:val="none"/>
                <w:lang w:val="en-US" w:eastAsia="zh-CN"/>
              </w:rPr>
              <w:t>2项</w:t>
            </w:r>
            <w:r>
              <w:rPr>
                <w:rFonts w:hint="eastAsia" w:ascii="仿宋_GB2312" w:hAnsi="仿宋_GB2312" w:eastAsia="仿宋_GB2312" w:cs="仿宋_GB2312"/>
                <w:b/>
                <w:bCs/>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34</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sz w:val="28"/>
                <w:szCs w:val="28"/>
                <w:highlight w:val="none"/>
                <w:lang w:eastAsia="zh-CN"/>
              </w:rPr>
              <w:t>单位不明确的市级非税收入征收</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sz w:val="28"/>
                <w:szCs w:val="28"/>
                <w:highlight w:val="none"/>
                <w:lang w:val="en-US" w:eastAsia="zh-CN"/>
              </w:rPr>
              <w:t>行政征收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35</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南阳市中心城区城市基础设施配套费征收</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行政征收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66"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auto"/>
                <w:sz w:val="28"/>
                <w:szCs w:val="28"/>
                <w:highlight w:val="none"/>
                <w:lang w:eastAsia="zh-CN"/>
              </w:rPr>
            </w:pPr>
            <w:r>
              <w:rPr>
                <w:rFonts w:hint="eastAsia" w:ascii="仿宋_GB2312" w:hAnsi="仿宋_GB2312" w:eastAsia="仿宋_GB2312" w:cs="仿宋_GB2312"/>
                <w:b/>
                <w:bCs/>
                <w:color w:val="auto"/>
                <w:sz w:val="28"/>
                <w:szCs w:val="28"/>
                <w:highlight w:val="none"/>
                <w:lang w:eastAsia="zh-CN"/>
              </w:rPr>
              <w:t>五、行政给付（</w:t>
            </w:r>
            <w:r>
              <w:rPr>
                <w:rFonts w:hint="eastAsia" w:ascii="仿宋_GB2312" w:hAnsi="仿宋_GB2312" w:eastAsia="仿宋_GB2312" w:cs="仿宋_GB2312"/>
                <w:b/>
                <w:bCs/>
                <w:color w:val="auto"/>
                <w:sz w:val="28"/>
                <w:szCs w:val="28"/>
                <w:highlight w:val="none"/>
                <w:lang w:val="en-US" w:eastAsia="zh-CN"/>
              </w:rPr>
              <w:t>0项</w:t>
            </w:r>
            <w:r>
              <w:rPr>
                <w:rFonts w:hint="eastAsia" w:ascii="仿宋_GB2312" w:hAnsi="仿宋_GB2312" w:eastAsia="仿宋_GB2312" w:cs="仿宋_GB2312"/>
                <w:b/>
                <w:bCs/>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66"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auto"/>
                <w:sz w:val="28"/>
                <w:szCs w:val="28"/>
                <w:highlight w:val="none"/>
                <w:lang w:eastAsia="zh-CN"/>
              </w:rPr>
            </w:pPr>
            <w:r>
              <w:rPr>
                <w:rFonts w:hint="eastAsia" w:ascii="仿宋_GB2312" w:hAnsi="仿宋_GB2312" w:eastAsia="仿宋_GB2312" w:cs="仿宋_GB2312"/>
                <w:b/>
                <w:bCs/>
                <w:color w:val="auto"/>
                <w:sz w:val="28"/>
                <w:szCs w:val="28"/>
                <w:highlight w:val="none"/>
                <w:lang w:eastAsia="zh-CN"/>
              </w:rPr>
              <w:t>六、行政检查（</w:t>
            </w:r>
            <w:r>
              <w:rPr>
                <w:rFonts w:hint="eastAsia" w:ascii="仿宋_GB2312" w:hAnsi="仿宋_GB2312" w:eastAsia="仿宋_GB2312" w:cs="仿宋_GB2312"/>
                <w:b/>
                <w:bCs/>
                <w:color w:val="auto"/>
                <w:sz w:val="28"/>
                <w:szCs w:val="28"/>
                <w:highlight w:val="none"/>
                <w:lang w:val="en-US" w:eastAsia="zh-CN"/>
              </w:rPr>
              <w:t>12项</w:t>
            </w:r>
            <w:r>
              <w:rPr>
                <w:rFonts w:hint="eastAsia" w:ascii="仿宋_GB2312" w:hAnsi="仿宋_GB2312" w:eastAsia="仿宋_GB2312" w:cs="仿宋_GB2312"/>
                <w:b/>
                <w:bCs/>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36</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rPr>
              <w:t>政府采购法规，政策执行情况监督检查</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lang w:val="en-US" w:eastAsia="zh-CN"/>
              </w:rPr>
              <w:t>37</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rPr>
              <w:t>国有资产收益收支及管理情况监督检查</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autoSpaceDN w:val="0"/>
              <w:bidi w:val="0"/>
              <w:adjustRightInd/>
              <w:snapToGrid/>
              <w:spacing w:line="400" w:lineRule="exact"/>
              <w:jc w:val="center"/>
              <w:textAlignment w:val="center"/>
              <w:rPr>
                <w:rFonts w:hint="default" w:ascii="仿宋_GB2312" w:hAnsi="仿宋_GB2312" w:eastAsia="仿宋_GB2312" w:cs="仿宋_GB2312"/>
                <w:b w:val="0"/>
                <w:bCs w:val="0"/>
                <w:i w:val="0"/>
                <w:color w:val="auto"/>
                <w:kern w:val="2"/>
                <w:sz w:val="28"/>
                <w:szCs w:val="28"/>
                <w:highlight w:val="none"/>
                <w:u w:val="none"/>
                <w:lang w:val="en-US" w:eastAsia="zh-CN" w:bidi="ar-SA"/>
              </w:rPr>
            </w:pPr>
            <w:r>
              <w:rPr>
                <w:rFonts w:hint="eastAsia" w:ascii="仿宋_GB2312" w:hAnsi="仿宋_GB2312" w:eastAsia="仿宋_GB2312" w:cs="仿宋_GB2312"/>
                <w:b w:val="0"/>
                <w:bCs w:val="0"/>
                <w:i w:val="0"/>
                <w:color w:val="auto"/>
                <w:kern w:val="2"/>
                <w:sz w:val="28"/>
                <w:szCs w:val="28"/>
                <w:highlight w:val="none"/>
                <w:u w:val="none"/>
                <w:lang w:val="en-US" w:eastAsia="zh-CN" w:bidi="ar-SA"/>
              </w:rPr>
              <w:t>38</w:t>
            </w:r>
          </w:p>
        </w:tc>
        <w:tc>
          <w:tcPr>
            <w:tcW w:w="6750" w:type="dxa"/>
            <w:noWrap w:val="0"/>
            <w:vAlign w:val="center"/>
          </w:tcPr>
          <w:p>
            <w:pPr>
              <w:keepNext w:val="0"/>
              <w:keepLines w:val="0"/>
              <w:pageBreakBefore w:val="0"/>
              <w:kinsoku/>
              <w:wordWrap/>
              <w:overflowPunct/>
              <w:topLinePunct w:val="0"/>
              <w:autoSpaceDE/>
              <w:autoSpaceDN w:val="0"/>
              <w:bidi w:val="0"/>
              <w:adjustRightInd/>
              <w:snapToGrid/>
              <w:spacing w:line="400" w:lineRule="exact"/>
              <w:jc w:val="both"/>
              <w:textAlignment w:val="center"/>
              <w:rPr>
                <w:rFonts w:hint="eastAsia" w:ascii="仿宋_GB2312" w:hAnsi="仿宋_GB2312" w:eastAsia="仿宋_GB2312" w:cs="仿宋_GB2312"/>
                <w:b w:val="0"/>
                <w:bCs w:val="0"/>
                <w:i w:val="0"/>
                <w:color w:val="auto"/>
                <w:sz w:val="28"/>
                <w:szCs w:val="28"/>
                <w:highlight w:val="none"/>
                <w:u w:val="none"/>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会计监督检查</w:t>
            </w:r>
          </w:p>
        </w:tc>
        <w:tc>
          <w:tcPr>
            <w:tcW w:w="1340" w:type="dxa"/>
            <w:noWrap w:val="0"/>
            <w:vAlign w:val="center"/>
          </w:tcPr>
          <w:p>
            <w:pPr>
              <w:keepNext w:val="0"/>
              <w:keepLines w:val="0"/>
              <w:pageBreakBefore w:val="0"/>
              <w:kinsoku/>
              <w:wordWrap/>
              <w:overflowPunct/>
              <w:topLinePunct w:val="0"/>
              <w:autoSpaceDE/>
              <w:autoSpaceDN w:val="0"/>
              <w:bidi w:val="0"/>
              <w:adjustRightInd/>
              <w:snapToGrid/>
              <w:spacing w:line="400" w:lineRule="exact"/>
              <w:jc w:val="center"/>
              <w:textAlignment w:val="center"/>
              <w:rPr>
                <w:rFonts w:hint="eastAsia" w:ascii="仿宋_GB2312" w:hAnsi="仿宋_GB2312" w:eastAsia="仿宋_GB2312" w:cs="仿宋_GB2312"/>
                <w:b w:val="0"/>
                <w:bCs w:val="0"/>
                <w:i w:val="0"/>
                <w:color w:val="auto"/>
                <w:sz w:val="28"/>
                <w:szCs w:val="28"/>
                <w:highlight w:val="none"/>
                <w:u w:val="none"/>
                <w:lang w:val="en-US" w:eastAsia="zh-CN"/>
              </w:rPr>
            </w:pPr>
            <w:r>
              <w:rPr>
                <w:rFonts w:hint="eastAsia" w:ascii="仿宋_GB2312" w:hAnsi="仿宋_GB2312" w:eastAsia="仿宋_GB2312" w:cs="仿宋_GB2312"/>
                <w:b w:val="0"/>
                <w:bCs w:val="0"/>
                <w:color w:val="auto"/>
                <w:sz w:val="28"/>
                <w:szCs w:val="28"/>
                <w:highlight w:val="none"/>
                <w:lang w:val="en-US" w:eastAsia="zh-CN"/>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lang w:val="en-US" w:eastAsia="zh-CN"/>
              </w:rPr>
              <w:t>39</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caps w:val="0"/>
                <w:color w:val="auto"/>
                <w:spacing w:val="0"/>
                <w:sz w:val="28"/>
                <w:szCs w:val="28"/>
                <w:highlight w:val="none"/>
                <w:shd w:val="clear" w:color="070000" w:fill="FFFFFF"/>
                <w:lang w:val="en-US" w:eastAsia="zh-CN"/>
              </w:rPr>
            </w:pPr>
            <w:r>
              <w:rPr>
                <w:rFonts w:hint="eastAsia" w:ascii="仿宋_GB2312" w:hAnsi="仿宋_GB2312" w:eastAsia="仿宋_GB2312" w:cs="仿宋_GB2312"/>
                <w:b w:val="0"/>
                <w:bCs w:val="0"/>
                <w:i w:val="0"/>
                <w:color w:val="auto"/>
                <w:sz w:val="28"/>
                <w:szCs w:val="28"/>
                <w:highlight w:val="none"/>
                <w:u w:val="none"/>
                <w:lang w:val="en-US" w:eastAsia="zh-CN"/>
              </w:rPr>
              <w:t>对</w:t>
            </w:r>
            <w:r>
              <w:rPr>
                <w:rFonts w:hint="eastAsia" w:ascii="仿宋_GB2312" w:hAnsi="仿宋_GB2312" w:eastAsia="仿宋_GB2312" w:cs="仿宋_GB2312"/>
                <w:b w:val="0"/>
                <w:bCs w:val="0"/>
                <w:i w:val="0"/>
                <w:color w:val="auto"/>
                <w:sz w:val="28"/>
                <w:szCs w:val="28"/>
                <w:highlight w:val="none"/>
                <w:u w:val="none"/>
                <w:lang w:eastAsia="zh-CN"/>
              </w:rPr>
              <w:t>农村综合改革和基层财政管理财政专项资金监督检查</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i w:val="0"/>
                <w:caps w:val="0"/>
                <w:color w:val="auto"/>
                <w:spacing w:val="0"/>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lang w:val="en-US" w:eastAsia="zh-CN"/>
              </w:rPr>
              <w:t>40</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caps w:val="0"/>
                <w:color w:val="auto"/>
                <w:spacing w:val="0"/>
                <w:sz w:val="28"/>
                <w:szCs w:val="28"/>
                <w:highlight w:val="none"/>
                <w:shd w:val="clear" w:color="070000" w:fill="FFFFFF"/>
                <w:lang w:val="en-US" w:eastAsia="zh-CN"/>
              </w:rPr>
            </w:pPr>
            <w:r>
              <w:rPr>
                <w:rFonts w:hint="eastAsia" w:ascii="仿宋_GB2312" w:hAnsi="仿宋_GB2312" w:eastAsia="仿宋_GB2312" w:cs="仿宋_GB2312"/>
                <w:b w:val="0"/>
                <w:bCs w:val="0"/>
                <w:i w:val="0"/>
                <w:color w:val="auto"/>
                <w:sz w:val="28"/>
                <w:szCs w:val="28"/>
                <w:highlight w:val="none"/>
                <w:u w:val="none"/>
                <w:lang w:val="en-US" w:eastAsia="zh-CN"/>
              </w:rPr>
              <w:t>对</w:t>
            </w:r>
            <w:r>
              <w:rPr>
                <w:rFonts w:hint="eastAsia" w:ascii="仿宋_GB2312" w:hAnsi="仿宋_GB2312" w:eastAsia="仿宋_GB2312" w:cs="仿宋_GB2312"/>
                <w:b w:val="0"/>
                <w:bCs w:val="0"/>
                <w:i w:val="0"/>
                <w:color w:val="auto"/>
                <w:sz w:val="28"/>
                <w:szCs w:val="28"/>
                <w:highlight w:val="none"/>
                <w:u w:val="none"/>
                <w:lang w:eastAsia="zh-CN"/>
              </w:rPr>
              <w:t>农村综合改革和基层财政管理工作相关财政法律、法规、规章及政策的执行情况监督检查</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i w:val="0"/>
                <w:caps w:val="0"/>
                <w:color w:val="auto"/>
                <w:spacing w:val="0"/>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lang w:val="en-US" w:eastAsia="zh-CN"/>
              </w:rPr>
              <w:t>41</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caps w:val="0"/>
                <w:color w:val="auto"/>
                <w:spacing w:val="0"/>
                <w:sz w:val="28"/>
                <w:szCs w:val="28"/>
                <w:highlight w:val="none"/>
                <w:shd w:val="clear" w:color="070000" w:fill="FFFFFF"/>
                <w:lang w:val="en-US" w:eastAsia="zh-CN"/>
              </w:rPr>
            </w:pPr>
            <w:r>
              <w:rPr>
                <w:rFonts w:hint="eastAsia" w:ascii="仿宋_GB2312" w:hAnsi="仿宋_GB2312" w:eastAsia="仿宋_GB2312" w:cs="仿宋_GB2312"/>
                <w:b w:val="0"/>
                <w:bCs w:val="0"/>
                <w:i w:val="0"/>
                <w:caps w:val="0"/>
                <w:color w:val="auto"/>
                <w:spacing w:val="0"/>
                <w:sz w:val="28"/>
                <w:szCs w:val="28"/>
                <w:highlight w:val="none"/>
                <w:shd w:val="clear" w:color="070000" w:fill="FFFFFF"/>
              </w:rPr>
              <w:t>地方商业银行和非银行金融机构的资产和财务管理情况监督检查</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i w:val="0"/>
                <w:caps w:val="0"/>
                <w:color w:val="auto"/>
                <w:spacing w:val="0"/>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42</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财政法律、法规、规章及政策的执行情况监督检查</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43</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财政专项资金监督检查</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44</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社会保障基金、住房公积金等资金征收、使用和管理情况监督检查</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45</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整改落实情况监督检查</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default" w:ascii="仿宋_GB2312" w:hAnsi="仿宋_GB2312" w:eastAsia="仿宋_GB2312" w:cs="仿宋_GB2312"/>
                <w:b w:val="0"/>
                <w:bCs w:val="0"/>
                <w:i w:val="0"/>
                <w:snapToGrid/>
                <w:color w:val="auto"/>
                <w:sz w:val="28"/>
                <w:szCs w:val="28"/>
                <w:highlight w:val="none"/>
                <w:u w:val="none"/>
                <w:lang w:val="en-US" w:eastAsia="zh-CN"/>
              </w:rPr>
            </w:pPr>
            <w:r>
              <w:rPr>
                <w:rFonts w:hint="eastAsia" w:ascii="仿宋_GB2312" w:hAnsi="仿宋_GB2312" w:eastAsia="仿宋_GB2312" w:cs="仿宋_GB2312"/>
                <w:b w:val="0"/>
                <w:bCs w:val="0"/>
                <w:i w:val="0"/>
                <w:snapToGrid/>
                <w:color w:val="auto"/>
                <w:sz w:val="28"/>
                <w:szCs w:val="28"/>
                <w:highlight w:val="none"/>
                <w:u w:val="none"/>
                <w:lang w:val="en-US" w:eastAsia="zh-CN"/>
              </w:rPr>
              <w:t>46</w:t>
            </w:r>
          </w:p>
        </w:tc>
        <w:tc>
          <w:tcPr>
            <w:tcW w:w="675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both"/>
              <w:textAlignment w:val="center"/>
              <w:outlineLvl w:val="9"/>
              <w:rPr>
                <w:rFonts w:hint="eastAsia" w:ascii="仿宋_GB2312" w:hAnsi="仿宋_GB2312" w:eastAsia="仿宋_GB2312" w:cs="仿宋_GB2312"/>
                <w:b w:val="0"/>
                <w:bCs w:val="0"/>
                <w:i w:val="0"/>
                <w:snapToGrid/>
                <w:color w:val="auto"/>
                <w:sz w:val="28"/>
                <w:szCs w:val="28"/>
                <w:highlight w:val="none"/>
                <w:u w:val="none"/>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财政票据监督检查</w:t>
            </w:r>
          </w:p>
        </w:tc>
        <w:tc>
          <w:tcPr>
            <w:tcW w:w="134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仿宋_GB2312" w:hAnsi="仿宋_GB2312" w:eastAsia="仿宋_GB2312" w:cs="仿宋_GB2312"/>
                <w:b w:val="0"/>
                <w:bCs w:val="0"/>
                <w:i w:val="0"/>
                <w:snapToGrid/>
                <w:color w:val="auto"/>
                <w:sz w:val="28"/>
                <w:szCs w:val="28"/>
                <w:highlight w:val="none"/>
                <w:u w:val="none"/>
                <w:lang w:val="en-US" w:eastAsia="zh-CN"/>
              </w:rPr>
            </w:pPr>
            <w:r>
              <w:rPr>
                <w:rFonts w:hint="eastAsia" w:ascii="仿宋_GB2312" w:hAnsi="仿宋_GB2312" w:eastAsia="仿宋_GB2312" w:cs="仿宋_GB2312"/>
                <w:b w:val="0"/>
                <w:bCs w:val="0"/>
                <w:color w:val="auto"/>
                <w:sz w:val="28"/>
                <w:szCs w:val="28"/>
                <w:highlight w:val="none"/>
                <w:lang w:val="en-US" w:eastAsia="zh-CN"/>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76"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default" w:ascii="仿宋_GB2312" w:hAnsi="仿宋_GB2312" w:eastAsia="仿宋_GB2312" w:cs="仿宋_GB2312"/>
                <w:b w:val="0"/>
                <w:bCs w:val="0"/>
                <w:i w:val="0"/>
                <w:snapToGrid/>
                <w:color w:val="auto"/>
                <w:sz w:val="28"/>
                <w:szCs w:val="28"/>
                <w:highlight w:val="none"/>
                <w:u w:val="none"/>
                <w:lang w:val="en-US" w:eastAsia="zh-CN"/>
              </w:rPr>
            </w:pPr>
            <w:r>
              <w:rPr>
                <w:rFonts w:hint="eastAsia" w:ascii="仿宋_GB2312" w:hAnsi="仿宋_GB2312" w:eastAsia="仿宋_GB2312" w:cs="仿宋_GB2312"/>
                <w:b w:val="0"/>
                <w:bCs w:val="0"/>
                <w:i w:val="0"/>
                <w:snapToGrid/>
                <w:color w:val="auto"/>
                <w:sz w:val="28"/>
                <w:szCs w:val="28"/>
                <w:highlight w:val="none"/>
                <w:u w:val="none"/>
                <w:lang w:val="en-US" w:eastAsia="zh-CN"/>
              </w:rPr>
              <w:t>47</w:t>
            </w:r>
          </w:p>
        </w:tc>
        <w:tc>
          <w:tcPr>
            <w:tcW w:w="675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both"/>
              <w:textAlignment w:val="center"/>
              <w:outlineLvl w:val="9"/>
              <w:rPr>
                <w:rFonts w:hint="eastAsia" w:ascii="仿宋_GB2312" w:hAnsi="仿宋_GB2312" w:eastAsia="仿宋_GB2312" w:cs="仿宋_GB2312"/>
                <w:b w:val="0"/>
                <w:bCs w:val="0"/>
                <w:i w:val="0"/>
                <w:snapToGrid/>
                <w:color w:val="auto"/>
                <w:sz w:val="28"/>
                <w:szCs w:val="28"/>
                <w:highlight w:val="none"/>
                <w:u w:val="none"/>
                <w:lang w:eastAsia="zh-CN"/>
              </w:rPr>
            </w:pPr>
            <w:r>
              <w:rPr>
                <w:rFonts w:hint="eastAsia" w:ascii="仿宋_GB2312" w:hAnsi="仿宋_GB2312" w:eastAsia="仿宋_GB2312" w:cs="仿宋_GB2312"/>
                <w:b w:val="0"/>
                <w:bCs w:val="0"/>
                <w:i w:val="0"/>
                <w:snapToGrid/>
                <w:color w:val="auto"/>
                <w:sz w:val="28"/>
                <w:szCs w:val="28"/>
                <w:highlight w:val="none"/>
                <w:u w:val="none"/>
                <w:lang w:eastAsia="zh-CN"/>
              </w:rPr>
              <w:t>国际组织和外国政府援助项目的财务收支情况监督检查</w:t>
            </w:r>
          </w:p>
        </w:tc>
        <w:tc>
          <w:tcPr>
            <w:tcW w:w="134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66" w:type="dxa"/>
            <w:gridSpan w:val="3"/>
            <w:noWrap w:val="0"/>
            <w:vAlign w:val="center"/>
          </w:tcPr>
          <w:p>
            <w:pPr>
              <w:keepNext w:val="0"/>
              <w:keepLines w:val="0"/>
              <w:pageBreakBefore w:val="0"/>
              <w:tabs>
                <w:tab w:val="left" w:pos="8337"/>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eastAsia="zh-CN"/>
              </w:rPr>
            </w:pPr>
            <w:r>
              <w:rPr>
                <w:rFonts w:hint="eastAsia" w:ascii="仿宋_GB2312" w:hAnsi="仿宋_GB2312" w:eastAsia="仿宋_GB2312" w:cs="仿宋_GB2312"/>
                <w:b/>
                <w:bCs/>
                <w:color w:val="auto"/>
                <w:sz w:val="28"/>
                <w:szCs w:val="28"/>
                <w:highlight w:val="none"/>
                <w:lang w:eastAsia="zh-CN"/>
              </w:rPr>
              <w:t>七、行政确认（</w:t>
            </w:r>
            <w:r>
              <w:rPr>
                <w:rFonts w:hint="eastAsia" w:ascii="仿宋_GB2312" w:hAnsi="仿宋_GB2312" w:eastAsia="仿宋_GB2312" w:cs="仿宋_GB2312"/>
                <w:b/>
                <w:bCs/>
                <w:color w:val="auto"/>
                <w:sz w:val="28"/>
                <w:szCs w:val="28"/>
                <w:highlight w:val="none"/>
                <w:lang w:val="en-US" w:eastAsia="zh-CN"/>
              </w:rPr>
              <w:t>2项</w:t>
            </w:r>
            <w:r>
              <w:rPr>
                <w:rFonts w:hint="eastAsia" w:ascii="仿宋_GB2312" w:hAnsi="仿宋_GB2312" w:eastAsia="仿宋_GB2312" w:cs="仿宋_GB2312"/>
                <w:b/>
                <w:bCs/>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48</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rPr>
              <w:t>政府采购中标成交结果无效认定</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行政确认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lang w:val="en-US" w:eastAsia="zh-CN"/>
              </w:rPr>
              <w:t>49</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非营利组织免税资格认定</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行政确认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66"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auto"/>
                <w:sz w:val="28"/>
                <w:szCs w:val="28"/>
                <w:highlight w:val="none"/>
                <w:lang w:eastAsia="zh-CN"/>
              </w:rPr>
            </w:pPr>
            <w:r>
              <w:rPr>
                <w:rFonts w:hint="eastAsia" w:ascii="仿宋_GB2312" w:hAnsi="仿宋_GB2312" w:eastAsia="仿宋_GB2312" w:cs="仿宋_GB2312"/>
                <w:b/>
                <w:bCs/>
                <w:color w:val="auto"/>
                <w:sz w:val="28"/>
                <w:szCs w:val="28"/>
                <w:highlight w:val="none"/>
                <w:lang w:eastAsia="zh-CN"/>
              </w:rPr>
              <w:t>八、行政裁决（</w:t>
            </w:r>
            <w:r>
              <w:rPr>
                <w:rFonts w:hint="eastAsia" w:ascii="仿宋_GB2312" w:hAnsi="仿宋_GB2312" w:eastAsia="仿宋_GB2312" w:cs="仿宋_GB2312"/>
                <w:b/>
                <w:bCs/>
                <w:color w:val="auto"/>
                <w:sz w:val="28"/>
                <w:szCs w:val="28"/>
                <w:highlight w:val="none"/>
                <w:lang w:val="en-US" w:eastAsia="zh-CN"/>
              </w:rPr>
              <w:t>0项</w:t>
            </w:r>
            <w:r>
              <w:rPr>
                <w:rFonts w:hint="eastAsia" w:ascii="仿宋_GB2312" w:hAnsi="仿宋_GB2312" w:eastAsia="仿宋_GB2312" w:cs="仿宋_GB2312"/>
                <w:b/>
                <w:bCs/>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66"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auto"/>
                <w:sz w:val="28"/>
                <w:szCs w:val="28"/>
                <w:highlight w:val="none"/>
                <w:lang w:eastAsia="zh-CN"/>
              </w:rPr>
            </w:pPr>
            <w:r>
              <w:rPr>
                <w:rFonts w:hint="eastAsia" w:ascii="仿宋_GB2312" w:hAnsi="仿宋_GB2312" w:eastAsia="仿宋_GB2312" w:cs="仿宋_GB2312"/>
                <w:b/>
                <w:bCs/>
                <w:color w:val="auto"/>
                <w:sz w:val="28"/>
                <w:szCs w:val="28"/>
                <w:highlight w:val="none"/>
                <w:lang w:eastAsia="zh-CN"/>
              </w:rPr>
              <w:t>九、行政奖励（</w:t>
            </w:r>
            <w:r>
              <w:rPr>
                <w:rFonts w:hint="eastAsia" w:ascii="仿宋_GB2312" w:hAnsi="仿宋_GB2312" w:eastAsia="仿宋_GB2312" w:cs="仿宋_GB2312"/>
                <w:b/>
                <w:bCs/>
                <w:color w:val="auto"/>
                <w:sz w:val="28"/>
                <w:szCs w:val="28"/>
                <w:highlight w:val="none"/>
                <w:lang w:val="en-US" w:eastAsia="zh-CN"/>
              </w:rPr>
              <w:t>2项</w:t>
            </w:r>
            <w:r>
              <w:rPr>
                <w:rFonts w:hint="eastAsia" w:ascii="仿宋_GB2312" w:hAnsi="仿宋_GB2312" w:eastAsia="仿宋_GB2312" w:cs="仿宋_GB2312"/>
                <w:b/>
                <w:bCs/>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autoSpaceDN w:val="0"/>
              <w:bidi w:val="0"/>
              <w:adjustRightInd/>
              <w:snapToGrid/>
              <w:spacing w:line="400" w:lineRule="exact"/>
              <w:jc w:val="center"/>
              <w:textAlignment w:val="center"/>
              <w:rPr>
                <w:rFonts w:hint="default" w:ascii="仿宋_GB2312" w:hAnsi="仿宋_GB2312" w:eastAsia="仿宋_GB2312" w:cs="仿宋_GB2312"/>
                <w:b w:val="0"/>
                <w:bCs w:val="0"/>
                <w:i w:val="0"/>
                <w:color w:val="auto"/>
                <w:kern w:val="2"/>
                <w:sz w:val="28"/>
                <w:szCs w:val="28"/>
                <w:highlight w:val="none"/>
                <w:u w:val="none"/>
                <w:lang w:val="en-US" w:eastAsia="zh-CN" w:bidi="ar-SA"/>
              </w:rPr>
            </w:pPr>
            <w:r>
              <w:rPr>
                <w:rFonts w:hint="eastAsia" w:ascii="仿宋_GB2312" w:hAnsi="仿宋_GB2312" w:eastAsia="仿宋_GB2312" w:cs="仿宋_GB2312"/>
                <w:b w:val="0"/>
                <w:bCs w:val="0"/>
                <w:i w:val="0"/>
                <w:color w:val="auto"/>
                <w:kern w:val="2"/>
                <w:sz w:val="28"/>
                <w:szCs w:val="28"/>
                <w:highlight w:val="none"/>
                <w:u w:val="none"/>
                <w:lang w:val="en-US" w:eastAsia="zh-CN" w:bidi="ar-SA"/>
              </w:rPr>
              <w:t>50</w:t>
            </w:r>
          </w:p>
        </w:tc>
        <w:tc>
          <w:tcPr>
            <w:tcW w:w="6750" w:type="dxa"/>
            <w:noWrap w:val="0"/>
            <w:vAlign w:val="center"/>
          </w:tcPr>
          <w:p>
            <w:pPr>
              <w:keepNext w:val="0"/>
              <w:keepLines w:val="0"/>
              <w:pageBreakBefore w:val="0"/>
              <w:kinsoku/>
              <w:wordWrap/>
              <w:overflowPunct/>
              <w:topLinePunct w:val="0"/>
              <w:autoSpaceDE/>
              <w:autoSpaceDN w:val="0"/>
              <w:bidi w:val="0"/>
              <w:adjustRightInd/>
              <w:snapToGrid/>
              <w:spacing w:line="400" w:lineRule="exact"/>
              <w:jc w:val="both"/>
              <w:textAlignment w:val="center"/>
              <w:rPr>
                <w:rFonts w:hint="eastAsia" w:ascii="仿宋_GB2312" w:hAnsi="仿宋_GB2312" w:eastAsia="仿宋_GB2312" w:cs="仿宋_GB2312"/>
                <w:b w:val="0"/>
                <w:bCs w:val="0"/>
                <w:i w:val="0"/>
                <w:color w:val="auto"/>
                <w:sz w:val="28"/>
                <w:szCs w:val="28"/>
                <w:highlight w:val="none"/>
                <w:u w:val="none"/>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先进会计工作者评选表彰</w:t>
            </w:r>
          </w:p>
        </w:tc>
        <w:tc>
          <w:tcPr>
            <w:tcW w:w="1340" w:type="dxa"/>
            <w:noWrap w:val="0"/>
            <w:vAlign w:val="center"/>
          </w:tcPr>
          <w:p>
            <w:pPr>
              <w:keepNext w:val="0"/>
              <w:keepLines w:val="0"/>
              <w:pageBreakBefore w:val="0"/>
              <w:kinsoku/>
              <w:wordWrap/>
              <w:overflowPunct/>
              <w:topLinePunct w:val="0"/>
              <w:autoSpaceDE/>
              <w:autoSpaceDN w:val="0"/>
              <w:bidi w:val="0"/>
              <w:adjustRightInd/>
              <w:snapToGrid/>
              <w:spacing w:line="400" w:lineRule="exact"/>
              <w:jc w:val="center"/>
              <w:textAlignment w:val="center"/>
              <w:rPr>
                <w:rFonts w:hint="eastAsia" w:ascii="仿宋_GB2312" w:hAnsi="仿宋_GB2312" w:eastAsia="仿宋_GB2312" w:cs="仿宋_GB2312"/>
                <w:b w:val="0"/>
                <w:bCs w:val="0"/>
                <w:i w:val="0"/>
                <w:color w:val="auto"/>
                <w:sz w:val="28"/>
                <w:szCs w:val="28"/>
                <w:highlight w:val="none"/>
                <w:u w:val="none"/>
                <w:lang w:val="en-US" w:eastAsia="zh-CN"/>
              </w:rPr>
            </w:pPr>
            <w:r>
              <w:rPr>
                <w:rFonts w:hint="eastAsia" w:ascii="仿宋_GB2312" w:hAnsi="仿宋_GB2312" w:eastAsia="仿宋_GB2312" w:cs="仿宋_GB2312"/>
                <w:b w:val="0"/>
                <w:bCs w:val="0"/>
                <w:i w:val="0"/>
                <w:color w:val="auto"/>
                <w:sz w:val="28"/>
                <w:szCs w:val="28"/>
                <w:highlight w:val="none"/>
                <w:u w:val="none"/>
                <w:lang w:val="en-US" w:eastAsia="zh-CN"/>
              </w:rPr>
              <w:t>行政奖励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tabs>
                <w:tab w:val="left" w:pos="4842"/>
                <w:tab w:val="left" w:pos="7140"/>
              </w:tabs>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lang w:val="en-US" w:eastAsia="zh-CN"/>
              </w:rPr>
              <w:t>51</w:t>
            </w:r>
          </w:p>
        </w:tc>
        <w:tc>
          <w:tcPr>
            <w:tcW w:w="6750" w:type="dxa"/>
            <w:noWrap w:val="0"/>
            <w:vAlign w:val="center"/>
          </w:tcPr>
          <w:p>
            <w:pPr>
              <w:keepNext w:val="0"/>
              <w:keepLines w:val="0"/>
              <w:pageBreakBefore w:val="0"/>
              <w:tabs>
                <w:tab w:val="left" w:pos="4842"/>
                <w:tab w:val="left" w:pos="7140"/>
              </w:tabs>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shd w:val="clear" w:color="070000" w:fill="FFFFFF"/>
                <w:lang w:eastAsia="zh-CN"/>
              </w:rPr>
              <w:t>对政府非税收入管理工作中做出突出贡献或者举报违法行为有功的单位和个人给予表彰、奖励</w:t>
            </w:r>
          </w:p>
        </w:tc>
        <w:tc>
          <w:tcPr>
            <w:tcW w:w="1340" w:type="dxa"/>
            <w:noWrap w:val="0"/>
            <w:vAlign w:val="center"/>
          </w:tcPr>
          <w:p>
            <w:pPr>
              <w:keepNext w:val="0"/>
              <w:keepLines w:val="0"/>
              <w:pageBreakBefore w:val="0"/>
              <w:tabs>
                <w:tab w:val="left" w:pos="4842"/>
                <w:tab w:val="left" w:pos="7140"/>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i w:val="0"/>
                <w:color w:val="auto"/>
                <w:sz w:val="28"/>
                <w:szCs w:val="28"/>
                <w:highlight w:val="none"/>
                <w:u w:val="none"/>
                <w:lang w:val="en-US" w:eastAsia="zh-CN"/>
              </w:rPr>
              <w:t>行政奖励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66" w:type="dxa"/>
            <w:gridSpan w:val="3"/>
            <w:noWrap w:val="0"/>
            <w:vAlign w:val="center"/>
          </w:tcPr>
          <w:p>
            <w:pPr>
              <w:keepNext w:val="0"/>
              <w:keepLines w:val="0"/>
              <w:pageBreakBefore w:val="0"/>
              <w:tabs>
                <w:tab w:val="left" w:pos="4842"/>
              </w:tabs>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eastAsia="zh-CN"/>
              </w:rPr>
            </w:pPr>
            <w:r>
              <w:rPr>
                <w:rFonts w:hint="eastAsia" w:ascii="仿宋_GB2312" w:hAnsi="仿宋_GB2312" w:eastAsia="仿宋_GB2312" w:cs="仿宋_GB2312"/>
                <w:b/>
                <w:bCs/>
                <w:color w:val="auto"/>
                <w:sz w:val="28"/>
                <w:szCs w:val="28"/>
                <w:highlight w:val="none"/>
                <w:lang w:eastAsia="zh-CN"/>
              </w:rPr>
              <w:t>十、其他职权（</w:t>
            </w:r>
            <w:r>
              <w:rPr>
                <w:rFonts w:hint="eastAsia" w:ascii="仿宋_GB2312" w:hAnsi="仿宋_GB2312" w:eastAsia="仿宋_GB2312" w:cs="仿宋_GB2312"/>
                <w:b/>
                <w:bCs/>
                <w:color w:val="auto"/>
                <w:sz w:val="28"/>
                <w:szCs w:val="28"/>
                <w:highlight w:val="none"/>
                <w:lang w:val="en-US" w:eastAsia="zh-CN"/>
              </w:rPr>
              <w:t>39项</w:t>
            </w:r>
            <w:r>
              <w:rPr>
                <w:rFonts w:hint="eastAsia" w:ascii="仿宋_GB2312" w:hAnsi="仿宋_GB2312" w:eastAsia="仿宋_GB2312" w:cs="仿宋_GB2312"/>
                <w:b/>
                <w:bCs/>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52</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rPr>
              <w:t>供应商投诉处理</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53</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rPr>
              <w:t>政府采购异地抽取专家备案</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54</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rPr>
              <w:t>中标成交结果变更备案</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776" w:type="dxa"/>
            <w:noWrap w:val="0"/>
            <w:vAlign w:val="center"/>
          </w:tcPr>
          <w:p>
            <w:pPr>
              <w:keepNext w:val="0"/>
              <w:keepLines w:val="0"/>
              <w:pageBreakBefore w:val="0"/>
              <w:kinsoku/>
              <w:wordWrap/>
              <w:overflowPunct/>
              <w:topLinePunct w:val="0"/>
              <w:autoSpaceDE/>
              <w:autoSpaceDN w:val="0"/>
              <w:bidi w:val="0"/>
              <w:adjustRightInd/>
              <w:snapToGrid/>
              <w:spacing w:line="400" w:lineRule="exact"/>
              <w:jc w:val="center"/>
              <w:textAlignment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55</w:t>
            </w:r>
          </w:p>
        </w:tc>
        <w:tc>
          <w:tcPr>
            <w:tcW w:w="6750" w:type="dxa"/>
            <w:noWrap w:val="0"/>
            <w:vAlign w:val="center"/>
          </w:tcPr>
          <w:p>
            <w:pPr>
              <w:keepNext w:val="0"/>
              <w:keepLines w:val="0"/>
              <w:pageBreakBefore w:val="0"/>
              <w:kinsoku/>
              <w:wordWrap/>
              <w:overflowPunct/>
              <w:topLinePunct w:val="0"/>
              <w:autoSpaceDE/>
              <w:autoSpaceDN w:val="0"/>
              <w:bidi w:val="0"/>
              <w:adjustRightInd/>
              <w:snapToGrid/>
              <w:spacing w:line="400" w:lineRule="exact"/>
              <w:jc w:val="both"/>
              <w:textAlignment w:val="center"/>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sz w:val="28"/>
                <w:szCs w:val="28"/>
                <w:highlight w:val="none"/>
              </w:rPr>
              <w:t>终止采购活动、撤销采购合同、责成重新开展政府采购活动</w:t>
            </w:r>
          </w:p>
        </w:tc>
        <w:tc>
          <w:tcPr>
            <w:tcW w:w="1340" w:type="dxa"/>
            <w:noWrap w:val="0"/>
            <w:vAlign w:val="center"/>
          </w:tcPr>
          <w:p>
            <w:pPr>
              <w:keepNext w:val="0"/>
              <w:keepLines w:val="0"/>
              <w:pageBreakBefore w:val="0"/>
              <w:kinsoku/>
              <w:wordWrap/>
              <w:overflowPunct/>
              <w:topLinePunct w:val="0"/>
              <w:autoSpaceDE/>
              <w:autoSpaceDN w:val="0"/>
              <w:bidi w:val="0"/>
              <w:adjustRightInd/>
              <w:snapToGrid/>
              <w:spacing w:line="400" w:lineRule="exact"/>
              <w:jc w:val="center"/>
              <w:textAlignment w:val="center"/>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autoSpaceDN w:val="0"/>
              <w:bidi w:val="0"/>
              <w:adjustRightInd/>
              <w:snapToGrid/>
              <w:spacing w:line="400" w:lineRule="exact"/>
              <w:jc w:val="center"/>
              <w:textAlignment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56</w:t>
            </w:r>
          </w:p>
        </w:tc>
        <w:tc>
          <w:tcPr>
            <w:tcW w:w="6750" w:type="dxa"/>
            <w:noWrap w:val="0"/>
            <w:vAlign w:val="center"/>
          </w:tcPr>
          <w:p>
            <w:pPr>
              <w:keepNext w:val="0"/>
              <w:keepLines w:val="0"/>
              <w:pageBreakBefore w:val="0"/>
              <w:kinsoku/>
              <w:wordWrap/>
              <w:overflowPunct/>
              <w:topLinePunct w:val="0"/>
              <w:autoSpaceDE/>
              <w:autoSpaceDN w:val="0"/>
              <w:bidi w:val="0"/>
              <w:adjustRightInd/>
              <w:snapToGrid/>
              <w:spacing w:line="400" w:lineRule="exact"/>
              <w:jc w:val="both"/>
              <w:textAlignment w:val="center"/>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sz w:val="28"/>
                <w:szCs w:val="28"/>
                <w:highlight w:val="none"/>
              </w:rPr>
              <w:t>政府采购方式变更批准</w:t>
            </w:r>
          </w:p>
        </w:tc>
        <w:tc>
          <w:tcPr>
            <w:tcW w:w="1340" w:type="dxa"/>
            <w:noWrap w:val="0"/>
            <w:vAlign w:val="center"/>
          </w:tcPr>
          <w:p>
            <w:pPr>
              <w:keepNext w:val="0"/>
              <w:keepLines w:val="0"/>
              <w:pageBreakBefore w:val="0"/>
              <w:kinsoku/>
              <w:wordWrap/>
              <w:overflowPunct/>
              <w:topLinePunct w:val="0"/>
              <w:autoSpaceDE/>
              <w:autoSpaceDN w:val="0"/>
              <w:bidi w:val="0"/>
              <w:adjustRightInd/>
              <w:snapToGrid/>
              <w:spacing w:line="400" w:lineRule="exact"/>
              <w:jc w:val="center"/>
              <w:textAlignment w:val="center"/>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57</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rPr>
              <w:t>依法对需要国有股东决定的事项研究提出建议</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58</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caps w:val="0"/>
                <w:color w:val="auto"/>
                <w:spacing w:val="0"/>
                <w:kern w:val="2"/>
                <w:sz w:val="28"/>
                <w:szCs w:val="28"/>
                <w:highlight w:val="none"/>
                <w:shd w:val="clear" w:color="070000" w:fill="FFFFFF"/>
                <w:lang w:val="en-US" w:eastAsia="zh-CN" w:bidi="ar-SA"/>
              </w:rPr>
            </w:pPr>
            <w:r>
              <w:rPr>
                <w:rFonts w:hint="eastAsia" w:ascii="仿宋_GB2312" w:hAnsi="仿宋_GB2312" w:eastAsia="仿宋_GB2312" w:cs="仿宋_GB2312"/>
                <w:b w:val="0"/>
                <w:bCs w:val="0"/>
                <w:i w:val="0"/>
                <w:caps w:val="0"/>
                <w:color w:val="auto"/>
                <w:spacing w:val="0"/>
                <w:sz w:val="28"/>
                <w:szCs w:val="28"/>
                <w:highlight w:val="none"/>
                <w:shd w:val="clear" w:color="070000" w:fill="FFFFFF"/>
              </w:rPr>
              <w:t>负责上市公司国有股权管理有关工作</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i w:val="0"/>
                <w:caps w:val="0"/>
                <w:color w:val="auto"/>
                <w:spacing w:val="0"/>
                <w:kern w:val="2"/>
                <w:sz w:val="28"/>
                <w:szCs w:val="28"/>
                <w:highlight w:val="none"/>
                <w:shd w:val="clear" w:color="070000" w:fill="FFFFFF"/>
                <w:lang w:val="en-US" w:eastAsia="zh-CN" w:bidi="ar-SA"/>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59</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caps w:val="0"/>
                <w:color w:val="auto"/>
                <w:spacing w:val="-11"/>
                <w:kern w:val="2"/>
                <w:sz w:val="28"/>
                <w:szCs w:val="28"/>
                <w:highlight w:val="none"/>
                <w:shd w:val="clear" w:color="070000" w:fill="FFFFFF"/>
                <w:lang w:val="en-US" w:eastAsia="zh-CN" w:bidi="ar-SA"/>
              </w:rPr>
            </w:pPr>
            <w:r>
              <w:rPr>
                <w:rFonts w:hint="eastAsia" w:ascii="仿宋_GB2312" w:hAnsi="仿宋_GB2312" w:eastAsia="仿宋_GB2312" w:cs="仿宋_GB2312"/>
                <w:b w:val="0"/>
                <w:bCs w:val="0"/>
                <w:i w:val="0"/>
                <w:caps w:val="0"/>
                <w:color w:val="auto"/>
                <w:spacing w:val="-11"/>
                <w:sz w:val="28"/>
                <w:szCs w:val="28"/>
                <w:highlight w:val="none"/>
                <w:shd w:val="clear" w:color="070000" w:fill="FFFFFF"/>
              </w:rPr>
              <w:t>承担所监管企业资产评估项目的核准和备案工作</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i w:val="0"/>
                <w:caps w:val="0"/>
                <w:color w:val="auto"/>
                <w:spacing w:val="-11"/>
                <w:kern w:val="2"/>
                <w:sz w:val="28"/>
                <w:szCs w:val="28"/>
                <w:highlight w:val="none"/>
                <w:shd w:val="clear" w:color="070000" w:fill="FFFFFF"/>
                <w:lang w:val="en-US" w:eastAsia="zh-CN" w:bidi="ar-SA"/>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60</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caps w:val="0"/>
                <w:color w:val="auto"/>
                <w:spacing w:val="-11"/>
                <w:sz w:val="28"/>
                <w:szCs w:val="28"/>
                <w:highlight w:val="none"/>
                <w:shd w:val="clear" w:color="070000" w:fill="FFFFFF"/>
                <w:lang w:val="en-US" w:eastAsia="zh-CN"/>
              </w:rPr>
            </w:pPr>
            <w:r>
              <w:rPr>
                <w:rFonts w:hint="eastAsia" w:ascii="仿宋_GB2312" w:hAnsi="仿宋_GB2312" w:eastAsia="仿宋_GB2312" w:cs="仿宋_GB2312"/>
                <w:b w:val="0"/>
                <w:bCs w:val="0"/>
                <w:i w:val="0"/>
                <w:caps w:val="0"/>
                <w:color w:val="auto"/>
                <w:spacing w:val="-11"/>
                <w:sz w:val="28"/>
                <w:szCs w:val="28"/>
                <w:highlight w:val="none"/>
                <w:shd w:val="clear" w:color="070000" w:fill="FFFFFF"/>
                <w:lang w:eastAsia="zh-CN"/>
              </w:rPr>
              <w:t>承担所监管企业国有资产产权界定、登记、划转、处置及产权纠纷调处等工作</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i w:val="0"/>
                <w:caps w:val="0"/>
                <w:color w:val="auto"/>
                <w:spacing w:val="-11"/>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61</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caps w:val="0"/>
                <w:color w:val="auto"/>
                <w:spacing w:val="-11"/>
                <w:sz w:val="28"/>
                <w:szCs w:val="28"/>
                <w:highlight w:val="none"/>
                <w:shd w:val="clear" w:color="070000" w:fill="FFFFFF"/>
                <w:lang w:val="en-US" w:eastAsia="zh-CN"/>
              </w:rPr>
            </w:pPr>
            <w:r>
              <w:rPr>
                <w:rFonts w:hint="eastAsia" w:ascii="仿宋_GB2312" w:hAnsi="仿宋_GB2312" w:eastAsia="仿宋_GB2312" w:cs="仿宋_GB2312"/>
                <w:b w:val="0"/>
                <w:bCs w:val="0"/>
                <w:i w:val="0"/>
                <w:caps w:val="0"/>
                <w:color w:val="auto"/>
                <w:spacing w:val="-11"/>
                <w:sz w:val="28"/>
                <w:szCs w:val="28"/>
                <w:highlight w:val="none"/>
                <w:shd w:val="clear" w:color="070000" w:fill="FFFFFF"/>
                <w:lang w:val="en-US" w:eastAsia="zh-CN"/>
              </w:rPr>
              <w:t>审核所监管企业资本金变动、股权管理</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i w:val="0"/>
                <w:caps w:val="0"/>
                <w:color w:val="auto"/>
                <w:spacing w:val="-11"/>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widowControl/>
              <w:suppressLineNumbers w:val="0"/>
              <w:kinsoku/>
              <w:wordWrap/>
              <w:overflowPunct/>
              <w:topLinePunct w:val="0"/>
              <w:autoSpaceDE/>
              <w:bidi w:val="0"/>
              <w:adjustRightInd/>
              <w:snapToGrid/>
              <w:spacing w:line="400" w:lineRule="exact"/>
              <w:jc w:val="center"/>
              <w:textAlignment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62</w:t>
            </w:r>
          </w:p>
        </w:tc>
        <w:tc>
          <w:tcPr>
            <w:tcW w:w="6750" w:type="dxa"/>
            <w:noWrap w:val="0"/>
            <w:vAlign w:val="center"/>
          </w:tcPr>
          <w:p>
            <w:pPr>
              <w:keepNext w:val="0"/>
              <w:keepLines w:val="0"/>
              <w:pageBreakBefore w:val="0"/>
              <w:widowControl/>
              <w:suppressLineNumbers w:val="0"/>
              <w:kinsoku/>
              <w:wordWrap/>
              <w:overflowPunct/>
              <w:topLinePunct w:val="0"/>
              <w:autoSpaceDE/>
              <w:bidi w:val="0"/>
              <w:adjustRightInd/>
              <w:snapToGrid/>
              <w:spacing w:line="400" w:lineRule="exact"/>
              <w:jc w:val="both"/>
              <w:textAlignment w:val="center"/>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i w:val="0"/>
                <w:color w:val="auto"/>
                <w:kern w:val="0"/>
                <w:sz w:val="28"/>
                <w:szCs w:val="28"/>
                <w:highlight w:val="none"/>
                <w:u w:val="none"/>
                <w:lang w:val="en-US" w:eastAsia="zh-CN" w:bidi="ar"/>
              </w:rPr>
              <w:t>市级行政事业单位所属企业国有资产产权登记和转让批准</w:t>
            </w:r>
          </w:p>
        </w:tc>
        <w:tc>
          <w:tcPr>
            <w:tcW w:w="1340" w:type="dxa"/>
            <w:noWrap w:val="0"/>
            <w:vAlign w:val="center"/>
          </w:tcPr>
          <w:p>
            <w:pPr>
              <w:keepNext w:val="0"/>
              <w:keepLines w:val="0"/>
              <w:pageBreakBefore w:val="0"/>
              <w:widowControl/>
              <w:suppressLineNumbers w:val="0"/>
              <w:kinsoku/>
              <w:wordWrap/>
              <w:overflowPunct/>
              <w:topLinePunct w:val="0"/>
              <w:autoSpaceDE/>
              <w:bidi w:val="0"/>
              <w:adjustRightInd/>
              <w:snapToGrid/>
              <w:spacing w:line="400" w:lineRule="exact"/>
              <w:jc w:val="center"/>
              <w:textAlignment w:val="center"/>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776" w:type="dxa"/>
            <w:noWrap w:val="0"/>
            <w:vAlign w:val="center"/>
          </w:tcPr>
          <w:p>
            <w:pPr>
              <w:keepNext w:val="0"/>
              <w:keepLines w:val="0"/>
              <w:pageBreakBefore w:val="0"/>
              <w:widowControl/>
              <w:suppressLineNumbers w:val="0"/>
              <w:kinsoku/>
              <w:wordWrap/>
              <w:overflowPunct/>
              <w:topLinePunct w:val="0"/>
              <w:autoSpaceDE/>
              <w:bidi w:val="0"/>
              <w:adjustRightInd/>
              <w:snapToGrid/>
              <w:spacing w:line="400" w:lineRule="exact"/>
              <w:jc w:val="center"/>
              <w:textAlignment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63</w:t>
            </w:r>
          </w:p>
        </w:tc>
        <w:tc>
          <w:tcPr>
            <w:tcW w:w="6750" w:type="dxa"/>
            <w:noWrap w:val="0"/>
            <w:vAlign w:val="center"/>
          </w:tcPr>
          <w:p>
            <w:pPr>
              <w:keepNext w:val="0"/>
              <w:keepLines w:val="0"/>
              <w:pageBreakBefore w:val="0"/>
              <w:widowControl/>
              <w:suppressLineNumbers w:val="0"/>
              <w:kinsoku/>
              <w:wordWrap/>
              <w:overflowPunct/>
              <w:topLinePunct w:val="0"/>
              <w:autoSpaceDE/>
              <w:bidi w:val="0"/>
              <w:adjustRightInd/>
              <w:snapToGrid/>
              <w:spacing w:line="400" w:lineRule="exact"/>
              <w:jc w:val="both"/>
              <w:textAlignment w:val="center"/>
              <w:rPr>
                <w:rFonts w:hint="eastAsia" w:ascii="仿宋_GB2312" w:hAnsi="仿宋_GB2312" w:eastAsia="仿宋_GB2312" w:cs="仿宋_GB2312"/>
                <w:b w:val="0"/>
                <w:bCs w:val="0"/>
                <w:i w:val="0"/>
                <w:color w:val="auto"/>
                <w:kern w:val="2"/>
                <w:sz w:val="28"/>
                <w:szCs w:val="28"/>
                <w:highlight w:val="none"/>
                <w:u w:val="none"/>
                <w:lang w:val="en-US" w:eastAsia="zh-CN" w:bidi="ar-SA"/>
              </w:rPr>
            </w:pPr>
            <w:r>
              <w:rPr>
                <w:rFonts w:hint="eastAsia" w:ascii="仿宋_GB2312" w:hAnsi="仿宋_GB2312" w:eastAsia="仿宋_GB2312" w:cs="仿宋_GB2312"/>
                <w:b w:val="0"/>
                <w:bCs w:val="0"/>
                <w:i w:val="0"/>
                <w:color w:val="auto"/>
                <w:kern w:val="0"/>
                <w:sz w:val="28"/>
                <w:szCs w:val="28"/>
                <w:highlight w:val="none"/>
                <w:u w:val="none"/>
                <w:lang w:val="en-US" w:eastAsia="zh-CN" w:bidi="ar"/>
              </w:rPr>
              <w:t>市级行政事业单位所属企业清产核资结果认定</w:t>
            </w:r>
          </w:p>
        </w:tc>
        <w:tc>
          <w:tcPr>
            <w:tcW w:w="1340" w:type="dxa"/>
            <w:noWrap w:val="0"/>
            <w:vAlign w:val="center"/>
          </w:tcPr>
          <w:p>
            <w:pPr>
              <w:keepNext w:val="0"/>
              <w:keepLines w:val="0"/>
              <w:pageBreakBefore w:val="0"/>
              <w:widowControl/>
              <w:suppressLineNumbers w:val="0"/>
              <w:kinsoku/>
              <w:wordWrap/>
              <w:overflowPunct/>
              <w:topLinePunct w:val="0"/>
              <w:autoSpaceDE/>
              <w:bidi w:val="0"/>
              <w:adjustRightInd/>
              <w:snapToGrid/>
              <w:spacing w:line="400" w:lineRule="exact"/>
              <w:jc w:val="center"/>
              <w:textAlignment w:val="center"/>
              <w:rPr>
                <w:rFonts w:hint="eastAsia" w:ascii="仿宋_GB2312" w:hAnsi="仿宋_GB2312" w:eastAsia="仿宋_GB2312" w:cs="仿宋_GB2312"/>
                <w:b w:val="0"/>
                <w:bCs w:val="0"/>
                <w:i w:val="0"/>
                <w:color w:val="auto"/>
                <w:kern w:val="2"/>
                <w:sz w:val="28"/>
                <w:szCs w:val="28"/>
                <w:highlight w:val="none"/>
                <w:u w:val="none"/>
                <w:lang w:val="en-US" w:eastAsia="zh-CN" w:bidi="ar-SA"/>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64</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eastAsia="zh-CN"/>
              </w:rPr>
              <w:t>农村综合改革和基层财政管理财政专项资金拨付和绩效评价</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65</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caps w:val="0"/>
                <w:color w:val="auto"/>
                <w:spacing w:val="0"/>
                <w:sz w:val="28"/>
                <w:szCs w:val="28"/>
                <w:highlight w:val="none"/>
                <w:shd w:val="clear" w:color="070000" w:fill="FFFFFF"/>
                <w:lang w:val="en-US" w:eastAsia="zh-CN"/>
              </w:rPr>
            </w:pPr>
            <w:r>
              <w:rPr>
                <w:rFonts w:hint="eastAsia" w:ascii="仿宋_GB2312" w:hAnsi="仿宋_GB2312" w:eastAsia="仿宋_GB2312" w:cs="仿宋_GB2312"/>
                <w:b w:val="0"/>
                <w:bCs w:val="0"/>
                <w:i w:val="0"/>
                <w:caps w:val="0"/>
                <w:color w:val="auto"/>
                <w:spacing w:val="0"/>
                <w:sz w:val="28"/>
                <w:szCs w:val="28"/>
                <w:highlight w:val="none"/>
                <w:shd w:val="clear" w:color="070000" w:fill="FFFFFF"/>
              </w:rPr>
              <w:t>金融类企业国有资产产权登记</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i w:val="0"/>
                <w:caps w:val="0"/>
                <w:color w:val="auto"/>
                <w:spacing w:val="0"/>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66</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caps w:val="0"/>
                <w:color w:val="auto"/>
                <w:spacing w:val="0"/>
                <w:sz w:val="28"/>
                <w:szCs w:val="28"/>
                <w:highlight w:val="none"/>
                <w:shd w:val="clear" w:color="070000" w:fill="FFFFFF"/>
                <w:lang w:val="en-US" w:eastAsia="zh-CN"/>
              </w:rPr>
            </w:pPr>
            <w:r>
              <w:rPr>
                <w:rFonts w:hint="eastAsia" w:ascii="仿宋_GB2312" w:hAnsi="仿宋_GB2312" w:eastAsia="仿宋_GB2312" w:cs="仿宋_GB2312"/>
                <w:b w:val="0"/>
                <w:bCs w:val="0"/>
                <w:i w:val="0"/>
                <w:caps w:val="0"/>
                <w:color w:val="auto"/>
                <w:spacing w:val="0"/>
                <w:sz w:val="28"/>
                <w:szCs w:val="28"/>
                <w:highlight w:val="none"/>
                <w:shd w:val="clear" w:color="070000" w:fill="FFFFFF"/>
              </w:rPr>
              <w:t>金融企业年金审核</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i w:val="0"/>
                <w:caps w:val="0"/>
                <w:color w:val="auto"/>
                <w:spacing w:val="0"/>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67</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caps w:val="0"/>
                <w:color w:val="auto"/>
                <w:spacing w:val="0"/>
                <w:sz w:val="28"/>
                <w:szCs w:val="28"/>
                <w:highlight w:val="none"/>
                <w:shd w:val="clear" w:color="070000" w:fill="FFFFFF"/>
                <w:lang w:val="en-US" w:eastAsia="zh-CN"/>
              </w:rPr>
            </w:pPr>
            <w:r>
              <w:rPr>
                <w:rFonts w:hint="eastAsia" w:ascii="仿宋_GB2312" w:hAnsi="仿宋_GB2312" w:eastAsia="仿宋_GB2312" w:cs="仿宋_GB2312"/>
                <w:b w:val="0"/>
                <w:bCs w:val="0"/>
                <w:i w:val="0"/>
                <w:caps w:val="0"/>
                <w:color w:val="auto"/>
                <w:spacing w:val="0"/>
                <w:sz w:val="28"/>
                <w:szCs w:val="28"/>
                <w:highlight w:val="none"/>
                <w:shd w:val="clear" w:color="070000" w:fill="FFFFFF"/>
              </w:rPr>
              <w:t>金融企业财务登记</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i w:val="0"/>
                <w:caps w:val="0"/>
                <w:color w:val="auto"/>
                <w:spacing w:val="0"/>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68</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caps w:val="0"/>
                <w:color w:val="auto"/>
                <w:spacing w:val="0"/>
                <w:sz w:val="28"/>
                <w:szCs w:val="28"/>
                <w:highlight w:val="none"/>
                <w:shd w:val="clear" w:color="070000" w:fill="FFFFFF"/>
                <w:lang w:val="en-US" w:eastAsia="zh-CN"/>
              </w:rPr>
            </w:pPr>
            <w:r>
              <w:rPr>
                <w:rFonts w:hint="eastAsia" w:ascii="仿宋_GB2312" w:hAnsi="仿宋_GB2312" w:eastAsia="仿宋_GB2312" w:cs="仿宋_GB2312"/>
                <w:b w:val="0"/>
                <w:bCs w:val="0"/>
                <w:i w:val="0"/>
                <w:caps w:val="0"/>
                <w:color w:val="auto"/>
                <w:spacing w:val="0"/>
                <w:sz w:val="28"/>
                <w:szCs w:val="28"/>
                <w:highlight w:val="none"/>
                <w:shd w:val="clear" w:color="070000" w:fill="FFFFFF"/>
              </w:rPr>
              <w:t>金融企业选聘会计师事</w:t>
            </w:r>
            <w:r>
              <w:rPr>
                <w:rFonts w:hint="eastAsia" w:ascii="仿宋_GB2312" w:hAnsi="仿宋_GB2312" w:eastAsia="仿宋_GB2312" w:cs="仿宋_GB2312"/>
                <w:b w:val="0"/>
                <w:bCs w:val="0"/>
                <w:i w:val="0"/>
                <w:caps w:val="0"/>
                <w:color w:val="auto"/>
                <w:spacing w:val="0"/>
                <w:sz w:val="28"/>
                <w:szCs w:val="28"/>
                <w:highlight w:val="none"/>
                <w:shd w:val="clear" w:color="070000" w:fill="FFFFFF"/>
                <w:lang w:eastAsia="zh-CN"/>
              </w:rPr>
              <w:t>务所</w:t>
            </w:r>
            <w:r>
              <w:rPr>
                <w:rFonts w:hint="eastAsia" w:ascii="仿宋_GB2312" w:hAnsi="仿宋_GB2312" w:eastAsia="仿宋_GB2312" w:cs="仿宋_GB2312"/>
                <w:b w:val="0"/>
                <w:bCs w:val="0"/>
                <w:i w:val="0"/>
                <w:caps w:val="0"/>
                <w:color w:val="auto"/>
                <w:spacing w:val="0"/>
                <w:sz w:val="28"/>
                <w:szCs w:val="28"/>
                <w:highlight w:val="none"/>
                <w:shd w:val="clear" w:color="070000" w:fill="FFFFFF"/>
              </w:rPr>
              <w:t>备案</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i w:val="0"/>
                <w:caps w:val="0"/>
                <w:color w:val="auto"/>
                <w:spacing w:val="0"/>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69</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caps w:val="0"/>
                <w:color w:val="auto"/>
                <w:spacing w:val="0"/>
                <w:sz w:val="28"/>
                <w:szCs w:val="28"/>
                <w:highlight w:val="none"/>
                <w:shd w:val="clear" w:color="070000" w:fill="FFFFFF"/>
                <w:lang w:val="en-US" w:eastAsia="zh-CN"/>
              </w:rPr>
            </w:pPr>
            <w:r>
              <w:rPr>
                <w:rFonts w:hint="eastAsia" w:ascii="仿宋_GB2312" w:hAnsi="仿宋_GB2312" w:eastAsia="仿宋_GB2312" w:cs="仿宋_GB2312"/>
                <w:b w:val="0"/>
                <w:bCs w:val="0"/>
                <w:i w:val="0"/>
                <w:caps w:val="0"/>
                <w:color w:val="auto"/>
                <w:spacing w:val="0"/>
                <w:sz w:val="28"/>
                <w:szCs w:val="28"/>
                <w:highlight w:val="none"/>
                <w:shd w:val="clear" w:color="070000" w:fill="FFFFFF"/>
              </w:rPr>
              <w:t>金融企业一般准备弥补亏损或转未分配利润备案</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i w:val="0"/>
                <w:caps w:val="0"/>
                <w:color w:val="auto"/>
                <w:spacing w:val="0"/>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autoSpaceDN w:val="0"/>
              <w:bidi w:val="0"/>
              <w:adjustRightInd/>
              <w:snapToGrid/>
              <w:spacing w:line="400" w:lineRule="exact"/>
              <w:jc w:val="center"/>
              <w:textAlignment w:val="center"/>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70</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rPr>
              <w:t>国际金融组织和外国政府贷款、赠款管理</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71</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shd w:val="clear" w:color="auto" w:fill="FFFFFF"/>
              </w:rPr>
              <w:t>监督指导所监管企业财务预决算工作，承担所监管企业经济运行和国有资产统计分析工作</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72</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auto" w:fill="FFFFFF"/>
                <w:lang w:val="en-US" w:eastAsia="zh-CN"/>
              </w:rPr>
            </w:pPr>
            <w:r>
              <w:rPr>
                <w:rFonts w:hint="eastAsia" w:ascii="仿宋_GB2312" w:hAnsi="仿宋_GB2312" w:eastAsia="仿宋_GB2312" w:cs="仿宋_GB2312"/>
                <w:b w:val="0"/>
                <w:bCs w:val="0"/>
                <w:color w:val="auto"/>
                <w:sz w:val="28"/>
                <w:szCs w:val="28"/>
                <w:highlight w:val="none"/>
                <w:shd w:val="clear" w:color="auto" w:fill="FFFFFF"/>
              </w:rPr>
              <w:t>指导所监管企业建立健全会计和财务管理制度，指导所监管企业总会计师(财务总监)业务工作</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auto" w:fill="FFFFFF"/>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73</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rPr>
              <w:t>承担所监管企业国有资产清产核资结果认定</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74</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auto" w:fill="FFFFFF"/>
                <w:lang w:val="en-US" w:eastAsia="zh-CN"/>
              </w:rPr>
            </w:pPr>
            <w:r>
              <w:rPr>
                <w:rFonts w:hint="eastAsia" w:ascii="仿宋_GB2312" w:hAnsi="仿宋_GB2312" w:eastAsia="仿宋_GB2312" w:cs="仿宋_GB2312"/>
                <w:b w:val="0"/>
                <w:bCs w:val="0"/>
                <w:color w:val="auto"/>
                <w:sz w:val="28"/>
                <w:szCs w:val="28"/>
                <w:highlight w:val="none"/>
              </w:rPr>
              <w:t>建立健全国有企业绩效评价指标体系,综合考核所监管企业的经营业绩</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auto" w:fill="FFFFFF"/>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75</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auto" w:fill="FFFFFF"/>
                <w:lang w:val="en-US" w:eastAsia="zh-CN"/>
              </w:rPr>
            </w:pPr>
            <w:r>
              <w:rPr>
                <w:rFonts w:hint="eastAsia" w:ascii="仿宋_GB2312" w:hAnsi="仿宋_GB2312" w:eastAsia="仿宋_GB2312" w:cs="仿宋_GB2312"/>
                <w:b w:val="0"/>
                <w:bCs w:val="0"/>
                <w:i w:val="0"/>
                <w:snapToGrid/>
                <w:color w:val="auto"/>
                <w:sz w:val="28"/>
                <w:szCs w:val="28"/>
                <w:highlight w:val="none"/>
                <w:u w:val="none"/>
                <w:shd w:val="clear" w:color="auto" w:fill="auto"/>
                <w:lang w:eastAsia="zh-CN"/>
              </w:rPr>
              <w:t>市直行政事业单位及所属企业国有资产评估项目核准和备案</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auto" w:fill="FFFFFF"/>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76</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caps w:val="0"/>
                <w:color w:val="auto"/>
                <w:spacing w:val="0"/>
                <w:sz w:val="28"/>
                <w:szCs w:val="28"/>
                <w:highlight w:val="none"/>
                <w:shd w:val="clear" w:color="auto" w:fill="auto"/>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金融企业国有资产评估核准或备案</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i w:val="0"/>
                <w:caps w:val="0"/>
                <w:color w:val="auto"/>
                <w:spacing w:val="0"/>
                <w:sz w:val="28"/>
                <w:szCs w:val="28"/>
                <w:highlight w:val="none"/>
                <w:shd w:val="clear" w:color="auto" w:fill="auto"/>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77</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shd w:val="clear" w:color="070000" w:fill="FFFFFF"/>
              </w:rPr>
              <w:t>按照干部管理权限,承担对所监管企业领导人员的考察、任免等相关管理工作,负责所监管企业领导班子日常监督管理工作</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78</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pacing w:val="-11"/>
                <w:sz w:val="28"/>
                <w:szCs w:val="28"/>
                <w:highlight w:val="none"/>
                <w:shd w:val="clear" w:color="070000" w:fill="FFFFFF"/>
              </w:rPr>
              <w:t>指导所监管企业董事会、监事会的建设</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79</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pacing w:val="-11"/>
                <w:sz w:val="28"/>
                <w:szCs w:val="28"/>
                <w:highlight w:val="none"/>
                <w:shd w:val="clear" w:color="070000" w:fill="FFFFFF"/>
                <w:lang w:val="en-US" w:eastAsia="zh-CN"/>
              </w:rPr>
            </w:pPr>
            <w:r>
              <w:rPr>
                <w:rFonts w:hint="eastAsia" w:ascii="仿宋_GB2312" w:hAnsi="仿宋_GB2312" w:eastAsia="仿宋_GB2312" w:cs="仿宋_GB2312"/>
                <w:b w:val="0"/>
                <w:bCs w:val="0"/>
                <w:color w:val="auto"/>
                <w:spacing w:val="-11"/>
                <w:sz w:val="28"/>
                <w:szCs w:val="28"/>
                <w:highlight w:val="none"/>
                <w:shd w:val="clear" w:color="070000" w:fill="FFFFFF"/>
              </w:rPr>
              <w:t>审核所监管企业负责人薪酬方案，规范履职待遇、业务支出</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pacing w:val="-11"/>
                <w:sz w:val="28"/>
                <w:szCs w:val="28"/>
                <w:highlight w:val="none"/>
                <w:shd w:val="clear" w:color="070000" w:fill="FFFFFF"/>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80</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pacing w:val="-11"/>
                <w:kern w:val="2"/>
                <w:sz w:val="28"/>
                <w:szCs w:val="28"/>
                <w:highlight w:val="none"/>
                <w:shd w:val="clear" w:color="070000" w:fill="FFFFFF"/>
                <w:lang w:val="en-US" w:eastAsia="zh-CN" w:bidi="ar-SA"/>
              </w:rPr>
            </w:pPr>
            <w:r>
              <w:rPr>
                <w:rFonts w:hint="eastAsia" w:ascii="仿宋_GB2312" w:hAnsi="仿宋_GB2312" w:eastAsia="仿宋_GB2312" w:cs="仿宋_GB2312"/>
                <w:b w:val="0"/>
                <w:bCs w:val="0"/>
                <w:color w:val="auto"/>
                <w:sz w:val="28"/>
                <w:szCs w:val="28"/>
                <w:highlight w:val="none"/>
              </w:rPr>
              <w:t>按照规定权限负责审核监管企业领导人员的薪酬方案，备案或核准企业工资总额预算方案</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pacing w:val="-11"/>
                <w:kern w:val="2"/>
                <w:sz w:val="28"/>
                <w:szCs w:val="28"/>
                <w:highlight w:val="none"/>
                <w:shd w:val="clear" w:color="070000" w:fill="FFFFFF"/>
                <w:lang w:val="en-US" w:eastAsia="zh-CN" w:bidi="ar-SA"/>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pacing w:val="-11"/>
                <w:kern w:val="2"/>
                <w:sz w:val="28"/>
                <w:szCs w:val="28"/>
                <w:highlight w:val="none"/>
                <w:shd w:val="clear" w:color="070000" w:fill="FFFFFF"/>
                <w:lang w:val="en-US" w:eastAsia="zh-CN" w:bidi="ar-SA"/>
              </w:rPr>
            </w:pPr>
            <w:r>
              <w:rPr>
                <w:rFonts w:hint="eastAsia" w:ascii="仿宋_GB2312" w:hAnsi="仿宋_GB2312" w:eastAsia="仿宋_GB2312" w:cs="仿宋_GB2312"/>
                <w:b w:val="0"/>
                <w:bCs w:val="0"/>
                <w:color w:val="auto"/>
                <w:spacing w:val="-11"/>
                <w:kern w:val="2"/>
                <w:sz w:val="28"/>
                <w:szCs w:val="28"/>
                <w:highlight w:val="none"/>
                <w:shd w:val="clear" w:color="070000" w:fill="FFFFFF"/>
                <w:lang w:val="en-US" w:eastAsia="zh-CN" w:bidi="ar-SA"/>
              </w:rPr>
              <w:t>81</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pacing w:val="-11"/>
                <w:sz w:val="28"/>
                <w:szCs w:val="28"/>
                <w:highlight w:val="none"/>
                <w:shd w:val="clear" w:color="070000" w:fill="FFFFFF"/>
              </w:rPr>
            </w:pPr>
            <w:r>
              <w:rPr>
                <w:rFonts w:hint="eastAsia" w:ascii="仿宋_GB2312" w:hAnsi="仿宋_GB2312" w:eastAsia="仿宋_GB2312" w:cs="仿宋_GB2312"/>
                <w:b w:val="0"/>
                <w:bCs w:val="0"/>
                <w:color w:val="auto"/>
                <w:sz w:val="28"/>
                <w:szCs w:val="28"/>
                <w:highlight w:val="none"/>
              </w:rPr>
              <w:t>按照规定权限对监管企业领导人员提出任免建议</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pacing w:val="-11"/>
                <w:kern w:val="2"/>
                <w:sz w:val="28"/>
                <w:szCs w:val="28"/>
                <w:highlight w:val="none"/>
                <w:shd w:val="clear" w:color="070000" w:fill="FFFFFF"/>
                <w:lang w:val="en-US" w:eastAsia="zh-CN" w:bidi="ar-SA"/>
              </w:rPr>
            </w:pPr>
            <w:r>
              <w:rPr>
                <w:rFonts w:hint="eastAsia" w:ascii="仿宋_GB2312" w:hAnsi="仿宋_GB2312" w:eastAsia="仿宋_GB2312" w:cs="仿宋_GB2312"/>
                <w:b w:val="0"/>
                <w:bCs w:val="0"/>
                <w:color w:val="auto"/>
                <w:spacing w:val="-11"/>
                <w:kern w:val="2"/>
                <w:sz w:val="28"/>
                <w:szCs w:val="28"/>
                <w:highlight w:val="none"/>
                <w:shd w:val="clear" w:color="070000" w:fill="FFFFFF"/>
                <w:lang w:val="en-US" w:eastAsia="zh-CN" w:bidi="ar-SA"/>
              </w:rPr>
              <w:t>82</w:t>
            </w:r>
          </w:p>
        </w:tc>
        <w:tc>
          <w:tcPr>
            <w:tcW w:w="6750" w:type="dxa"/>
            <w:noWrap w:val="0"/>
            <w:vAlign w:val="center"/>
          </w:tcPr>
          <w:p>
            <w:pPr>
              <w:keepNext w:val="0"/>
              <w:keepLines w:val="0"/>
              <w:pageBreakBefore w:val="0"/>
              <w:kinsoku/>
              <w:wordWrap/>
              <w:overflowPunct/>
              <w:topLinePunct w:val="0"/>
              <w:autoSpaceDE/>
              <w:autoSpaceDN w:val="0"/>
              <w:bidi w:val="0"/>
              <w:adjustRightInd/>
              <w:snapToGrid/>
              <w:spacing w:line="400" w:lineRule="exact"/>
              <w:jc w:val="both"/>
              <w:textAlignment w:val="center"/>
              <w:rPr>
                <w:rFonts w:hint="eastAsia" w:ascii="仿宋_GB2312" w:hAnsi="仿宋_GB2312" w:eastAsia="仿宋_GB2312" w:cs="仿宋_GB2312"/>
                <w:b w:val="0"/>
                <w:bCs w:val="0"/>
                <w:color w:val="auto"/>
                <w:spacing w:val="-11"/>
                <w:sz w:val="28"/>
                <w:szCs w:val="28"/>
                <w:highlight w:val="none"/>
                <w:shd w:val="clear" w:color="070000" w:fill="FFFFFF"/>
              </w:rPr>
            </w:pPr>
            <w:r>
              <w:rPr>
                <w:rFonts w:hint="eastAsia" w:ascii="仿宋_GB2312" w:hAnsi="仿宋_GB2312" w:eastAsia="仿宋_GB2312" w:cs="仿宋_GB2312"/>
                <w:b w:val="0"/>
                <w:bCs w:val="0"/>
                <w:i w:val="0"/>
                <w:snapToGrid/>
                <w:color w:val="auto"/>
                <w:sz w:val="28"/>
                <w:szCs w:val="28"/>
                <w:highlight w:val="none"/>
                <w:u w:val="none"/>
                <w:lang w:eastAsia="zh-CN"/>
              </w:rPr>
              <w:t>会计管理工作</w:t>
            </w:r>
          </w:p>
        </w:tc>
        <w:tc>
          <w:tcPr>
            <w:tcW w:w="1340" w:type="dxa"/>
            <w:noWrap w:val="0"/>
            <w:vAlign w:val="center"/>
          </w:tcPr>
          <w:p>
            <w:pPr>
              <w:keepNext w:val="0"/>
              <w:keepLines w:val="0"/>
              <w:pageBreakBefore w:val="0"/>
              <w:kinsoku/>
              <w:wordWrap/>
              <w:overflowPunct/>
              <w:topLinePunct w:val="0"/>
              <w:autoSpaceDE/>
              <w:autoSpaceDN w:val="0"/>
              <w:bidi w:val="0"/>
              <w:adjustRightInd/>
              <w:snapToGrid/>
              <w:spacing w:line="400" w:lineRule="exact"/>
              <w:jc w:val="center"/>
              <w:textAlignment w:val="center"/>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kinsoku/>
              <w:wordWrap/>
              <w:overflowPunct/>
              <w:topLinePunct w:val="0"/>
              <w:autoSpaceDE/>
              <w:autoSpaceDN w:val="0"/>
              <w:bidi w:val="0"/>
              <w:adjustRightInd/>
              <w:snapToGrid/>
              <w:spacing w:line="400" w:lineRule="exact"/>
              <w:jc w:val="center"/>
              <w:textAlignment w:val="center"/>
              <w:rPr>
                <w:rFonts w:hint="default" w:ascii="仿宋_GB2312" w:hAnsi="仿宋_GB2312" w:eastAsia="仿宋_GB2312" w:cs="仿宋_GB2312"/>
                <w:b w:val="0"/>
                <w:bCs w:val="0"/>
                <w:i w:val="0"/>
                <w:color w:val="auto"/>
                <w:kern w:val="2"/>
                <w:sz w:val="28"/>
                <w:szCs w:val="28"/>
                <w:highlight w:val="none"/>
                <w:u w:val="none"/>
                <w:lang w:val="en-US" w:eastAsia="zh-CN" w:bidi="ar-SA"/>
              </w:rPr>
            </w:pPr>
            <w:r>
              <w:rPr>
                <w:rFonts w:hint="eastAsia" w:ascii="仿宋_GB2312" w:hAnsi="仿宋_GB2312" w:eastAsia="仿宋_GB2312" w:cs="仿宋_GB2312"/>
                <w:b w:val="0"/>
                <w:bCs w:val="0"/>
                <w:i w:val="0"/>
                <w:color w:val="auto"/>
                <w:kern w:val="2"/>
                <w:sz w:val="28"/>
                <w:szCs w:val="28"/>
                <w:highlight w:val="none"/>
                <w:u w:val="none"/>
                <w:lang w:val="en-US" w:eastAsia="zh-CN" w:bidi="ar-SA"/>
              </w:rPr>
              <w:t>83</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i w:val="0"/>
                <w:color w:val="auto"/>
                <w:sz w:val="28"/>
                <w:szCs w:val="28"/>
                <w:highlight w:val="none"/>
                <w:u w:val="none"/>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落实国有资本运作相关制度规范，组织指导所监管企业开展国有资本运营</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i w:val="0"/>
                <w:color w:val="auto"/>
                <w:sz w:val="28"/>
                <w:szCs w:val="28"/>
                <w:highlight w:val="none"/>
                <w:u w:val="no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84</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拟定和审核所监管企业改制、上市、等方案和国有资本出资企业的组建方案</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85</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按照规定权限负责监管企业党的建设和企业领导人员相关管理工作</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86</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承担所出资的国有独资公司章程的审核工作</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87</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i w:val="0"/>
                <w:snapToGrid/>
                <w:color w:val="auto"/>
                <w:sz w:val="28"/>
                <w:szCs w:val="28"/>
                <w:highlight w:val="none"/>
                <w:u w:val="none"/>
                <w:lang w:eastAsia="zh-CN"/>
              </w:rPr>
              <w:t>指导所监管企业对所从事的金融业务加强管理与服务</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i w:val="0"/>
                <w:snapToGrid/>
                <w:color w:val="auto"/>
                <w:kern w:val="2"/>
                <w:sz w:val="28"/>
                <w:szCs w:val="28"/>
                <w:highlight w:val="none"/>
                <w:u w:val="none"/>
                <w:lang w:val="en-US" w:eastAsia="zh-CN" w:bidi="ar-SA"/>
              </w:rPr>
            </w:pPr>
            <w:r>
              <w:rPr>
                <w:rFonts w:hint="eastAsia" w:ascii="仿宋_GB2312" w:hAnsi="仿宋_GB2312" w:eastAsia="仿宋_GB2312" w:cs="仿宋_GB2312"/>
                <w:b w:val="0"/>
                <w:bCs w:val="0"/>
                <w:i w:val="0"/>
                <w:snapToGrid/>
                <w:color w:val="auto"/>
                <w:kern w:val="2"/>
                <w:sz w:val="28"/>
                <w:szCs w:val="28"/>
                <w:highlight w:val="none"/>
                <w:u w:val="none"/>
                <w:lang w:val="en-US" w:eastAsia="zh-CN" w:bidi="ar-SA"/>
              </w:rPr>
              <w:t>88</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rPr>
              <w:t>财政票据发放</w:t>
            </w:r>
            <w:r>
              <w:rPr>
                <w:rFonts w:hint="eastAsia" w:ascii="仿宋_GB2312" w:hAnsi="仿宋_GB2312" w:eastAsia="仿宋_GB2312" w:cs="仿宋_GB2312"/>
                <w:b w:val="0"/>
                <w:bCs w:val="0"/>
                <w:color w:val="auto"/>
                <w:sz w:val="28"/>
                <w:szCs w:val="28"/>
                <w:highlight w:val="none"/>
                <w:vertAlign w:val="baseline"/>
                <w:lang w:eastAsia="zh-CN"/>
              </w:rPr>
              <w:t>、核销、销毁</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89</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rPr>
              <w:t>《财政票据领</w:t>
            </w:r>
            <w:r>
              <w:rPr>
                <w:rFonts w:hint="eastAsia" w:ascii="仿宋_GB2312" w:hAnsi="仿宋_GB2312" w:eastAsia="仿宋_GB2312" w:cs="仿宋_GB2312"/>
                <w:b w:val="0"/>
                <w:bCs w:val="0"/>
                <w:color w:val="auto"/>
                <w:sz w:val="28"/>
                <w:szCs w:val="28"/>
                <w:highlight w:val="none"/>
                <w:vertAlign w:val="baseline"/>
                <w:lang w:eastAsia="zh-CN"/>
              </w:rPr>
              <w:t>用</w:t>
            </w:r>
            <w:r>
              <w:rPr>
                <w:rFonts w:hint="eastAsia" w:ascii="仿宋_GB2312" w:hAnsi="仿宋_GB2312" w:eastAsia="仿宋_GB2312" w:cs="仿宋_GB2312"/>
                <w:b w:val="0"/>
                <w:bCs w:val="0"/>
                <w:color w:val="auto"/>
                <w:sz w:val="28"/>
                <w:szCs w:val="28"/>
                <w:highlight w:val="none"/>
                <w:vertAlign w:val="baseline"/>
              </w:rPr>
              <w:t>证》核发</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776"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default"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vertAlign w:val="baseline"/>
                <w:lang w:val="en-US" w:eastAsia="zh-CN"/>
              </w:rPr>
              <w:t>90</w:t>
            </w:r>
          </w:p>
        </w:tc>
        <w:tc>
          <w:tcPr>
            <w:tcW w:w="6750" w:type="dxa"/>
            <w:noWrap w:val="0"/>
            <w:vAlign w:val="center"/>
          </w:tcPr>
          <w:p>
            <w:pPr>
              <w:keepNext w:val="0"/>
              <w:keepLines w:val="0"/>
              <w:pageBreakBefore w:val="0"/>
              <w:kinsoku/>
              <w:wordWrap/>
              <w:overflowPunct/>
              <w:topLinePunct w:val="0"/>
              <w:autoSpaceDE/>
              <w:bidi w:val="0"/>
              <w:adjustRightInd/>
              <w:snapToGrid/>
              <w:spacing w:line="400" w:lineRule="exact"/>
              <w:jc w:val="both"/>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rPr>
              <w:t>负责组织协调本部门依申请行政审批服务事项，负责行政审批相关接待、咨询、受理、审核审批和办理结果公布等工作</w:t>
            </w:r>
          </w:p>
        </w:tc>
        <w:tc>
          <w:tcPr>
            <w:tcW w:w="1340" w:type="dxa"/>
            <w:noWrap w:val="0"/>
            <w:vAlign w:val="center"/>
          </w:tcPr>
          <w:p>
            <w:pPr>
              <w:keepNext w:val="0"/>
              <w:keepLines w:val="0"/>
              <w:pageBreakBefore w:val="0"/>
              <w:kinsoku/>
              <w:wordWrap/>
              <w:overflowPunct/>
              <w:topLinePunct w:val="0"/>
              <w:autoSpaceDE/>
              <w:bidi w:val="0"/>
              <w:adjustRightInd/>
              <w:snapToGrid/>
              <w:spacing w:line="400" w:lineRule="exact"/>
              <w:jc w:val="center"/>
              <w:rPr>
                <w:rFonts w:hint="eastAsia" w:ascii="仿宋_GB2312" w:hAnsi="仿宋_GB2312" w:eastAsia="仿宋_GB2312" w:cs="仿宋_GB2312"/>
                <w:b w:val="0"/>
                <w:bCs w:val="0"/>
                <w:color w:val="auto"/>
                <w:sz w:val="28"/>
                <w:szCs w:val="28"/>
                <w:highlight w:val="none"/>
                <w:vertAlign w:val="baseline"/>
                <w:lang w:val="en-US" w:eastAsia="zh-CN"/>
              </w:rPr>
            </w:pPr>
            <w:r>
              <w:rPr>
                <w:rFonts w:hint="eastAsia" w:ascii="仿宋_GB2312" w:hAnsi="仿宋_GB2312" w:eastAsia="仿宋_GB2312" w:cs="仿宋_GB2312"/>
                <w:b w:val="0"/>
                <w:bCs w:val="0"/>
                <w:color w:val="auto"/>
                <w:sz w:val="28"/>
                <w:szCs w:val="28"/>
                <w:highlight w:val="none"/>
                <w:lang w:val="en-US" w:eastAsia="zh-CN"/>
              </w:rPr>
              <w:t>其他职权</w:t>
            </w:r>
          </w:p>
        </w:tc>
      </w:tr>
    </w:tbl>
    <w:p>
      <w:pPr>
        <w:keepNext w:val="0"/>
        <w:keepLines w:val="0"/>
        <w:pageBreakBefore w:val="0"/>
        <w:kinsoku/>
        <w:wordWrap/>
        <w:overflowPunct/>
        <w:topLinePunct w:val="0"/>
        <w:autoSpaceDE/>
        <w:bidi w:val="0"/>
        <w:adjustRightInd/>
        <w:snapToGrid/>
        <w:spacing w:line="400" w:lineRule="exact"/>
      </w:pPr>
    </w:p>
    <w:sectPr>
      <w:footerReference r:id="rId3" w:type="default"/>
      <w:pgSz w:w="11906" w:h="16838"/>
      <w:pgMar w:top="1928" w:right="1531" w:bottom="1531" w:left="1531" w:header="851" w:footer="992" w:gutter="0"/>
      <w:pgNumType w:fmt="decimal" w:start="25"/>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wZjkxZGNjOTU1ODZhODYyMjYzMjVkZTRlOTkwY2MifQ=="/>
  </w:docVars>
  <w:rsids>
    <w:rsidRoot w:val="00000000"/>
    <w:rsid w:val="052E2665"/>
    <w:rsid w:val="090D306A"/>
    <w:rsid w:val="0C0F534B"/>
    <w:rsid w:val="0F833BB9"/>
    <w:rsid w:val="11395C39"/>
    <w:rsid w:val="14616D16"/>
    <w:rsid w:val="17F13B56"/>
    <w:rsid w:val="19376BF4"/>
    <w:rsid w:val="22B81E40"/>
    <w:rsid w:val="23BE21BE"/>
    <w:rsid w:val="28194F06"/>
    <w:rsid w:val="29F23E8A"/>
    <w:rsid w:val="2A7037ED"/>
    <w:rsid w:val="2AE61515"/>
    <w:rsid w:val="2D19042A"/>
    <w:rsid w:val="2D4840C2"/>
    <w:rsid w:val="2DF34A02"/>
    <w:rsid w:val="30A9101A"/>
    <w:rsid w:val="3709789C"/>
    <w:rsid w:val="39D72F46"/>
    <w:rsid w:val="3D7824A0"/>
    <w:rsid w:val="44DE35E3"/>
    <w:rsid w:val="4BF82272"/>
    <w:rsid w:val="4D6B73DA"/>
    <w:rsid w:val="4DEF230B"/>
    <w:rsid w:val="4F974A08"/>
    <w:rsid w:val="4FDC70FD"/>
    <w:rsid w:val="5062162C"/>
    <w:rsid w:val="51385D77"/>
    <w:rsid w:val="569D642B"/>
    <w:rsid w:val="5AD475ED"/>
    <w:rsid w:val="60D01D5A"/>
    <w:rsid w:val="6368321E"/>
    <w:rsid w:val="63CF67CD"/>
    <w:rsid w:val="67463615"/>
    <w:rsid w:val="6AAF6C52"/>
    <w:rsid w:val="6D0B2312"/>
    <w:rsid w:val="715A58D2"/>
    <w:rsid w:val="724F0D1A"/>
    <w:rsid w:val="763353E8"/>
    <w:rsid w:val="77230E3E"/>
    <w:rsid w:val="79FA341E"/>
    <w:rsid w:val="79FA5A10"/>
    <w:rsid w:val="7A6A22A1"/>
    <w:rsid w:val="7C262A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3105</Words>
  <Characters>3190</Characters>
  <Lines>0</Lines>
  <Paragraphs>0</Paragraphs>
  <TotalTime>8</TotalTime>
  <ScaleCrop>false</ScaleCrop>
  <LinksUpToDate>false</LinksUpToDate>
  <CharactersWithSpaces>3190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2023-07-11T08:35:00Z</dcterms:created>
  <dc:creator>lenovo</dc:creator>
  <cp:lastModifiedBy>Administrator</cp:lastModifiedBy>
  <cp:lastPrinted>2025-09-04T10:15:00Z</cp:lastPrinted>
  <dcterms:modified xsi:type="dcterms:W3CDTF">2025-11-24T02:51:58Z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5C1FDC3EC3FE4B5995F319537092C40C_13</vt:lpwstr>
  </property>
  <property fmtid="{D5CDD505-2E9C-101B-9397-08002B2CF9AE}" pid="4" name="KSOTemplateDocerSaveRecord">
    <vt:lpwstr>eyJoZGlkIjoiZDMwZjkxZGNjOTU1ODZhODYyMjYzMjVkZTRlOTkwY2MiLCJ1c2VySWQiOiI1NjYwNDI5OTcifQ==</vt:lpwstr>
  </property>
</Properties>
</file>