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ind w:left="0" w:leftChars="0" w:firstLine="0" w:firstLineChars="0"/>
        <w:rPr>
          <w:rFonts w:hint="eastAsia" w:ascii="黑体" w:hAnsi="黑体" w:eastAsia="黑体" w:cs="黑体"/>
          <w:color w:val="auto"/>
          <w:highlight w:val="none"/>
          <w:u w:val="none" w:color="auto"/>
          <w:lang w:val="en-US" w:eastAsia="zh-CN"/>
        </w:rPr>
      </w:pPr>
      <w:r>
        <w:rPr>
          <w:rFonts w:hint="eastAsia" w:ascii="黑体" w:hAnsi="黑体" w:eastAsia="黑体" w:cs="黑体"/>
          <w:color w:val="auto"/>
          <w:highlight w:val="none"/>
          <w:u w:val="none" w:color="auto"/>
        </w:rPr>
        <w:t>附件</w:t>
      </w:r>
      <w:r>
        <w:rPr>
          <w:rFonts w:hint="eastAsia" w:ascii="黑体" w:hAnsi="黑体" w:eastAsia="黑体" w:cs="黑体"/>
          <w:color w:val="auto"/>
          <w:highlight w:val="none"/>
          <w:u w:val="none" w:color="auto"/>
          <w:lang w:val="en-US" w:eastAsia="zh-CN"/>
        </w:rPr>
        <w:t>1</w:t>
      </w:r>
    </w:p>
    <w:p>
      <w:pPr>
        <w:pStyle w:val="2"/>
        <w:spacing w:line="680" w:lineRule="exact"/>
        <w:ind w:left="0" w:leftChars="0" w:firstLine="0" w:firstLineChars="0"/>
        <w:jc w:val="center"/>
        <w:rPr>
          <w:rFonts w:hint="eastAsia" w:ascii="方正小标宋_GBK" w:hAnsi="方正小标宋_GBK" w:eastAsia="方正小标宋_GBK" w:cs="方正小标宋_GBK"/>
          <w:color w:val="auto"/>
          <w:sz w:val="44"/>
          <w:szCs w:val="44"/>
          <w:highlight w:val="none"/>
          <w:u w:val="none" w:color="auto"/>
          <w:lang w:val="en-US" w:eastAsia="zh-CN"/>
        </w:rPr>
      </w:pPr>
      <w:r>
        <w:rPr>
          <w:rFonts w:hint="eastAsia" w:ascii="方正小标宋_GBK" w:hAnsi="方正小标宋_GBK" w:eastAsia="方正小标宋_GBK" w:cs="方正小标宋_GBK"/>
          <w:color w:val="auto"/>
          <w:sz w:val="44"/>
          <w:szCs w:val="44"/>
          <w:highlight w:val="none"/>
          <w:u w:val="none" w:color="auto"/>
          <w:lang w:val="en-US" w:eastAsia="zh-CN"/>
        </w:rPr>
        <w:t>南阳市民政局调整的权责清单</w:t>
      </w:r>
    </w:p>
    <w:p>
      <w:pPr>
        <w:rPr>
          <w:rFonts w:hint="eastAsia"/>
          <w:lang w:val="en-US" w:eastAsia="zh-CN"/>
        </w:rPr>
      </w:pPr>
    </w:p>
    <w:tbl>
      <w:tblPr>
        <w:tblStyle w:val="10"/>
        <w:tblW w:w="15041"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559"/>
        <w:gridCol w:w="1238"/>
        <w:gridCol w:w="5820"/>
        <w:gridCol w:w="615"/>
        <w:gridCol w:w="570"/>
        <w:gridCol w:w="3132"/>
        <w:gridCol w:w="2185"/>
        <w:gridCol w:w="92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24" w:hRule="atLeast"/>
          <w:tblHeader/>
          <w:jc w:val="center"/>
        </w:trPr>
        <w:tc>
          <w:tcPr>
            <w:tcW w:w="559"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黑体" w:hAnsi="黑体" w:eastAsia="黑体" w:cs="黑体"/>
                <w:b w:val="0"/>
                <w:bCs/>
                <w:color w:val="auto"/>
                <w:sz w:val="20"/>
                <w:szCs w:val="20"/>
                <w:highlight w:val="none"/>
                <w:u w:val="none" w:color="auto"/>
              </w:rPr>
            </w:pPr>
            <w:r>
              <w:rPr>
                <w:rFonts w:hint="eastAsia" w:ascii="黑体" w:hAnsi="黑体" w:eastAsia="黑体" w:cs="黑体"/>
                <w:b w:val="0"/>
                <w:bCs/>
                <w:color w:val="auto"/>
                <w:kern w:val="0"/>
                <w:sz w:val="20"/>
                <w:szCs w:val="20"/>
                <w:highlight w:val="none"/>
                <w:u w:val="none" w:color="auto"/>
              </w:rPr>
              <w:t>序号</w:t>
            </w:r>
          </w:p>
        </w:tc>
        <w:tc>
          <w:tcPr>
            <w:tcW w:w="1238"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黑体" w:hAnsi="黑体" w:eastAsia="黑体" w:cs="黑体"/>
                <w:b w:val="0"/>
                <w:bCs/>
                <w:color w:val="auto"/>
                <w:sz w:val="20"/>
                <w:szCs w:val="20"/>
                <w:highlight w:val="none"/>
                <w:u w:val="none" w:color="auto"/>
              </w:rPr>
            </w:pPr>
            <w:r>
              <w:rPr>
                <w:rFonts w:hint="eastAsia" w:ascii="黑体" w:hAnsi="黑体" w:eastAsia="黑体" w:cs="黑体"/>
                <w:b w:val="0"/>
                <w:bCs/>
                <w:color w:val="auto"/>
                <w:kern w:val="0"/>
                <w:sz w:val="20"/>
                <w:szCs w:val="20"/>
                <w:highlight w:val="none"/>
                <w:u w:val="none" w:color="auto"/>
              </w:rPr>
              <w:t>项目名称</w:t>
            </w:r>
          </w:p>
        </w:tc>
        <w:tc>
          <w:tcPr>
            <w:tcW w:w="5820"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黑体" w:hAnsi="黑体" w:eastAsia="黑体" w:cs="黑体"/>
                <w:b w:val="0"/>
                <w:bCs/>
                <w:color w:val="auto"/>
                <w:sz w:val="20"/>
                <w:szCs w:val="20"/>
                <w:highlight w:val="none"/>
                <w:u w:val="none" w:color="auto"/>
              </w:rPr>
            </w:pPr>
            <w:r>
              <w:rPr>
                <w:rFonts w:hint="eastAsia" w:ascii="黑体" w:hAnsi="黑体" w:eastAsia="黑体" w:cs="黑体"/>
                <w:b w:val="0"/>
                <w:bCs/>
                <w:color w:val="auto"/>
                <w:kern w:val="0"/>
                <w:sz w:val="20"/>
                <w:szCs w:val="20"/>
                <w:highlight w:val="none"/>
                <w:u w:val="none" w:color="auto"/>
              </w:rPr>
              <w:t>实施依据</w:t>
            </w:r>
          </w:p>
        </w:tc>
        <w:tc>
          <w:tcPr>
            <w:tcW w:w="615"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黑体" w:hAnsi="黑体" w:eastAsia="黑体" w:cs="黑体"/>
                <w:b w:val="0"/>
                <w:bCs/>
                <w:color w:val="auto"/>
                <w:sz w:val="20"/>
                <w:szCs w:val="20"/>
                <w:highlight w:val="none"/>
                <w:u w:val="none" w:color="auto"/>
              </w:rPr>
            </w:pPr>
            <w:r>
              <w:rPr>
                <w:rFonts w:hint="eastAsia" w:ascii="黑体" w:hAnsi="黑体" w:eastAsia="黑体" w:cs="黑体"/>
                <w:b w:val="0"/>
                <w:bCs/>
                <w:color w:val="auto"/>
                <w:kern w:val="0"/>
                <w:sz w:val="20"/>
                <w:szCs w:val="20"/>
                <w:highlight w:val="none"/>
                <w:u w:val="none" w:color="auto"/>
              </w:rPr>
              <w:t>职权类别</w:t>
            </w:r>
          </w:p>
        </w:tc>
        <w:tc>
          <w:tcPr>
            <w:tcW w:w="570"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黑体" w:hAnsi="黑体" w:eastAsia="黑体" w:cs="黑体"/>
                <w:b w:val="0"/>
                <w:bCs/>
                <w:color w:val="auto"/>
                <w:kern w:val="0"/>
                <w:sz w:val="20"/>
                <w:szCs w:val="20"/>
                <w:highlight w:val="none"/>
                <w:u w:val="none" w:color="auto"/>
                <w:lang w:eastAsia="zh-CN"/>
              </w:rPr>
            </w:pPr>
            <w:r>
              <w:rPr>
                <w:rFonts w:hint="eastAsia" w:ascii="黑体" w:hAnsi="黑体" w:eastAsia="黑体" w:cs="黑体"/>
                <w:b w:val="0"/>
                <w:bCs/>
                <w:color w:val="auto"/>
                <w:kern w:val="0"/>
                <w:sz w:val="20"/>
                <w:szCs w:val="20"/>
                <w:highlight w:val="none"/>
                <w:u w:val="none" w:color="auto"/>
              </w:rPr>
              <w:t>办理</w:t>
            </w:r>
          </w:p>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黑体" w:hAnsi="黑体" w:eastAsia="黑体" w:cs="黑体"/>
                <w:b w:val="0"/>
                <w:bCs/>
                <w:color w:val="auto"/>
                <w:sz w:val="20"/>
                <w:szCs w:val="20"/>
                <w:highlight w:val="none"/>
                <w:u w:val="none" w:color="auto"/>
              </w:rPr>
            </w:pPr>
            <w:r>
              <w:rPr>
                <w:rFonts w:hint="eastAsia" w:ascii="黑体" w:hAnsi="黑体" w:eastAsia="黑体" w:cs="黑体"/>
                <w:b w:val="0"/>
                <w:bCs/>
                <w:color w:val="auto"/>
                <w:kern w:val="0"/>
                <w:sz w:val="20"/>
                <w:szCs w:val="20"/>
                <w:highlight w:val="none"/>
                <w:u w:val="none" w:color="auto"/>
              </w:rPr>
              <w:t>环节</w:t>
            </w:r>
          </w:p>
        </w:tc>
        <w:tc>
          <w:tcPr>
            <w:tcW w:w="3132"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黑体" w:hAnsi="黑体" w:eastAsia="黑体" w:cs="黑体"/>
                <w:b w:val="0"/>
                <w:bCs/>
                <w:color w:val="auto"/>
                <w:sz w:val="20"/>
                <w:szCs w:val="20"/>
                <w:highlight w:val="none"/>
                <w:u w:val="none" w:color="auto"/>
              </w:rPr>
            </w:pPr>
            <w:r>
              <w:rPr>
                <w:rFonts w:hint="eastAsia" w:ascii="黑体" w:hAnsi="黑体" w:eastAsia="黑体" w:cs="黑体"/>
                <w:b w:val="0"/>
                <w:bCs/>
                <w:color w:val="auto"/>
                <w:kern w:val="0"/>
                <w:sz w:val="20"/>
                <w:szCs w:val="20"/>
                <w:highlight w:val="none"/>
                <w:u w:val="none" w:color="auto"/>
              </w:rPr>
              <w:t>责任事项</w:t>
            </w:r>
          </w:p>
        </w:tc>
        <w:tc>
          <w:tcPr>
            <w:tcW w:w="2185"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黑体" w:hAnsi="黑体" w:eastAsia="黑体" w:cs="黑体"/>
                <w:b w:val="0"/>
                <w:bCs/>
                <w:color w:val="auto"/>
                <w:kern w:val="0"/>
                <w:sz w:val="20"/>
                <w:szCs w:val="20"/>
                <w:highlight w:val="none"/>
                <w:u w:val="none" w:color="auto"/>
                <w:lang w:val="en-US" w:eastAsia="zh-CN" w:bidi="ar-SA"/>
              </w:rPr>
            </w:pPr>
            <w:r>
              <w:rPr>
                <w:rFonts w:hint="eastAsia" w:ascii="黑体" w:hAnsi="黑体" w:eastAsia="黑体" w:cs="黑体"/>
                <w:b w:val="0"/>
                <w:bCs/>
                <w:color w:val="auto"/>
                <w:kern w:val="0"/>
                <w:sz w:val="20"/>
                <w:szCs w:val="20"/>
                <w:highlight w:val="none"/>
                <w:u w:val="none" w:color="auto"/>
                <w:lang w:val="en-US" w:eastAsia="zh-CN"/>
              </w:rPr>
              <w:t>追责情形</w:t>
            </w:r>
          </w:p>
        </w:tc>
        <w:tc>
          <w:tcPr>
            <w:tcW w:w="922"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黑体" w:hAnsi="黑体" w:eastAsia="黑体" w:cs="黑体"/>
                <w:b w:val="0"/>
                <w:bCs/>
                <w:color w:val="auto"/>
                <w:sz w:val="20"/>
                <w:szCs w:val="20"/>
                <w:highlight w:val="none"/>
                <w:u w:val="none" w:color="auto"/>
              </w:rPr>
            </w:pPr>
            <w:r>
              <w:rPr>
                <w:rFonts w:hint="eastAsia" w:ascii="黑体" w:hAnsi="黑体" w:eastAsia="黑体" w:cs="黑体"/>
                <w:b w:val="0"/>
                <w:bCs/>
                <w:color w:val="auto"/>
                <w:kern w:val="0"/>
                <w:sz w:val="20"/>
                <w:szCs w:val="20"/>
                <w:highlight w:val="none"/>
                <w:u w:val="none" w:color="auto"/>
              </w:rPr>
              <w:t>责任</w:t>
            </w:r>
            <w:r>
              <w:rPr>
                <w:rFonts w:hint="eastAsia" w:ascii="黑体" w:hAnsi="黑体" w:eastAsia="黑体" w:cs="黑体"/>
                <w:b w:val="0"/>
                <w:bCs/>
                <w:color w:val="auto"/>
                <w:kern w:val="0"/>
                <w:sz w:val="20"/>
                <w:szCs w:val="20"/>
                <w:highlight w:val="none"/>
                <w:u w:val="none" w:color="auto"/>
                <w:lang w:eastAsia="zh-CN"/>
              </w:rPr>
              <w:t>科</w:t>
            </w:r>
            <w:r>
              <w:rPr>
                <w:rFonts w:hint="eastAsia" w:ascii="黑体" w:hAnsi="黑体" w:eastAsia="黑体" w:cs="黑体"/>
                <w:b w:val="0"/>
                <w:bCs/>
                <w:color w:val="auto"/>
                <w:kern w:val="0"/>
                <w:sz w:val="20"/>
                <w:szCs w:val="20"/>
                <w:highlight w:val="none"/>
                <w:u w:val="none" w:color="auto"/>
              </w:rPr>
              <w:t>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891" w:hRule="atLeast"/>
          <w:jc w:val="center"/>
        </w:trPr>
        <w:tc>
          <w:tcPr>
            <w:tcW w:w="559"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30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2"/>
                <w:sz w:val="20"/>
                <w:szCs w:val="20"/>
                <w:highlight w:val="none"/>
                <w:u w:val="none" w:color="auto"/>
                <w:lang w:val="en-US" w:eastAsia="zh-CN" w:bidi="ar-SA"/>
              </w:rPr>
              <w:t>1</w:t>
            </w:r>
          </w:p>
        </w:tc>
        <w:tc>
          <w:tcPr>
            <w:tcW w:w="1238"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30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sz w:val="20"/>
                <w:szCs w:val="20"/>
                <w:highlight w:val="none"/>
                <w:u w:val="none" w:color="auto"/>
                <w:lang w:eastAsia="zh-CN"/>
              </w:rPr>
              <w:t>低收入家庭经济状况信息的核对确认</w:t>
            </w:r>
          </w:p>
        </w:tc>
        <w:tc>
          <w:tcPr>
            <w:tcW w:w="5820"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300" w:lineRule="exact"/>
              <w:ind w:firstLine="0" w:firstLineChars="0"/>
              <w:jc w:val="both"/>
              <w:textAlignment w:val="center"/>
              <w:rPr>
                <w:rFonts w:hint="eastAsia" w:ascii="仿宋_GB2312" w:hAnsi="仿宋_GB2312" w:eastAsia="仿宋_GB2312" w:cs="仿宋_GB2312"/>
                <w:kern w:val="2"/>
                <w:sz w:val="20"/>
                <w:szCs w:val="20"/>
                <w:highlight w:val="none"/>
                <w:lang w:val="en-US" w:eastAsia="zh-CN" w:bidi="ar-SA"/>
              </w:rPr>
            </w:pPr>
            <w:r>
              <w:rPr>
                <w:rFonts w:hint="eastAsia" w:ascii="仿宋_GB2312" w:hAnsi="仿宋_GB2312" w:eastAsia="仿宋_GB2312" w:cs="仿宋_GB2312"/>
                <w:color w:val="auto"/>
                <w:sz w:val="20"/>
                <w:szCs w:val="20"/>
                <w:highlight w:val="none"/>
                <w:u w:val="none" w:color="auto"/>
                <w:lang w:val="en-US" w:eastAsia="zh-CN"/>
              </w:rPr>
              <w:t>取消行政确认：低收入家庭经济状况信息的核对确认。</w:t>
            </w:r>
            <w:r>
              <w:rPr>
                <w:rFonts w:hint="eastAsia" w:ascii="仿宋_GB2312" w:hAnsi="仿宋_GB2312" w:eastAsia="仿宋_GB2312" w:cs="仿宋_GB2312"/>
                <w:sz w:val="20"/>
                <w:szCs w:val="20"/>
                <w:highlight w:val="none"/>
                <w:lang w:val="en-US" w:eastAsia="zh-CN"/>
              </w:rPr>
              <w:t>依据：</w:t>
            </w:r>
            <w:r>
              <w:rPr>
                <w:rFonts w:hint="eastAsia" w:ascii="仿宋_GB2312" w:hAnsi="仿宋_GB2312" w:eastAsia="仿宋_GB2312" w:cs="仿宋_GB2312"/>
                <w:sz w:val="20"/>
                <w:szCs w:val="20"/>
                <w:highlight w:val="none"/>
              </w:rPr>
              <w:t>河南省民政厅等14个部门关于印发</w:t>
            </w:r>
            <w:r>
              <w:rPr>
                <w:rFonts w:hint="eastAsia" w:ascii="仿宋_GB2312" w:hAnsi="仿宋_GB2312" w:eastAsia="仿宋_GB2312" w:cs="仿宋_GB2312"/>
                <w:sz w:val="20"/>
                <w:szCs w:val="20"/>
                <w:highlight w:val="none"/>
                <w:lang w:eastAsia="zh-CN"/>
              </w:rPr>
              <w:t>《</w:t>
            </w:r>
            <w:r>
              <w:rPr>
                <w:rFonts w:hint="eastAsia" w:ascii="仿宋_GB2312" w:hAnsi="仿宋_GB2312" w:eastAsia="仿宋_GB2312" w:cs="仿宋_GB2312"/>
                <w:sz w:val="20"/>
                <w:szCs w:val="20"/>
                <w:highlight w:val="none"/>
              </w:rPr>
              <w:t>河南省社会救助申请家庭经济状况核对办法</w:t>
            </w:r>
            <w:r>
              <w:rPr>
                <w:rFonts w:hint="eastAsia" w:ascii="仿宋_GB2312" w:hAnsi="仿宋_GB2312" w:eastAsia="仿宋_GB2312" w:cs="仿宋_GB2312"/>
                <w:sz w:val="20"/>
                <w:szCs w:val="20"/>
                <w:highlight w:val="none"/>
                <w:lang w:eastAsia="zh-CN"/>
              </w:rPr>
              <w:t>》</w:t>
            </w:r>
            <w:r>
              <w:rPr>
                <w:rFonts w:hint="eastAsia" w:ascii="仿宋_GB2312" w:hAnsi="仿宋_GB2312" w:eastAsia="仿宋_GB2312" w:cs="仿宋_GB2312"/>
                <w:sz w:val="20"/>
                <w:szCs w:val="20"/>
                <w:highlight w:val="none"/>
              </w:rPr>
              <w:t>的通知</w:t>
            </w:r>
            <w:r>
              <w:rPr>
                <w:rFonts w:hint="eastAsia" w:ascii="仿宋_GB2312" w:hAnsi="仿宋_GB2312" w:eastAsia="仿宋_GB2312" w:cs="仿宋_GB2312"/>
                <w:sz w:val="20"/>
                <w:szCs w:val="20"/>
                <w:highlight w:val="none"/>
                <w:lang w:val="en-US" w:eastAsia="zh-CN"/>
              </w:rPr>
              <w:t>（豫</w:t>
            </w:r>
            <w:r>
              <w:rPr>
                <w:rFonts w:hint="eastAsia" w:ascii="仿宋_GB2312" w:hAnsi="仿宋_GB2312" w:eastAsia="仿宋_GB2312" w:cs="仿宋_GB2312"/>
                <w:sz w:val="20"/>
                <w:szCs w:val="20"/>
                <w:highlight w:val="none"/>
              </w:rPr>
              <w:t>民文</w:t>
            </w:r>
            <w:r>
              <w:rPr>
                <w:rFonts w:hint="eastAsia" w:ascii="仿宋_GB2312" w:hAnsi="仿宋_GB2312" w:eastAsia="仿宋_GB2312" w:cs="仿宋_GB2312"/>
                <w:kern w:val="2"/>
                <w:sz w:val="20"/>
                <w:szCs w:val="20"/>
                <w:highlight w:val="none"/>
                <w:lang w:val="en-US" w:eastAsia="zh-CN" w:bidi="ar-SA"/>
              </w:rPr>
              <w:t>〔2018</w:t>
            </w:r>
            <w:r>
              <w:rPr>
                <w:rFonts w:hint="eastAsia" w:ascii="仿宋_GB2312" w:hAnsi="仿宋_GB2312" w:eastAsia="仿宋_GB2312" w:cs="仿宋_GB2312"/>
                <w:sz w:val="20"/>
                <w:szCs w:val="20"/>
                <w:highlight w:val="none"/>
                <w:lang w:val="en-US" w:eastAsia="zh-CN"/>
              </w:rPr>
              <w:t>〕277号）</w:t>
            </w:r>
            <w:r>
              <w:rPr>
                <w:rFonts w:hint="eastAsia" w:ascii="仿宋_GB2312" w:hAnsi="仿宋_GB2312" w:eastAsia="仿宋_GB2312" w:cs="仿宋_GB2312"/>
                <w:sz w:val="20"/>
                <w:szCs w:val="20"/>
                <w:highlight w:val="none"/>
              </w:rPr>
              <w:t>第三条工作原则</w:t>
            </w:r>
            <w:r>
              <w:rPr>
                <w:rFonts w:hint="eastAsia" w:ascii="仿宋_GB2312" w:hAnsi="仿宋_GB2312" w:eastAsia="仿宋_GB2312" w:cs="仿宋_GB2312"/>
                <w:sz w:val="20"/>
                <w:szCs w:val="20"/>
                <w:highlight w:val="none"/>
                <w:lang w:eastAsia="zh-CN"/>
              </w:rPr>
              <w:t>：“</w:t>
            </w:r>
            <w:r>
              <w:rPr>
                <w:rFonts w:hint="eastAsia" w:ascii="仿宋_GB2312" w:hAnsi="仿宋_GB2312" w:eastAsia="仿宋_GB2312" w:cs="仿宋_GB2312"/>
                <w:sz w:val="20"/>
                <w:szCs w:val="20"/>
                <w:highlight w:val="none"/>
              </w:rPr>
              <w:t>先授权</w:t>
            </w:r>
            <w:r>
              <w:rPr>
                <w:rFonts w:hint="eastAsia" w:ascii="仿宋_GB2312" w:hAnsi="仿宋_GB2312" w:eastAsia="仿宋_GB2312" w:cs="仿宋_GB2312"/>
                <w:sz w:val="20"/>
                <w:szCs w:val="20"/>
                <w:highlight w:val="none"/>
                <w:lang w:eastAsia="zh-CN"/>
              </w:rPr>
              <w:t>、</w:t>
            </w:r>
            <w:r>
              <w:rPr>
                <w:rFonts w:hint="eastAsia" w:ascii="仿宋_GB2312" w:hAnsi="仿宋_GB2312" w:eastAsia="仿宋_GB2312" w:cs="仿宋_GB2312"/>
                <w:sz w:val="20"/>
                <w:szCs w:val="20"/>
                <w:highlight w:val="none"/>
              </w:rPr>
              <w:t>后核对，无委托</w:t>
            </w:r>
            <w:r>
              <w:rPr>
                <w:rFonts w:hint="eastAsia" w:ascii="仿宋_GB2312" w:hAnsi="仿宋_GB2312" w:eastAsia="仿宋_GB2312" w:cs="仿宋_GB2312"/>
                <w:sz w:val="20"/>
                <w:szCs w:val="20"/>
                <w:highlight w:val="none"/>
                <w:lang w:eastAsia="zh-CN"/>
              </w:rPr>
              <w:t>、</w:t>
            </w:r>
            <w:r>
              <w:rPr>
                <w:rFonts w:hint="eastAsia" w:ascii="仿宋_GB2312" w:hAnsi="仿宋_GB2312" w:eastAsia="仿宋_GB2312" w:cs="仿宋_GB2312"/>
                <w:sz w:val="20"/>
                <w:szCs w:val="20"/>
                <w:highlight w:val="none"/>
              </w:rPr>
              <w:t>不核对，只核对</w:t>
            </w:r>
            <w:r>
              <w:rPr>
                <w:rFonts w:hint="eastAsia" w:ascii="仿宋_GB2312" w:hAnsi="仿宋_GB2312" w:eastAsia="仿宋_GB2312" w:cs="仿宋_GB2312"/>
                <w:sz w:val="20"/>
                <w:szCs w:val="20"/>
                <w:highlight w:val="none"/>
                <w:lang w:eastAsia="zh-CN"/>
              </w:rPr>
              <w:t>、</w:t>
            </w:r>
            <w:r>
              <w:rPr>
                <w:rFonts w:hint="eastAsia" w:ascii="仿宋_GB2312" w:hAnsi="仿宋_GB2312" w:eastAsia="仿宋_GB2312" w:cs="仿宋_GB2312"/>
                <w:sz w:val="20"/>
                <w:szCs w:val="20"/>
                <w:highlight w:val="none"/>
              </w:rPr>
              <w:t>不认定</w:t>
            </w:r>
            <w:r>
              <w:rPr>
                <w:rFonts w:hint="eastAsia" w:ascii="仿宋_GB2312" w:hAnsi="仿宋_GB2312" w:eastAsia="仿宋_GB2312" w:cs="仿宋_GB2312"/>
                <w:sz w:val="20"/>
                <w:szCs w:val="20"/>
                <w:highlight w:val="none"/>
                <w:lang w:eastAsia="zh-CN"/>
              </w:rPr>
              <w:t>”</w:t>
            </w:r>
            <w:r>
              <w:rPr>
                <w:rFonts w:hint="eastAsia" w:ascii="仿宋_GB2312" w:hAnsi="仿宋_GB2312" w:eastAsia="仿宋_GB2312" w:cs="仿宋_GB2312"/>
                <w:sz w:val="20"/>
                <w:szCs w:val="20"/>
                <w:highlight w:val="none"/>
              </w:rPr>
              <w:t>。</w:t>
            </w:r>
          </w:p>
        </w:tc>
        <w:tc>
          <w:tcPr>
            <w:tcW w:w="615"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30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sz w:val="20"/>
                <w:szCs w:val="20"/>
                <w:highlight w:val="none"/>
                <w:u w:val="none" w:color="auto"/>
                <w:lang w:val="en-US" w:eastAsia="zh-CN"/>
              </w:rPr>
              <w:t>行政确认</w:t>
            </w:r>
          </w:p>
        </w:tc>
        <w:tc>
          <w:tcPr>
            <w:tcW w:w="570"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300" w:lineRule="exact"/>
              <w:ind w:firstLine="0" w:firstLineChars="0"/>
              <w:jc w:val="both"/>
              <w:textAlignment w:val="center"/>
              <w:rPr>
                <w:rFonts w:hint="eastAsia" w:ascii="仿宋_GB2312" w:hAnsi="仿宋_GB2312" w:eastAsia="仿宋_GB2312" w:cs="仿宋_GB2312"/>
                <w:color w:val="auto"/>
                <w:sz w:val="20"/>
                <w:szCs w:val="20"/>
                <w:highlight w:val="none"/>
                <w:u w:val="none" w:color="auto"/>
              </w:rPr>
            </w:pPr>
          </w:p>
        </w:tc>
        <w:tc>
          <w:tcPr>
            <w:tcW w:w="3132"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300" w:lineRule="exact"/>
              <w:ind w:firstLine="0" w:firstLineChars="0"/>
              <w:jc w:val="left"/>
              <w:textAlignment w:val="center"/>
              <w:rPr>
                <w:rFonts w:hint="eastAsia" w:ascii="仿宋_GB2312" w:hAnsi="仿宋_GB2312" w:eastAsia="仿宋_GB2312" w:cs="仿宋_GB2312"/>
                <w:sz w:val="20"/>
                <w:szCs w:val="20"/>
                <w:highlight w:val="none"/>
                <w:lang w:eastAsia="zh-CN"/>
              </w:rPr>
            </w:pPr>
          </w:p>
        </w:tc>
        <w:tc>
          <w:tcPr>
            <w:tcW w:w="2185"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30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22"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30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0" w:hRule="atLeast"/>
          <w:jc w:val="center"/>
        </w:trPr>
        <w:tc>
          <w:tcPr>
            <w:tcW w:w="559"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Theme="minorEastAsia" w:hAnsiTheme="minorEastAsia" w:eastAsiaTheme="minorEastAsia" w:cstheme="minorEastAsia"/>
                <w:color w:val="auto"/>
                <w:kern w:val="2"/>
                <w:sz w:val="20"/>
                <w:szCs w:val="20"/>
                <w:highlight w:val="none"/>
                <w:u w:val="none" w:color="auto"/>
                <w:lang w:val="en-US" w:eastAsia="zh-CN" w:bidi="ar-SA"/>
              </w:rPr>
            </w:pPr>
          </w:p>
        </w:tc>
        <w:tc>
          <w:tcPr>
            <w:tcW w:w="14482" w:type="dxa"/>
            <w:gridSpan w:val="7"/>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b w:val="0"/>
                <w:i w:val="0"/>
                <w:color w:val="auto"/>
                <w:sz w:val="20"/>
                <w:szCs w:val="20"/>
                <w:highlight w:val="none"/>
                <w:u w:val="none"/>
                <w:lang w:eastAsia="zh-CN"/>
              </w:rPr>
              <w:t>调整情况：取消行政确认：</w:t>
            </w:r>
            <w:r>
              <w:rPr>
                <w:rFonts w:hint="eastAsia" w:ascii="仿宋_GB2312" w:hAnsi="仿宋_GB2312" w:eastAsia="仿宋_GB2312" w:cs="仿宋_GB2312"/>
                <w:color w:val="auto"/>
                <w:sz w:val="20"/>
                <w:szCs w:val="20"/>
                <w:highlight w:val="none"/>
                <w:u w:val="none" w:color="auto"/>
                <w:lang w:val="en-US" w:eastAsia="zh-CN"/>
              </w:rPr>
              <w:t>低收入家庭经济状况信息的核对确认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32" w:hRule="atLeast"/>
          <w:jc w:val="center"/>
        </w:trPr>
        <w:tc>
          <w:tcPr>
            <w:tcW w:w="559"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Theme="minorEastAsia" w:hAnsiTheme="minorEastAsia" w:eastAsiaTheme="minorEastAsia" w:cstheme="minorEastAsia"/>
                <w:color w:val="auto"/>
                <w:kern w:val="2"/>
                <w:sz w:val="20"/>
                <w:szCs w:val="20"/>
                <w:highlight w:val="none"/>
                <w:u w:val="none" w:color="auto"/>
                <w:lang w:val="en-US" w:eastAsia="zh-CN" w:bidi="ar-SA"/>
              </w:rPr>
            </w:pPr>
          </w:p>
        </w:tc>
        <w:tc>
          <w:tcPr>
            <w:tcW w:w="14482" w:type="dxa"/>
            <w:gridSpan w:val="7"/>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b w:val="0"/>
                <w:i w:val="0"/>
                <w:color w:val="auto"/>
                <w:sz w:val="20"/>
                <w:szCs w:val="20"/>
                <w:highlight w:val="none"/>
                <w:u w:val="none"/>
                <w:lang w:eastAsia="zh-CN"/>
              </w:rPr>
              <w:t>调整原因：</w:t>
            </w:r>
            <w:r>
              <w:rPr>
                <w:rFonts w:hint="eastAsia" w:cs="仿宋_GB2312"/>
                <w:b w:val="0"/>
                <w:i w:val="0"/>
                <w:color w:val="auto"/>
                <w:sz w:val="20"/>
                <w:szCs w:val="20"/>
                <w:highlight w:val="none"/>
                <w:u w:val="none"/>
                <w:lang w:eastAsia="zh-CN"/>
              </w:rPr>
              <w:t>法律法规调整。</w:t>
            </w:r>
          </w:p>
        </w:tc>
      </w:tr>
    </w:tbl>
    <w:p>
      <w:pPr>
        <w:pStyle w:val="2"/>
        <w:keepNext w:val="0"/>
        <w:keepLines w:val="0"/>
        <w:pageBreakBefore w:val="0"/>
        <w:widowControl w:val="0"/>
        <w:numPr>
          <w:ilvl w:val="0"/>
          <w:numId w:val="0"/>
        </w:numPr>
        <w:kinsoku/>
        <w:wordWrap/>
        <w:overflowPunct/>
        <w:topLinePunct w:val="0"/>
        <w:autoSpaceDE/>
        <w:autoSpaceDN/>
        <w:bidi w:val="0"/>
        <w:adjustRightInd/>
        <w:snapToGrid w:val="0"/>
        <w:spacing w:line="260" w:lineRule="exact"/>
        <w:ind w:left="-1280" w:leftChars="-400" w:firstLine="240" w:firstLineChars="100"/>
        <w:textAlignment w:val="auto"/>
        <w:rPr>
          <w:rFonts w:hint="default"/>
          <w:color w:val="auto"/>
          <w:sz w:val="24"/>
          <w:szCs w:val="24"/>
          <w:highlight w:val="none"/>
          <w:lang w:val="en-US" w:eastAsia="zh-CN"/>
        </w:rPr>
      </w:pPr>
    </w:p>
    <w:p>
      <w:pPr>
        <w:ind w:left="0" w:leftChars="0" w:firstLine="0" w:firstLineChars="0"/>
        <w:rPr>
          <w:rFonts w:hint="eastAsia" w:ascii="黑体" w:hAnsi="黑体" w:eastAsia="黑体" w:cs="黑体"/>
          <w:color w:val="auto"/>
          <w:sz w:val="32"/>
          <w:szCs w:val="32"/>
          <w:highlight w:val="none"/>
          <w:u w:val="none" w:color="auto"/>
        </w:rPr>
        <w:sectPr>
          <w:footerReference r:id="rId5" w:type="default"/>
          <w:pgSz w:w="16838" w:h="11906" w:orient="landscape"/>
          <w:pgMar w:top="1587" w:right="1134" w:bottom="1474" w:left="1134" w:header="851" w:footer="1417" w:gutter="0"/>
          <w:pgNumType w:fmt="decimal" w:start="3"/>
          <w:cols w:space="0" w:num="1"/>
          <w:rtlGutter w:val="0"/>
          <w:docGrid w:type="lines" w:linePitch="456" w:charSpace="0"/>
        </w:sectPr>
      </w:pPr>
    </w:p>
    <w:p>
      <w:pPr>
        <w:ind w:left="0" w:leftChars="0" w:firstLine="0" w:firstLineChars="0"/>
        <w:rPr>
          <w:rFonts w:hint="eastAsia" w:ascii="黑体" w:hAnsi="黑体" w:eastAsia="黑体" w:cs="黑体"/>
          <w:color w:val="auto"/>
          <w:sz w:val="32"/>
          <w:szCs w:val="32"/>
          <w:highlight w:val="none"/>
          <w:u w:val="none" w:color="auto"/>
          <w:lang w:val="en-US" w:eastAsia="zh-CN"/>
        </w:rPr>
      </w:pPr>
      <w:r>
        <w:rPr>
          <w:rFonts w:hint="eastAsia" w:ascii="黑体" w:hAnsi="黑体" w:eastAsia="黑体" w:cs="黑体"/>
          <w:color w:val="auto"/>
          <w:sz w:val="32"/>
          <w:szCs w:val="32"/>
          <w:highlight w:val="none"/>
          <w:u w:val="none" w:color="auto"/>
        </w:rPr>
        <w:t>附件</w:t>
      </w:r>
      <w:r>
        <w:rPr>
          <w:rFonts w:hint="eastAsia" w:ascii="黑体" w:hAnsi="黑体" w:eastAsia="黑体" w:cs="黑体"/>
          <w:color w:val="auto"/>
          <w:sz w:val="32"/>
          <w:szCs w:val="32"/>
          <w:highlight w:val="none"/>
          <w:u w:val="none" w:color="auto"/>
          <w:lang w:val="en-US" w:eastAsia="zh-CN"/>
        </w:rPr>
        <w:t>2</w:t>
      </w:r>
    </w:p>
    <w:p>
      <w:pPr>
        <w:pStyle w:val="2"/>
        <w:spacing w:line="680" w:lineRule="exact"/>
        <w:ind w:left="0" w:leftChars="0" w:firstLine="0" w:firstLineChars="0"/>
        <w:jc w:val="center"/>
        <w:rPr>
          <w:rFonts w:hint="eastAsia" w:ascii="方正小标宋_GBK" w:hAnsi="方正小标宋_GBK" w:eastAsia="方正小标宋_GBK" w:cs="方正小标宋_GBK"/>
          <w:color w:val="auto"/>
          <w:sz w:val="44"/>
          <w:szCs w:val="44"/>
          <w:highlight w:val="none"/>
          <w:u w:val="none" w:color="auto"/>
          <w:lang w:val="en-US" w:eastAsia="zh-CN"/>
        </w:rPr>
      </w:pPr>
      <w:r>
        <w:rPr>
          <w:rFonts w:hint="eastAsia" w:ascii="方正小标宋_GBK" w:hAnsi="方正小标宋_GBK" w:eastAsia="方正小标宋_GBK" w:cs="方正小标宋_GBK"/>
          <w:color w:val="auto"/>
          <w:sz w:val="44"/>
          <w:szCs w:val="44"/>
          <w:highlight w:val="none"/>
          <w:u w:val="none" w:color="auto"/>
          <w:lang w:val="en-US" w:eastAsia="zh-CN"/>
        </w:rPr>
        <w:t>南阳市民政局权责清单目录</w:t>
      </w:r>
    </w:p>
    <w:p>
      <w:pPr>
        <w:widowControl w:val="0"/>
        <w:wordWrap/>
        <w:adjustRightInd/>
        <w:snapToGrid/>
        <w:spacing w:line="680" w:lineRule="exact"/>
        <w:ind w:left="0" w:leftChars="0" w:firstLine="0" w:firstLineChars="0"/>
        <w:jc w:val="center"/>
        <w:textAlignment w:val="auto"/>
        <w:rPr>
          <w:rFonts w:hint="eastAsia" w:ascii="楷体_GB2312" w:hAnsi="楷体_GB2312" w:eastAsia="楷体_GB2312" w:cs="楷体_GB2312"/>
          <w:color w:val="auto"/>
          <w:sz w:val="32"/>
          <w:szCs w:val="32"/>
          <w:highlight w:val="none"/>
          <w:u w:val="none" w:color="auto"/>
        </w:rPr>
      </w:pPr>
      <w:r>
        <w:rPr>
          <w:rFonts w:hint="eastAsia" w:ascii="楷体_GB2312" w:hAnsi="楷体_GB2312" w:eastAsia="楷体_GB2312" w:cs="楷体_GB2312"/>
          <w:b/>
          <w:bCs/>
          <w:color w:val="auto"/>
          <w:sz w:val="32"/>
          <w:szCs w:val="32"/>
          <w:highlight w:val="none"/>
          <w:u w:val="none" w:color="auto"/>
        </w:rPr>
        <w:t>（共5</w:t>
      </w:r>
      <w:r>
        <w:rPr>
          <w:rFonts w:hint="eastAsia" w:ascii="楷体_GB2312" w:hAnsi="楷体_GB2312" w:eastAsia="楷体_GB2312" w:cs="楷体_GB2312"/>
          <w:b/>
          <w:bCs/>
          <w:color w:val="auto"/>
          <w:sz w:val="32"/>
          <w:szCs w:val="32"/>
          <w:highlight w:val="none"/>
          <w:u w:val="none" w:color="auto"/>
          <w:lang w:val="en-US" w:eastAsia="zh-CN"/>
        </w:rPr>
        <w:t>3</w:t>
      </w:r>
      <w:r>
        <w:rPr>
          <w:rFonts w:hint="eastAsia" w:ascii="楷体_GB2312" w:hAnsi="楷体_GB2312" w:eastAsia="楷体_GB2312" w:cs="楷体_GB2312"/>
          <w:b/>
          <w:bCs/>
          <w:color w:val="auto"/>
          <w:sz w:val="32"/>
          <w:szCs w:val="32"/>
          <w:highlight w:val="none"/>
          <w:u w:val="none" w:color="auto"/>
        </w:rPr>
        <w:t>项）</w:t>
      </w:r>
    </w:p>
    <w:tbl>
      <w:tblPr>
        <w:tblStyle w:val="10"/>
        <w:tblW w:w="964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39"/>
        <w:gridCol w:w="7543"/>
        <w:gridCol w:w="13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blHeader/>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黑体" w:hAnsi="黑体" w:eastAsia="黑体" w:cs="黑体"/>
                <w:i w:val="0"/>
                <w:iCs w:val="0"/>
                <w:color w:val="auto"/>
                <w:sz w:val="26"/>
                <w:szCs w:val="26"/>
                <w:highlight w:val="none"/>
                <w:u w:val="none" w:color="auto"/>
              </w:rPr>
            </w:pPr>
            <w:r>
              <w:rPr>
                <w:rFonts w:hint="eastAsia" w:ascii="黑体" w:hAnsi="黑体" w:eastAsia="黑体" w:cs="黑体"/>
                <w:i w:val="0"/>
                <w:iCs w:val="0"/>
                <w:color w:val="auto"/>
                <w:kern w:val="0"/>
                <w:sz w:val="26"/>
                <w:szCs w:val="26"/>
                <w:highlight w:val="none"/>
                <w:u w:val="none" w:color="auto"/>
                <w:lang w:val="en-US" w:eastAsia="zh-CN"/>
              </w:rPr>
              <w:t>序号</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黑体" w:hAnsi="黑体" w:eastAsia="黑体" w:cs="黑体"/>
                <w:i w:val="0"/>
                <w:iCs w:val="0"/>
                <w:color w:val="auto"/>
                <w:sz w:val="26"/>
                <w:szCs w:val="26"/>
                <w:highlight w:val="none"/>
                <w:u w:val="none" w:color="auto"/>
              </w:rPr>
            </w:pPr>
            <w:r>
              <w:rPr>
                <w:rFonts w:hint="eastAsia" w:ascii="黑体" w:hAnsi="黑体" w:eastAsia="黑体" w:cs="黑体"/>
                <w:i w:val="0"/>
                <w:iCs w:val="0"/>
                <w:color w:val="auto"/>
                <w:kern w:val="0"/>
                <w:sz w:val="26"/>
                <w:szCs w:val="26"/>
                <w:highlight w:val="none"/>
                <w:u w:val="none" w:color="auto"/>
                <w:lang w:val="en-US" w:eastAsia="zh-CN"/>
              </w:rPr>
              <w:t>职权名称</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left="0" w:leftChars="0" w:firstLine="0" w:firstLineChars="0"/>
              <w:jc w:val="center"/>
              <w:textAlignment w:val="center"/>
              <w:rPr>
                <w:rFonts w:hint="eastAsia" w:ascii="黑体" w:hAnsi="黑体" w:eastAsia="黑体" w:cs="黑体"/>
                <w:i w:val="0"/>
                <w:iCs w:val="0"/>
                <w:color w:val="auto"/>
                <w:sz w:val="26"/>
                <w:szCs w:val="26"/>
                <w:highlight w:val="none"/>
                <w:u w:val="none" w:color="auto"/>
              </w:rPr>
            </w:pPr>
            <w:r>
              <w:rPr>
                <w:rFonts w:hint="eastAsia" w:ascii="黑体" w:hAnsi="黑体" w:eastAsia="黑体" w:cs="黑体"/>
                <w:i w:val="0"/>
                <w:iCs w:val="0"/>
                <w:color w:val="auto"/>
                <w:kern w:val="0"/>
                <w:sz w:val="26"/>
                <w:szCs w:val="26"/>
                <w:highlight w:val="none"/>
                <w:u w:val="none" w:color="auto"/>
                <w:lang w:val="en-US" w:eastAsia="zh-CN"/>
              </w:rPr>
              <w:t>职权类别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9645"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b/>
                <w:bCs/>
                <w:i w:val="0"/>
                <w:iCs w:val="0"/>
                <w:color w:val="auto"/>
                <w:sz w:val="26"/>
                <w:szCs w:val="26"/>
                <w:highlight w:val="none"/>
                <w:u w:val="none" w:color="auto"/>
              </w:rPr>
            </w:pPr>
            <w:r>
              <w:rPr>
                <w:rFonts w:hint="eastAsia" w:ascii="Times New Roman" w:hAnsi="Times New Roman" w:eastAsia="仿宋_GB2312" w:cs="仿宋"/>
                <w:b/>
                <w:bCs/>
                <w:i w:val="0"/>
                <w:iCs w:val="0"/>
                <w:color w:val="auto"/>
                <w:kern w:val="0"/>
                <w:sz w:val="26"/>
                <w:szCs w:val="26"/>
                <w:highlight w:val="none"/>
                <w:u w:val="none" w:color="auto"/>
                <w:lang w:val="en-US" w:eastAsia="zh-CN"/>
              </w:rPr>
              <w:t>一、行政许可（7项）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exac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1</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sz w:val="26"/>
                <w:szCs w:val="26"/>
                <w:highlight w:val="none"/>
                <w:u w:val="none" w:color="auto"/>
                <w:lang w:val="en-US" w:eastAsia="zh-CN"/>
              </w:rPr>
              <w:t>建设殡仪服务站及骨灰堂审批</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left="0" w:leftChars="0"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行政许可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exac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2</w:t>
            </w:r>
          </w:p>
        </w:tc>
        <w:tc>
          <w:tcPr>
            <w:tcW w:w="7543" w:type="dxa"/>
            <w:tcBorders>
              <w:top w:val="nil"/>
              <w:left w:val="nil"/>
              <w:bottom w:val="nil"/>
              <w:right w:val="nil"/>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sz w:val="26"/>
                <w:szCs w:val="26"/>
                <w:highlight w:val="none"/>
                <w:u w:val="none" w:color="auto"/>
                <w:lang w:val="en-US" w:eastAsia="zh-CN"/>
              </w:rPr>
              <w:t>经营性公墓建设审批</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行政许可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exac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3</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sz w:val="26"/>
                <w:szCs w:val="26"/>
                <w:highlight w:val="none"/>
                <w:u w:val="none" w:color="auto"/>
                <w:lang w:val="en-US" w:eastAsia="zh-CN"/>
              </w:rPr>
              <w:t>社会团体成立、变更、注销登记</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行政许可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exac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4</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sz w:val="26"/>
                <w:szCs w:val="26"/>
                <w:highlight w:val="none"/>
                <w:u w:val="none" w:color="auto"/>
                <w:lang w:val="en-US" w:eastAsia="zh-CN"/>
              </w:rPr>
              <w:t>民办非企业单位成立、变更、注销登记</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行政许可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exac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5</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sz w:val="26"/>
                <w:szCs w:val="26"/>
                <w:highlight w:val="none"/>
                <w:u w:val="none" w:color="auto"/>
                <w:lang w:val="en-US" w:eastAsia="zh-CN"/>
              </w:rPr>
              <w:t>公开募捐资格审核</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行政许可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exac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6</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sz w:val="26"/>
                <w:szCs w:val="26"/>
                <w:highlight w:val="none"/>
                <w:u w:val="none" w:color="auto"/>
                <w:lang w:val="en-US" w:eastAsia="zh-CN"/>
              </w:rPr>
              <w:t>社会团体修改章程核准</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行政许可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exac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7</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sz w:val="26"/>
                <w:szCs w:val="26"/>
                <w:highlight w:val="none"/>
                <w:u w:val="none" w:color="auto"/>
                <w:lang w:val="en-US" w:eastAsia="zh-CN"/>
              </w:rPr>
              <w:t>民办非企业单位修改章程核准</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行政许可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9645"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b/>
                <w:bCs/>
                <w:i w:val="0"/>
                <w:iCs w:val="0"/>
                <w:color w:val="auto"/>
                <w:sz w:val="26"/>
                <w:szCs w:val="26"/>
                <w:highlight w:val="none"/>
                <w:u w:val="none" w:color="auto"/>
              </w:rPr>
            </w:pPr>
            <w:r>
              <w:rPr>
                <w:rFonts w:hint="eastAsia" w:ascii="Times New Roman" w:hAnsi="Times New Roman" w:eastAsia="仿宋_GB2312" w:cs="仿宋"/>
                <w:b/>
                <w:bCs/>
                <w:i w:val="0"/>
                <w:iCs w:val="0"/>
                <w:color w:val="auto"/>
                <w:kern w:val="0"/>
                <w:sz w:val="26"/>
                <w:szCs w:val="26"/>
                <w:highlight w:val="none"/>
                <w:u w:val="none" w:color="auto"/>
                <w:lang w:val="en-US" w:eastAsia="zh-CN"/>
              </w:rPr>
              <w:t>二、行政处罚（15项）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exac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cs="仿宋"/>
                <w:i w:val="0"/>
                <w:iCs w:val="0"/>
                <w:color w:val="auto"/>
                <w:sz w:val="26"/>
                <w:szCs w:val="26"/>
                <w:highlight w:val="none"/>
                <w:u w:val="none" w:color="auto"/>
                <w:lang w:val="en-US" w:eastAsia="zh-CN"/>
              </w:rPr>
              <w:t>8</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eastAsia="仿宋_GB2312" w:cs="仿宋"/>
                <w:i w:val="0"/>
                <w:iCs w:val="0"/>
                <w:color w:val="auto"/>
                <w:sz w:val="26"/>
                <w:szCs w:val="26"/>
                <w:highlight w:val="none"/>
                <w:u w:val="none" w:color="auto"/>
                <w:lang w:val="en-US" w:eastAsia="zh-CN"/>
              </w:rPr>
              <w:t>未经批准，擅自兴建殡葬设施的处罚</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行政处罚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exac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cs="仿宋"/>
                <w:i w:val="0"/>
                <w:iCs w:val="0"/>
                <w:color w:val="auto"/>
                <w:sz w:val="26"/>
                <w:szCs w:val="26"/>
                <w:highlight w:val="none"/>
                <w:u w:val="none" w:color="auto"/>
                <w:lang w:val="en-US" w:eastAsia="zh-CN"/>
              </w:rPr>
              <w:t>9</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eastAsia="仿宋_GB2312" w:cs="仿宋"/>
                <w:i w:val="0"/>
                <w:iCs w:val="0"/>
                <w:color w:val="auto"/>
                <w:spacing w:val="-6"/>
                <w:sz w:val="26"/>
                <w:szCs w:val="26"/>
                <w:highlight w:val="none"/>
                <w:u w:val="none" w:color="auto"/>
                <w:lang w:val="en-US" w:eastAsia="zh-CN"/>
              </w:rPr>
              <w:t>墓穴占地面积超过省、自治区、直辖市人民政府规定的标准的处罚</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行政处罚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cs="仿宋"/>
                <w:i w:val="0"/>
                <w:iCs w:val="0"/>
                <w:color w:val="auto"/>
                <w:sz w:val="26"/>
                <w:szCs w:val="26"/>
                <w:highlight w:val="none"/>
                <w:u w:val="none" w:color="auto"/>
                <w:lang w:val="en-US" w:eastAsia="zh-CN"/>
              </w:rPr>
              <w:t>10</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eastAsia="仿宋_GB2312" w:cs="仿宋"/>
                <w:i w:val="0"/>
                <w:iCs w:val="0"/>
                <w:color w:val="auto"/>
                <w:sz w:val="26"/>
                <w:szCs w:val="26"/>
                <w:highlight w:val="none"/>
                <w:u w:val="none" w:color="auto"/>
                <w:lang w:val="en-US" w:eastAsia="zh-CN"/>
              </w:rPr>
              <w:t>制造、销售不符合国家技术标准的殡葬设备，制造、销售封建迷信殡葬用品的处罚</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行政处罚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exac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cs="仿宋"/>
                <w:i w:val="0"/>
                <w:iCs w:val="0"/>
                <w:color w:val="auto"/>
                <w:sz w:val="26"/>
                <w:szCs w:val="26"/>
                <w:highlight w:val="none"/>
                <w:u w:val="none" w:color="auto"/>
                <w:lang w:val="en-US" w:eastAsia="zh-CN"/>
              </w:rPr>
              <w:t>11</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eastAsia="仿宋_GB2312" w:cs="仿宋"/>
                <w:i w:val="0"/>
                <w:iCs w:val="0"/>
                <w:color w:val="auto"/>
                <w:sz w:val="26"/>
                <w:szCs w:val="26"/>
                <w:highlight w:val="none"/>
                <w:u w:val="none" w:color="auto"/>
                <w:lang w:val="en-US" w:eastAsia="zh-CN"/>
              </w:rPr>
              <w:t>故意损毁或者擅自移动界桩或者其他行政区域界线标志物的处罚</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行政处罚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cs="仿宋"/>
                <w:i w:val="0"/>
                <w:iCs w:val="0"/>
                <w:color w:val="auto"/>
                <w:sz w:val="26"/>
                <w:szCs w:val="26"/>
                <w:highlight w:val="none"/>
                <w:u w:val="none" w:color="auto"/>
                <w:lang w:val="en-US" w:eastAsia="zh-CN"/>
              </w:rPr>
              <w:t>12</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eastAsia="仿宋_GB2312" w:cs="仿宋"/>
                <w:i w:val="0"/>
                <w:iCs w:val="0"/>
                <w:color w:val="auto"/>
                <w:sz w:val="26"/>
                <w:szCs w:val="26"/>
                <w:highlight w:val="none"/>
                <w:u w:val="none" w:color="auto"/>
                <w:lang w:val="en-US" w:eastAsia="zh-CN"/>
              </w:rPr>
              <w:t>擅自对地名进行命名、更名与销名</w:t>
            </w:r>
            <w:r>
              <w:rPr>
                <w:rFonts w:hint="eastAsia" w:ascii="Times New Roman" w:hAnsi="Times New Roman" w:cs="仿宋"/>
                <w:i w:val="0"/>
                <w:iCs w:val="0"/>
                <w:color w:val="auto"/>
                <w:sz w:val="26"/>
                <w:szCs w:val="26"/>
                <w:highlight w:val="none"/>
                <w:u w:val="none" w:color="auto"/>
                <w:lang w:val="en-US" w:eastAsia="zh-CN"/>
              </w:rPr>
              <w:t>，</w:t>
            </w:r>
            <w:r>
              <w:rPr>
                <w:rFonts w:hint="eastAsia" w:ascii="Times New Roman" w:hAnsi="Times New Roman" w:eastAsia="仿宋_GB2312" w:cs="仿宋"/>
                <w:i w:val="0"/>
                <w:iCs w:val="0"/>
                <w:color w:val="auto"/>
                <w:sz w:val="26"/>
                <w:szCs w:val="26"/>
                <w:highlight w:val="none"/>
                <w:u w:val="none" w:color="auto"/>
                <w:lang w:val="en-US" w:eastAsia="zh-CN"/>
              </w:rPr>
              <w:t>公开使用未经批准的地名</w:t>
            </w:r>
            <w:r>
              <w:rPr>
                <w:rFonts w:hint="eastAsia" w:ascii="Times New Roman" w:hAnsi="Times New Roman" w:cs="仿宋"/>
                <w:i w:val="0"/>
                <w:iCs w:val="0"/>
                <w:color w:val="auto"/>
                <w:sz w:val="26"/>
                <w:szCs w:val="26"/>
                <w:highlight w:val="none"/>
                <w:u w:val="none" w:color="auto"/>
                <w:lang w:val="en-US" w:eastAsia="zh-CN"/>
              </w:rPr>
              <w:t>，</w:t>
            </w:r>
            <w:r>
              <w:rPr>
                <w:rFonts w:hint="eastAsia" w:ascii="Times New Roman" w:hAnsi="Times New Roman" w:eastAsia="仿宋_GB2312" w:cs="仿宋"/>
                <w:i w:val="0"/>
                <w:iCs w:val="0"/>
                <w:color w:val="auto"/>
                <w:sz w:val="26"/>
                <w:szCs w:val="26"/>
                <w:highlight w:val="none"/>
                <w:u w:val="none" w:color="auto"/>
                <w:lang w:val="en-US" w:eastAsia="zh-CN"/>
              </w:rPr>
              <w:t>擅自设置、移动、涂改、遮盖、损毁地名标志的处罚</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行政处罚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cs="仿宋"/>
                <w:i w:val="0"/>
                <w:iCs w:val="0"/>
                <w:color w:val="auto"/>
                <w:sz w:val="26"/>
                <w:szCs w:val="26"/>
                <w:highlight w:val="none"/>
                <w:u w:val="none" w:color="auto"/>
                <w:lang w:val="en-US" w:eastAsia="zh-CN"/>
              </w:rPr>
              <w:t>13</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eastAsia="仿宋_GB2312" w:cs="仿宋"/>
                <w:i w:val="0"/>
                <w:iCs w:val="0"/>
                <w:color w:val="auto"/>
                <w:sz w:val="26"/>
                <w:szCs w:val="26"/>
                <w:highlight w:val="none"/>
                <w:u w:val="none" w:color="auto"/>
                <w:lang w:val="en-US" w:eastAsia="zh-CN"/>
              </w:rPr>
              <w:t>擅自编制行政区域界线详图，或者绘制的地图的行政区域界线的画法与行政区域界线详图的画法不一致的处罚</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行政处罚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cs="仿宋"/>
                <w:i w:val="0"/>
                <w:iCs w:val="0"/>
                <w:color w:val="auto"/>
                <w:sz w:val="26"/>
                <w:szCs w:val="26"/>
                <w:highlight w:val="none"/>
                <w:u w:val="none" w:color="auto"/>
                <w:lang w:val="en-US" w:eastAsia="zh-CN"/>
              </w:rPr>
              <w:t>14</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eastAsia="仿宋_GB2312" w:cs="仿宋"/>
                <w:i w:val="0"/>
                <w:iCs w:val="0"/>
                <w:color w:val="auto"/>
                <w:sz w:val="26"/>
                <w:szCs w:val="26"/>
                <w:highlight w:val="none"/>
                <w:u w:val="none" w:color="auto"/>
                <w:lang w:val="en-US" w:eastAsia="zh-CN"/>
              </w:rPr>
              <w:t>社会团体在申请登记时弄虚作假，骗取登记的，或者自取得社会团体法人登记证书之日起1年未开展活动的处罚</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行政处罚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0" w:hRule="atLeas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cs="仿宋"/>
                <w:i w:val="0"/>
                <w:iCs w:val="0"/>
                <w:color w:val="auto"/>
                <w:sz w:val="26"/>
                <w:szCs w:val="26"/>
                <w:highlight w:val="none"/>
                <w:u w:val="none" w:color="auto"/>
                <w:lang w:val="en-US" w:eastAsia="zh-CN"/>
              </w:rPr>
              <w:t>15</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eastAsia="仿宋_GB2312" w:cs="仿宋"/>
                <w:i w:val="0"/>
                <w:iCs w:val="0"/>
                <w:color w:val="auto"/>
                <w:sz w:val="26"/>
                <w:szCs w:val="26"/>
                <w:highlight w:val="none"/>
                <w:u w:val="none" w:color="auto"/>
                <w:lang w:val="en-US" w:eastAsia="zh-CN"/>
              </w:rPr>
              <w:t>社会团体涂改、出租、出借社会团体法人证书，或者出租、出借社会团体印章；超出章程规定的宗旨和业务范围进行活动；拒不接受或者不按照规定接受监督检查；不按照规定办理变更登记；违反规定设立分支机构、代表机构，或者对分支机构、代表机构疏于管理，造成严重后果的；从事营利性的经营活动的；侵占、私分、挪用社会团体资产或者所接受的捐赠、资助的；违反国家有关规定收取费用、筹集资金或者接受、使用捐赠、资助的处罚</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行政处罚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cs="仿宋"/>
                <w:i w:val="0"/>
                <w:iCs w:val="0"/>
                <w:color w:val="auto"/>
                <w:sz w:val="26"/>
                <w:szCs w:val="26"/>
                <w:highlight w:val="none"/>
                <w:u w:val="none" w:color="auto"/>
                <w:lang w:val="en-US" w:eastAsia="zh-CN"/>
              </w:rPr>
              <w:t>16</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eastAsia="仿宋_GB2312" w:cs="仿宋"/>
                <w:i w:val="0"/>
                <w:iCs w:val="0"/>
                <w:color w:val="auto"/>
                <w:sz w:val="26"/>
                <w:szCs w:val="26"/>
                <w:highlight w:val="none"/>
                <w:u w:val="none" w:color="auto"/>
                <w:lang w:val="en-US" w:eastAsia="zh-CN"/>
              </w:rPr>
              <w:t>社会团体的活动违反其他法律、法规的，有关国家机关认为应当撤销登记的处罚</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行政处罚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4" w:hRule="atLeas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cs="仿宋"/>
                <w:i w:val="0"/>
                <w:iCs w:val="0"/>
                <w:color w:val="auto"/>
                <w:sz w:val="26"/>
                <w:szCs w:val="26"/>
                <w:highlight w:val="none"/>
                <w:u w:val="none" w:color="auto"/>
                <w:lang w:val="en-US" w:eastAsia="zh-CN"/>
              </w:rPr>
              <w:t>17</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eastAsia="仿宋_GB2312" w:cs="仿宋"/>
                <w:i w:val="0"/>
                <w:iCs w:val="0"/>
                <w:color w:val="auto"/>
                <w:sz w:val="26"/>
                <w:szCs w:val="26"/>
                <w:highlight w:val="none"/>
                <w:u w:val="none" w:color="auto"/>
                <w:lang w:val="en-US" w:eastAsia="zh-CN"/>
              </w:rPr>
              <w:t>筹备期间开展筹备以外的活动，或者未经登记，擅自以社会团体名义进行活动，以及被撤销登记的社会团体继续以社会团体的名义进行活动的处罚</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行政处罚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4" w:hRule="atLeas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cs="仿宋"/>
                <w:i w:val="0"/>
                <w:iCs w:val="0"/>
                <w:color w:val="auto"/>
                <w:sz w:val="26"/>
                <w:szCs w:val="26"/>
                <w:highlight w:val="none"/>
                <w:u w:val="none" w:color="auto"/>
                <w:lang w:val="en-US" w:eastAsia="zh-CN"/>
              </w:rPr>
              <w:t>18</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eastAsia="仿宋_GB2312" w:cs="仿宋"/>
                <w:i w:val="0"/>
                <w:iCs w:val="0"/>
                <w:color w:val="auto"/>
                <w:sz w:val="26"/>
                <w:szCs w:val="26"/>
                <w:highlight w:val="none"/>
                <w:u w:val="none" w:color="auto"/>
                <w:lang w:val="en-US" w:eastAsia="zh-CN"/>
              </w:rPr>
              <w:t>民办非企业单位在申请登记时弄虚作假，骗取登记的，或者业务主管单位撤销批准的处罚</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行政处罚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8" w:hRule="atLeas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cs="仿宋"/>
                <w:i w:val="0"/>
                <w:iCs w:val="0"/>
                <w:color w:val="auto"/>
                <w:sz w:val="26"/>
                <w:szCs w:val="26"/>
                <w:highlight w:val="none"/>
                <w:u w:val="none" w:color="auto"/>
                <w:lang w:val="en-US" w:eastAsia="zh-CN"/>
              </w:rPr>
              <w:t>19</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eastAsia="仿宋_GB2312" w:cs="仿宋"/>
                <w:i w:val="0"/>
                <w:iCs w:val="0"/>
                <w:color w:val="auto"/>
                <w:sz w:val="26"/>
                <w:szCs w:val="26"/>
                <w:highlight w:val="none"/>
                <w:u w:val="none" w:color="auto"/>
                <w:lang w:val="en-US" w:eastAsia="zh-CN"/>
              </w:rPr>
              <w:t>涂改、出租、出借民办非企业单位登记证书，或者出租、出借民办非企业单位印章的；民办非企业单位超出章程规定的宗旨和业务范围进行活动的；拒不接受或者不按照规定接受监督检查的；不按照规定办理变更登记的；设立分支机构的；从事营利性的经营活动的；侵占、私分、挪用民办非企业单位的资产或者所接受的捐赠、资助的；违反国家有关规定收取费用、筹集资金或者接受、使用捐赠、资助的处罚</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行政处罚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4" w:hRule="atLeas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cs="仿宋"/>
                <w:i w:val="0"/>
                <w:iCs w:val="0"/>
                <w:color w:val="auto"/>
                <w:sz w:val="26"/>
                <w:szCs w:val="26"/>
                <w:highlight w:val="none"/>
                <w:u w:val="none" w:color="auto"/>
                <w:lang w:val="en-US" w:eastAsia="zh-CN"/>
              </w:rPr>
              <w:t>20</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eastAsia="仿宋_GB2312" w:cs="仿宋"/>
                <w:i w:val="0"/>
                <w:iCs w:val="0"/>
                <w:color w:val="auto"/>
                <w:sz w:val="26"/>
                <w:szCs w:val="26"/>
                <w:highlight w:val="none"/>
                <w:u w:val="none" w:color="auto"/>
                <w:lang w:val="en-US" w:eastAsia="zh-CN"/>
              </w:rPr>
              <w:t>未经登记，擅自以民办非企业单位的名义进行活动的，或者被撤销登记的民办非企业单位继续以民办非企业单位的名义进行活动的处罚</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行政处罚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cs="仿宋"/>
                <w:i w:val="0"/>
                <w:iCs w:val="0"/>
                <w:color w:val="auto"/>
                <w:sz w:val="26"/>
                <w:szCs w:val="26"/>
                <w:highlight w:val="none"/>
                <w:u w:val="none" w:color="auto"/>
                <w:lang w:val="en-US" w:eastAsia="zh-CN"/>
              </w:rPr>
              <w:t>21</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eastAsia="仿宋_GB2312" w:cs="仿宋"/>
                <w:i w:val="0"/>
                <w:iCs w:val="0"/>
                <w:color w:val="auto"/>
                <w:sz w:val="26"/>
                <w:szCs w:val="26"/>
                <w:highlight w:val="none"/>
                <w:u w:val="none" w:color="auto"/>
                <w:lang w:val="en-US" w:eastAsia="zh-CN"/>
              </w:rPr>
              <w:t>民办非企业单位的活动违反其他法律、法规，有关国家机关认为应当撤销登记的处罚</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行政处罚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cs="仿宋"/>
                <w:i w:val="0"/>
                <w:iCs w:val="0"/>
                <w:color w:val="auto"/>
                <w:sz w:val="26"/>
                <w:szCs w:val="26"/>
                <w:highlight w:val="none"/>
                <w:u w:val="none" w:color="auto"/>
                <w:lang w:val="en-US" w:eastAsia="zh-CN"/>
              </w:rPr>
              <w:t>22</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eastAsia="仿宋_GB2312" w:cs="仿宋"/>
                <w:i w:val="0"/>
                <w:iCs w:val="0"/>
                <w:color w:val="auto"/>
                <w:sz w:val="26"/>
                <w:szCs w:val="26"/>
                <w:highlight w:val="none"/>
                <w:u w:val="none" w:color="auto"/>
                <w:lang w:val="en-US" w:eastAsia="zh-CN"/>
              </w:rPr>
              <w:t>对违规养老机构的行政处罚</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行政处罚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9645"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b/>
                <w:bCs/>
                <w:i w:val="0"/>
                <w:iCs w:val="0"/>
                <w:color w:val="auto"/>
                <w:sz w:val="26"/>
                <w:szCs w:val="26"/>
                <w:highlight w:val="none"/>
                <w:u w:val="none" w:color="auto"/>
              </w:rPr>
            </w:pPr>
            <w:r>
              <w:rPr>
                <w:rFonts w:hint="eastAsia" w:ascii="Times New Roman" w:hAnsi="Times New Roman" w:eastAsia="仿宋_GB2312" w:cs="仿宋"/>
                <w:b/>
                <w:bCs/>
                <w:i w:val="0"/>
                <w:iCs w:val="0"/>
                <w:color w:val="auto"/>
                <w:kern w:val="0"/>
                <w:sz w:val="26"/>
                <w:szCs w:val="26"/>
                <w:highlight w:val="none"/>
                <w:u w:val="none" w:color="auto"/>
                <w:lang w:val="en-US" w:eastAsia="zh-CN"/>
              </w:rPr>
              <w:t>三、行政强制（4项）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cs="仿宋"/>
                <w:i w:val="0"/>
                <w:iCs w:val="0"/>
                <w:color w:val="auto"/>
                <w:sz w:val="26"/>
                <w:szCs w:val="26"/>
                <w:highlight w:val="none"/>
                <w:u w:val="none" w:color="auto"/>
                <w:lang w:val="en-US" w:eastAsia="zh-CN"/>
              </w:rPr>
              <w:t>23</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收缴民办非企业单位登记证书、印章</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行政强制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cs="仿宋"/>
                <w:i w:val="0"/>
                <w:iCs w:val="0"/>
                <w:color w:val="auto"/>
                <w:sz w:val="26"/>
                <w:szCs w:val="26"/>
                <w:highlight w:val="none"/>
                <w:u w:val="none" w:color="auto"/>
                <w:lang w:val="en-US" w:eastAsia="zh-CN"/>
              </w:rPr>
              <w:t>24</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封存民办非企业单位登记证书、印章、财务凭证</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行政强制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cs="仿宋"/>
                <w:i w:val="0"/>
                <w:iCs w:val="0"/>
                <w:color w:val="auto"/>
                <w:sz w:val="26"/>
                <w:szCs w:val="26"/>
                <w:highlight w:val="none"/>
                <w:u w:val="none" w:color="auto"/>
                <w:lang w:val="en-US" w:eastAsia="zh-CN"/>
              </w:rPr>
              <w:t>25</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收缴社会团体法人登记证书和印章</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行政强制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cs="仿宋"/>
                <w:i w:val="0"/>
                <w:iCs w:val="0"/>
                <w:color w:val="auto"/>
                <w:sz w:val="26"/>
                <w:szCs w:val="26"/>
                <w:highlight w:val="none"/>
                <w:u w:val="none" w:color="auto"/>
                <w:lang w:val="en-US" w:eastAsia="zh-CN"/>
              </w:rPr>
              <w:t>26</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封存社会团体法人登记证书、印章、财务凭证</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行政强制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9645"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b/>
                <w:bCs/>
                <w:i w:val="0"/>
                <w:iCs w:val="0"/>
                <w:color w:val="auto"/>
                <w:sz w:val="26"/>
                <w:szCs w:val="26"/>
                <w:highlight w:val="none"/>
                <w:u w:val="none" w:color="auto"/>
              </w:rPr>
            </w:pPr>
            <w:r>
              <w:rPr>
                <w:rFonts w:hint="eastAsia" w:ascii="Times New Roman" w:hAnsi="Times New Roman" w:eastAsia="仿宋_GB2312" w:cs="仿宋"/>
                <w:b/>
                <w:bCs/>
                <w:i w:val="0"/>
                <w:iCs w:val="0"/>
                <w:color w:val="auto"/>
                <w:kern w:val="0"/>
                <w:sz w:val="26"/>
                <w:szCs w:val="26"/>
                <w:highlight w:val="none"/>
                <w:u w:val="none" w:color="auto"/>
                <w:lang w:val="en-US" w:eastAsia="zh-CN"/>
              </w:rPr>
              <w:t>四、行政征收（0项）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9645"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b/>
                <w:bCs/>
                <w:i w:val="0"/>
                <w:iCs w:val="0"/>
                <w:color w:val="auto"/>
                <w:sz w:val="26"/>
                <w:szCs w:val="26"/>
                <w:highlight w:val="none"/>
                <w:u w:val="none" w:color="auto"/>
              </w:rPr>
            </w:pPr>
            <w:r>
              <w:rPr>
                <w:rFonts w:hint="eastAsia" w:ascii="Times New Roman" w:hAnsi="Times New Roman" w:eastAsia="仿宋_GB2312" w:cs="仿宋"/>
                <w:b/>
                <w:bCs/>
                <w:i w:val="0"/>
                <w:iCs w:val="0"/>
                <w:color w:val="auto"/>
                <w:kern w:val="0"/>
                <w:sz w:val="26"/>
                <w:szCs w:val="26"/>
                <w:highlight w:val="none"/>
                <w:u w:val="none" w:color="auto"/>
                <w:lang w:val="en-US" w:eastAsia="zh-CN"/>
              </w:rPr>
              <w:t>五、行政给付（1项）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i w:val="0"/>
                <w:iCs w:val="0"/>
                <w:color w:val="auto"/>
                <w:sz w:val="26"/>
                <w:szCs w:val="26"/>
                <w:highlight w:val="none"/>
                <w:u w:val="none" w:color="auto"/>
                <w:lang w:val="en-US"/>
              </w:rPr>
            </w:pPr>
            <w:r>
              <w:rPr>
                <w:rFonts w:hint="eastAsia" w:ascii="Times New Roman" w:hAnsi="Times New Roman" w:cs="仿宋"/>
                <w:i w:val="0"/>
                <w:iCs w:val="0"/>
                <w:color w:val="auto"/>
                <w:kern w:val="0"/>
                <w:sz w:val="26"/>
                <w:szCs w:val="26"/>
                <w:highlight w:val="none"/>
                <w:u w:val="none" w:color="auto"/>
                <w:lang w:val="en-US" w:eastAsia="zh-CN"/>
              </w:rPr>
              <w:t>27</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城市生活无着的流浪乞讨人员救助</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行政给付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jc w:val="center"/>
        </w:trPr>
        <w:tc>
          <w:tcPr>
            <w:tcW w:w="9645"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b/>
                <w:bCs/>
                <w:i w:val="0"/>
                <w:iCs w:val="0"/>
                <w:color w:val="auto"/>
                <w:sz w:val="26"/>
                <w:szCs w:val="26"/>
                <w:highlight w:val="none"/>
                <w:u w:val="none" w:color="auto"/>
              </w:rPr>
            </w:pPr>
            <w:r>
              <w:rPr>
                <w:rFonts w:hint="eastAsia" w:ascii="Times New Roman" w:hAnsi="Times New Roman" w:eastAsia="仿宋_GB2312" w:cs="仿宋"/>
                <w:b/>
                <w:bCs/>
                <w:i w:val="0"/>
                <w:iCs w:val="0"/>
                <w:color w:val="auto"/>
                <w:kern w:val="0"/>
                <w:sz w:val="26"/>
                <w:szCs w:val="26"/>
                <w:highlight w:val="none"/>
                <w:u w:val="none" w:color="auto"/>
                <w:lang w:val="en-US" w:eastAsia="zh-CN"/>
              </w:rPr>
              <w:t>六、行政检查（7项）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cs="仿宋"/>
                <w:i w:val="0"/>
                <w:iCs w:val="0"/>
                <w:color w:val="auto"/>
                <w:sz w:val="26"/>
                <w:szCs w:val="26"/>
                <w:highlight w:val="none"/>
                <w:u w:val="none" w:color="auto"/>
                <w:lang w:val="en-US" w:eastAsia="zh-CN"/>
              </w:rPr>
              <w:t>28</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经营性公墓检查</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cs="仿宋"/>
                <w:i w:val="0"/>
                <w:iCs w:val="0"/>
                <w:color w:val="auto"/>
                <w:sz w:val="26"/>
                <w:szCs w:val="26"/>
                <w:highlight w:val="none"/>
                <w:u w:val="none" w:color="auto"/>
                <w:lang w:val="en-US" w:eastAsia="zh-CN"/>
              </w:rPr>
              <w:t>29</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对社会救助工作进行检查</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cs="仿宋"/>
                <w:i w:val="0"/>
                <w:iCs w:val="0"/>
                <w:color w:val="auto"/>
                <w:sz w:val="26"/>
                <w:szCs w:val="26"/>
                <w:highlight w:val="none"/>
                <w:u w:val="none" w:color="auto"/>
                <w:lang w:val="en-US" w:eastAsia="zh-CN"/>
              </w:rPr>
              <w:t>30</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对行政区域界线进行联合检查</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cs="仿宋"/>
                <w:i w:val="0"/>
                <w:iCs w:val="0"/>
                <w:color w:val="auto"/>
                <w:sz w:val="26"/>
                <w:szCs w:val="26"/>
                <w:highlight w:val="none"/>
                <w:u w:val="none" w:color="auto"/>
                <w:lang w:val="en-US" w:eastAsia="zh-CN"/>
              </w:rPr>
              <w:t>31</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对社会团体活动行为的行政检查</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cs="仿宋"/>
                <w:i w:val="0"/>
                <w:iCs w:val="0"/>
                <w:color w:val="auto"/>
                <w:sz w:val="26"/>
                <w:szCs w:val="26"/>
                <w:highlight w:val="none"/>
                <w:u w:val="none" w:color="auto"/>
                <w:lang w:val="en-US" w:eastAsia="zh-CN"/>
              </w:rPr>
              <w:t>32</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 xml:space="preserve">对民办非企业单位活动行为的行政检查 </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cs="仿宋"/>
                <w:i w:val="0"/>
                <w:iCs w:val="0"/>
                <w:color w:val="auto"/>
                <w:sz w:val="26"/>
                <w:szCs w:val="26"/>
                <w:highlight w:val="none"/>
                <w:u w:val="none" w:color="auto"/>
                <w:lang w:val="en-US" w:eastAsia="zh-CN"/>
              </w:rPr>
              <w:t>33</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对慈善组织活动的行政检查</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cs="仿宋"/>
                <w:i w:val="0"/>
                <w:iCs w:val="0"/>
                <w:color w:val="auto"/>
                <w:sz w:val="26"/>
                <w:szCs w:val="26"/>
                <w:highlight w:val="none"/>
                <w:u w:val="none" w:color="auto"/>
                <w:lang w:val="en-US" w:eastAsia="zh-CN"/>
              </w:rPr>
              <w:t>34</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对涉嫌违规的养老机构的检查</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9645"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b/>
                <w:bCs/>
                <w:i w:val="0"/>
                <w:iCs w:val="0"/>
                <w:color w:val="auto"/>
                <w:sz w:val="26"/>
                <w:szCs w:val="26"/>
                <w:highlight w:val="none"/>
                <w:u w:val="none" w:color="auto"/>
              </w:rPr>
            </w:pPr>
            <w:r>
              <w:rPr>
                <w:rFonts w:hint="eastAsia" w:ascii="Times New Roman" w:hAnsi="Times New Roman" w:eastAsia="仿宋_GB2312" w:cs="仿宋"/>
                <w:b/>
                <w:bCs/>
                <w:i w:val="0"/>
                <w:iCs w:val="0"/>
                <w:color w:val="auto"/>
                <w:kern w:val="0"/>
                <w:sz w:val="26"/>
                <w:szCs w:val="26"/>
                <w:highlight w:val="none"/>
                <w:u w:val="none" w:color="auto"/>
                <w:lang w:val="en-US" w:eastAsia="zh-CN"/>
              </w:rPr>
              <w:t>七、行政确认（</w:t>
            </w:r>
            <w:r>
              <w:rPr>
                <w:rFonts w:hint="eastAsia" w:ascii="Times New Roman" w:hAnsi="Times New Roman" w:cs="仿宋"/>
                <w:b/>
                <w:bCs/>
                <w:i w:val="0"/>
                <w:iCs w:val="0"/>
                <w:color w:val="auto"/>
                <w:kern w:val="0"/>
                <w:sz w:val="26"/>
                <w:szCs w:val="26"/>
                <w:highlight w:val="none"/>
                <w:u w:val="none" w:color="auto"/>
                <w:lang w:val="en-US" w:eastAsia="zh-CN"/>
              </w:rPr>
              <w:t>5</w:t>
            </w:r>
            <w:r>
              <w:rPr>
                <w:rFonts w:hint="eastAsia" w:ascii="Times New Roman" w:hAnsi="Times New Roman" w:eastAsia="仿宋_GB2312" w:cs="仿宋"/>
                <w:b/>
                <w:bCs/>
                <w:i w:val="0"/>
                <w:iCs w:val="0"/>
                <w:color w:val="auto"/>
                <w:kern w:val="0"/>
                <w:sz w:val="26"/>
                <w:szCs w:val="26"/>
                <w:highlight w:val="none"/>
                <w:u w:val="none" w:color="auto"/>
                <w:lang w:val="en-US" w:eastAsia="zh-CN"/>
              </w:rPr>
              <w:t>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i w:val="0"/>
                <w:iCs w:val="0"/>
                <w:color w:val="auto"/>
                <w:sz w:val="26"/>
                <w:szCs w:val="26"/>
                <w:highlight w:val="none"/>
                <w:u w:val="none" w:color="auto"/>
                <w:lang w:val="en-US"/>
              </w:rPr>
            </w:pPr>
            <w:r>
              <w:rPr>
                <w:rFonts w:hint="eastAsia" w:ascii="Times New Roman" w:hAnsi="Times New Roman" w:cs="仿宋"/>
                <w:i w:val="0"/>
                <w:iCs w:val="0"/>
                <w:color w:val="auto"/>
                <w:kern w:val="0"/>
                <w:sz w:val="26"/>
                <w:szCs w:val="26"/>
                <w:highlight w:val="none"/>
                <w:u w:val="none" w:color="auto"/>
                <w:lang w:val="en-US" w:eastAsia="zh-CN"/>
              </w:rPr>
              <w:t>35</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内地居民同香港居民、澳门居民、台湾居民在中国内地办理离婚登记</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行政确认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cs="仿宋"/>
                <w:i w:val="0"/>
                <w:iCs w:val="0"/>
                <w:color w:val="auto"/>
                <w:sz w:val="26"/>
                <w:szCs w:val="26"/>
                <w:highlight w:val="none"/>
                <w:u w:val="none" w:color="auto"/>
                <w:lang w:val="en-US" w:eastAsia="zh-CN"/>
              </w:rPr>
              <w:t>36</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内地居民同香港居民、澳门居民、台湾居民在中国内地办理结婚登记、补办结婚登记</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行政确认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cs="仿宋"/>
                <w:i w:val="0"/>
                <w:iCs w:val="0"/>
                <w:color w:val="auto"/>
                <w:sz w:val="26"/>
                <w:szCs w:val="26"/>
                <w:highlight w:val="none"/>
                <w:u w:val="none" w:color="auto"/>
                <w:lang w:val="en-US" w:eastAsia="zh-CN"/>
              </w:rPr>
              <w:t>37</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华侨及居住在香港、澳门、台湾地区的中国公民在内地收养登记</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行政确认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exac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cs="仿宋"/>
                <w:i w:val="0"/>
                <w:iCs w:val="0"/>
                <w:color w:val="auto"/>
                <w:sz w:val="26"/>
                <w:szCs w:val="26"/>
                <w:highlight w:val="none"/>
                <w:u w:val="none" w:color="auto"/>
                <w:lang w:val="en-US" w:eastAsia="zh-CN"/>
              </w:rPr>
              <w:t>38</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慈善组织认定</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行政确认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exac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i w:val="0"/>
                <w:iCs w:val="0"/>
                <w:color w:val="auto"/>
                <w:kern w:val="0"/>
                <w:sz w:val="26"/>
                <w:szCs w:val="26"/>
                <w:highlight w:val="none"/>
                <w:u w:val="none" w:color="auto"/>
                <w:lang w:val="en-US" w:eastAsia="zh-CN"/>
              </w:rPr>
            </w:pPr>
            <w:r>
              <w:rPr>
                <w:rFonts w:hint="eastAsia" w:ascii="Times New Roman" w:hAnsi="Times New Roman" w:cs="仿宋"/>
                <w:i w:val="0"/>
                <w:iCs w:val="0"/>
                <w:color w:val="auto"/>
                <w:kern w:val="0"/>
                <w:sz w:val="26"/>
                <w:szCs w:val="26"/>
                <w:highlight w:val="none"/>
                <w:u w:val="none" w:color="auto"/>
                <w:lang w:val="en-US" w:eastAsia="zh-CN"/>
              </w:rPr>
              <w:t>39</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b/>
                <w:bCs/>
                <w:i w:val="0"/>
                <w:iCs w:val="0"/>
                <w:color w:val="auto"/>
                <w:kern w:val="0"/>
                <w:sz w:val="26"/>
                <w:szCs w:val="26"/>
                <w:highlight w:val="none"/>
                <w:u w:val="none" w:color="auto"/>
                <w:lang w:val="en-US" w:eastAsia="zh-CN"/>
              </w:rPr>
            </w:pPr>
            <w:r>
              <w:rPr>
                <w:rFonts w:hint="eastAsia" w:ascii="Times New Roman" w:hAnsi="Times New Roman" w:eastAsia="仿宋_GB2312" w:cs="仿宋"/>
                <w:i w:val="0"/>
                <w:iCs w:val="0"/>
                <w:color w:val="auto"/>
                <w:kern w:val="0"/>
                <w:sz w:val="26"/>
                <w:szCs w:val="26"/>
                <w:highlight w:val="none"/>
                <w:u w:val="none" w:color="auto"/>
                <w:lang w:val="en-US" w:eastAsia="zh-CN"/>
              </w:rPr>
              <w:t>撤销中国公民收养登记</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kern w:val="0"/>
                <w:sz w:val="26"/>
                <w:szCs w:val="26"/>
                <w:highlight w:val="none"/>
                <w:u w:val="none" w:color="auto"/>
                <w:lang w:val="en-US" w:eastAsia="zh-CN"/>
              </w:rPr>
            </w:pPr>
            <w:r>
              <w:rPr>
                <w:rFonts w:hint="eastAsia" w:ascii="Times New Roman" w:hAnsi="Times New Roman" w:eastAsia="仿宋_GB2312" w:cs="仿宋"/>
                <w:i w:val="0"/>
                <w:iCs w:val="0"/>
                <w:color w:val="auto"/>
                <w:kern w:val="0"/>
                <w:sz w:val="26"/>
                <w:szCs w:val="26"/>
                <w:highlight w:val="none"/>
                <w:u w:val="none" w:color="auto"/>
                <w:lang w:val="en-US" w:eastAsia="zh-CN"/>
              </w:rPr>
              <w:t>行政确认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exact"/>
          <w:jc w:val="center"/>
        </w:trPr>
        <w:tc>
          <w:tcPr>
            <w:tcW w:w="9645"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b/>
                <w:bCs/>
                <w:i w:val="0"/>
                <w:iCs w:val="0"/>
                <w:color w:val="auto"/>
                <w:sz w:val="26"/>
                <w:szCs w:val="26"/>
                <w:highlight w:val="none"/>
                <w:u w:val="none" w:color="auto"/>
              </w:rPr>
            </w:pPr>
            <w:r>
              <w:rPr>
                <w:rFonts w:hint="eastAsia" w:ascii="Times New Roman" w:hAnsi="Times New Roman" w:eastAsia="仿宋_GB2312" w:cs="仿宋"/>
                <w:b/>
                <w:bCs/>
                <w:i w:val="0"/>
                <w:iCs w:val="0"/>
                <w:color w:val="auto"/>
                <w:kern w:val="0"/>
                <w:sz w:val="26"/>
                <w:szCs w:val="26"/>
                <w:highlight w:val="none"/>
                <w:u w:val="none" w:color="auto"/>
                <w:lang w:val="en-US" w:eastAsia="zh-CN"/>
              </w:rPr>
              <w:t>八、行政裁决（0项）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exact"/>
          <w:jc w:val="center"/>
        </w:trPr>
        <w:tc>
          <w:tcPr>
            <w:tcW w:w="9645"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b/>
                <w:bCs/>
                <w:i w:val="0"/>
                <w:iCs w:val="0"/>
                <w:color w:val="auto"/>
                <w:sz w:val="26"/>
                <w:szCs w:val="26"/>
                <w:highlight w:val="none"/>
                <w:u w:val="none" w:color="auto"/>
              </w:rPr>
            </w:pPr>
            <w:r>
              <w:rPr>
                <w:rFonts w:hint="eastAsia" w:ascii="Times New Roman" w:hAnsi="Times New Roman" w:eastAsia="仿宋_GB2312" w:cs="仿宋"/>
                <w:b/>
                <w:bCs/>
                <w:i w:val="0"/>
                <w:iCs w:val="0"/>
                <w:color w:val="auto"/>
                <w:kern w:val="0"/>
                <w:sz w:val="26"/>
                <w:szCs w:val="26"/>
                <w:highlight w:val="none"/>
                <w:u w:val="none" w:color="auto"/>
                <w:lang w:val="en-US" w:eastAsia="zh-CN"/>
              </w:rPr>
              <w:t>九、行政奖励（2项）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exac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cs="仿宋"/>
                <w:i w:val="0"/>
                <w:iCs w:val="0"/>
                <w:color w:val="auto"/>
                <w:sz w:val="26"/>
                <w:szCs w:val="26"/>
                <w:highlight w:val="none"/>
                <w:u w:val="none" w:color="auto"/>
                <w:lang w:val="en-US" w:eastAsia="zh-CN"/>
              </w:rPr>
              <w:t>40</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对在社会救助工作中成绩显著的单位和个人进行表彰奖励</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行政奖励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exac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cs="仿宋"/>
                <w:i w:val="0"/>
                <w:iCs w:val="0"/>
                <w:color w:val="auto"/>
                <w:sz w:val="26"/>
                <w:szCs w:val="26"/>
                <w:highlight w:val="none"/>
                <w:u w:val="none" w:color="auto"/>
                <w:lang w:val="en-US" w:eastAsia="zh-CN"/>
              </w:rPr>
              <w:t>41</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慈善表彰</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行政奖励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exact"/>
          <w:jc w:val="center"/>
        </w:trPr>
        <w:tc>
          <w:tcPr>
            <w:tcW w:w="9645"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b/>
                <w:bCs/>
                <w:i w:val="0"/>
                <w:iCs w:val="0"/>
                <w:color w:val="auto"/>
                <w:sz w:val="26"/>
                <w:szCs w:val="26"/>
                <w:highlight w:val="none"/>
                <w:u w:val="none" w:color="auto"/>
              </w:rPr>
            </w:pPr>
            <w:r>
              <w:rPr>
                <w:rFonts w:hint="eastAsia" w:ascii="Times New Roman" w:hAnsi="Times New Roman" w:eastAsia="仿宋_GB2312" w:cs="仿宋"/>
                <w:b/>
                <w:bCs/>
                <w:i w:val="0"/>
                <w:iCs w:val="0"/>
                <w:color w:val="auto"/>
                <w:kern w:val="0"/>
                <w:sz w:val="26"/>
                <w:szCs w:val="26"/>
                <w:highlight w:val="none"/>
                <w:u w:val="none" w:color="auto"/>
                <w:lang w:val="en-US" w:eastAsia="zh-CN"/>
              </w:rPr>
              <w:t>十、其他职权（12项）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5" w:hRule="atLeas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b w:val="0"/>
                <w:bCs w:val="0"/>
                <w:i w:val="0"/>
                <w:iCs w:val="0"/>
                <w:color w:val="auto"/>
                <w:sz w:val="26"/>
                <w:szCs w:val="26"/>
                <w:highlight w:val="none"/>
                <w:u w:val="none" w:color="auto"/>
                <w:lang w:val="en-US" w:eastAsia="zh-CN"/>
              </w:rPr>
            </w:pPr>
            <w:r>
              <w:rPr>
                <w:rFonts w:hint="eastAsia" w:ascii="Times New Roman" w:hAnsi="Times New Roman" w:cs="仿宋"/>
                <w:b w:val="0"/>
                <w:bCs w:val="0"/>
                <w:i w:val="0"/>
                <w:iCs w:val="0"/>
                <w:color w:val="auto"/>
                <w:sz w:val="26"/>
                <w:szCs w:val="26"/>
                <w:highlight w:val="none"/>
                <w:u w:val="none" w:color="auto"/>
                <w:lang w:val="en-US" w:eastAsia="zh-CN"/>
              </w:rPr>
              <w:t>42</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left="0" w:leftChars="0" w:firstLine="0" w:firstLineChars="0"/>
              <w:jc w:val="left"/>
              <w:textAlignment w:val="center"/>
              <w:rPr>
                <w:rFonts w:hint="eastAsia"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eastAsia="仿宋_GB2312" w:cs="仿宋"/>
                <w:i w:val="0"/>
                <w:iCs w:val="0"/>
                <w:color w:val="auto"/>
                <w:sz w:val="26"/>
                <w:szCs w:val="26"/>
                <w:highlight w:val="none"/>
                <w:u w:val="none" w:color="auto"/>
                <w:lang w:val="en-US" w:eastAsia="zh-CN"/>
              </w:rPr>
              <w:t>拟定并组织实施全市有关社会救助工作的措施和标准，分配和监管困难群众救助资金，参与拟定社会救助相关办法</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其他职权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6" w:hRule="atLeas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b w:val="0"/>
                <w:bCs w:val="0"/>
                <w:i w:val="0"/>
                <w:iCs w:val="0"/>
                <w:color w:val="auto"/>
                <w:sz w:val="26"/>
                <w:szCs w:val="26"/>
                <w:highlight w:val="none"/>
                <w:u w:val="none" w:color="auto"/>
                <w:lang w:val="en-US" w:eastAsia="zh-CN"/>
              </w:rPr>
            </w:pPr>
            <w:r>
              <w:rPr>
                <w:rFonts w:hint="eastAsia" w:ascii="Times New Roman" w:hAnsi="Times New Roman" w:cs="仿宋"/>
                <w:b w:val="0"/>
                <w:bCs w:val="0"/>
                <w:i w:val="0"/>
                <w:iCs w:val="0"/>
                <w:color w:val="auto"/>
                <w:sz w:val="26"/>
                <w:szCs w:val="26"/>
                <w:highlight w:val="none"/>
                <w:u w:val="none" w:color="auto"/>
                <w:lang w:val="en-US" w:eastAsia="zh-CN"/>
              </w:rPr>
              <w:t>43</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left="0" w:leftChars="0" w:firstLine="0" w:firstLineChars="0"/>
              <w:jc w:val="left"/>
              <w:textAlignment w:val="center"/>
              <w:rPr>
                <w:rFonts w:hint="eastAsia"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eastAsia="仿宋_GB2312" w:cs="仿宋"/>
                <w:i w:val="0"/>
                <w:iCs w:val="0"/>
                <w:color w:val="auto"/>
                <w:sz w:val="26"/>
                <w:szCs w:val="26"/>
                <w:highlight w:val="none"/>
                <w:u w:val="none" w:color="auto"/>
                <w:lang w:val="en-US" w:eastAsia="zh-CN"/>
              </w:rPr>
              <w:t>指导各县（市）区对最低生活保障对象、特困供养对象、临时救助对象进行监督检查</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其他职权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exac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b w:val="0"/>
                <w:bCs w:val="0"/>
                <w:i w:val="0"/>
                <w:iCs w:val="0"/>
                <w:color w:val="auto"/>
                <w:sz w:val="26"/>
                <w:szCs w:val="26"/>
                <w:highlight w:val="none"/>
                <w:u w:val="none" w:color="auto"/>
                <w:lang w:val="en-US" w:eastAsia="zh-CN"/>
              </w:rPr>
            </w:pPr>
            <w:r>
              <w:rPr>
                <w:rFonts w:hint="eastAsia" w:ascii="Times New Roman" w:hAnsi="Times New Roman" w:cs="仿宋"/>
                <w:b w:val="0"/>
                <w:bCs w:val="0"/>
                <w:i w:val="0"/>
                <w:iCs w:val="0"/>
                <w:color w:val="auto"/>
                <w:sz w:val="26"/>
                <w:szCs w:val="26"/>
                <w:highlight w:val="none"/>
                <w:u w:val="none" w:color="auto"/>
                <w:lang w:val="en-US" w:eastAsia="zh-CN"/>
              </w:rPr>
              <w:t>44</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left="0" w:leftChars="0" w:firstLine="0" w:firstLineChars="0"/>
              <w:jc w:val="left"/>
              <w:textAlignment w:val="center"/>
              <w:rPr>
                <w:rFonts w:hint="eastAsia"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eastAsia="仿宋_GB2312" w:cs="仿宋"/>
                <w:i w:val="0"/>
                <w:iCs w:val="0"/>
                <w:color w:val="auto"/>
                <w:sz w:val="26"/>
                <w:szCs w:val="26"/>
                <w:highlight w:val="none"/>
                <w:u w:val="none" w:color="auto"/>
                <w:lang w:val="en-US" w:eastAsia="zh-CN"/>
              </w:rPr>
              <w:t>地名命名、更名、审核上报</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其他职权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exac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b w:val="0"/>
                <w:bCs w:val="0"/>
                <w:i w:val="0"/>
                <w:iCs w:val="0"/>
                <w:color w:val="auto"/>
                <w:sz w:val="26"/>
                <w:szCs w:val="26"/>
                <w:highlight w:val="none"/>
                <w:u w:val="none" w:color="auto"/>
                <w:lang w:val="en-US" w:eastAsia="zh-CN"/>
              </w:rPr>
            </w:pPr>
            <w:r>
              <w:rPr>
                <w:rFonts w:hint="eastAsia" w:ascii="Times New Roman" w:hAnsi="Times New Roman" w:cs="仿宋"/>
                <w:b w:val="0"/>
                <w:bCs w:val="0"/>
                <w:i w:val="0"/>
                <w:iCs w:val="0"/>
                <w:color w:val="auto"/>
                <w:sz w:val="26"/>
                <w:szCs w:val="26"/>
                <w:highlight w:val="none"/>
                <w:u w:val="none" w:color="auto"/>
                <w:lang w:val="en-US" w:eastAsia="zh-CN"/>
              </w:rPr>
              <w:t>45</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left="0" w:leftChars="0" w:firstLine="0" w:firstLineChars="0"/>
              <w:jc w:val="left"/>
              <w:textAlignment w:val="center"/>
              <w:rPr>
                <w:rFonts w:hint="eastAsia"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eastAsia="仿宋_GB2312" w:cs="仿宋"/>
                <w:i w:val="0"/>
                <w:iCs w:val="0"/>
                <w:color w:val="auto"/>
                <w:sz w:val="26"/>
                <w:szCs w:val="26"/>
                <w:highlight w:val="none"/>
                <w:u w:val="none" w:color="auto"/>
                <w:lang w:val="en-US" w:eastAsia="zh-CN"/>
              </w:rPr>
              <w:t>地名的命名、更名审核及转报</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其他职权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b w:val="0"/>
                <w:bCs w:val="0"/>
                <w:i w:val="0"/>
                <w:iCs w:val="0"/>
                <w:color w:val="auto"/>
                <w:sz w:val="26"/>
                <w:szCs w:val="26"/>
                <w:highlight w:val="none"/>
                <w:u w:val="none" w:color="auto"/>
                <w:lang w:val="en-US" w:eastAsia="zh-CN"/>
              </w:rPr>
            </w:pPr>
            <w:r>
              <w:rPr>
                <w:rFonts w:hint="eastAsia" w:ascii="Times New Roman" w:hAnsi="Times New Roman" w:cs="仿宋"/>
                <w:b w:val="0"/>
                <w:bCs w:val="0"/>
                <w:i w:val="0"/>
                <w:iCs w:val="0"/>
                <w:color w:val="auto"/>
                <w:sz w:val="26"/>
                <w:szCs w:val="26"/>
                <w:highlight w:val="none"/>
                <w:u w:val="none" w:color="auto"/>
                <w:lang w:val="en-US" w:eastAsia="zh-CN"/>
              </w:rPr>
              <w:t>46</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left="0" w:leftChars="0" w:firstLine="0" w:firstLineChars="0"/>
              <w:jc w:val="left"/>
              <w:textAlignment w:val="center"/>
              <w:rPr>
                <w:rFonts w:hint="eastAsia"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eastAsia="仿宋_GB2312" w:cs="仿宋"/>
                <w:i w:val="0"/>
                <w:iCs w:val="0"/>
                <w:color w:val="auto"/>
                <w:sz w:val="26"/>
                <w:szCs w:val="26"/>
                <w:highlight w:val="none"/>
                <w:u w:val="none" w:color="auto"/>
                <w:lang w:val="en-US" w:eastAsia="zh-CN"/>
              </w:rPr>
              <w:t>县（市）区所辖乡镇设立、撤销、更名</w:t>
            </w:r>
            <w:r>
              <w:rPr>
                <w:rFonts w:hint="eastAsia" w:ascii="Times New Roman" w:hAnsi="Times New Roman" w:cs="仿宋"/>
                <w:i w:val="0"/>
                <w:iCs w:val="0"/>
                <w:color w:val="auto"/>
                <w:sz w:val="26"/>
                <w:szCs w:val="26"/>
                <w:highlight w:val="none"/>
                <w:u w:val="none" w:color="auto"/>
                <w:lang w:val="en-US" w:eastAsia="zh-CN"/>
              </w:rPr>
              <w:t>，</w:t>
            </w:r>
            <w:r>
              <w:rPr>
                <w:rFonts w:hint="eastAsia" w:ascii="Times New Roman" w:hAnsi="Times New Roman" w:eastAsia="仿宋_GB2312" w:cs="仿宋"/>
                <w:i w:val="0"/>
                <w:iCs w:val="0"/>
                <w:color w:val="auto"/>
                <w:sz w:val="26"/>
                <w:szCs w:val="26"/>
                <w:highlight w:val="none"/>
                <w:u w:val="none" w:color="auto"/>
                <w:lang w:val="en-US" w:eastAsia="zh-CN"/>
              </w:rPr>
              <w:t>政府驻地迁移、部分行政区域界线变更审核上报</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其他职权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exac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b w:val="0"/>
                <w:bCs w:val="0"/>
                <w:i w:val="0"/>
                <w:iCs w:val="0"/>
                <w:color w:val="auto"/>
                <w:sz w:val="26"/>
                <w:szCs w:val="26"/>
                <w:highlight w:val="none"/>
                <w:u w:val="none" w:color="auto"/>
                <w:lang w:val="en-US" w:eastAsia="zh-CN"/>
              </w:rPr>
            </w:pPr>
            <w:r>
              <w:rPr>
                <w:rFonts w:hint="eastAsia" w:ascii="Times New Roman" w:hAnsi="Times New Roman" w:cs="仿宋"/>
                <w:b w:val="0"/>
                <w:bCs w:val="0"/>
                <w:i w:val="0"/>
                <w:iCs w:val="0"/>
                <w:color w:val="auto"/>
                <w:sz w:val="26"/>
                <w:szCs w:val="26"/>
                <w:highlight w:val="none"/>
                <w:u w:val="none" w:color="auto"/>
                <w:lang w:val="en-US" w:eastAsia="zh-CN"/>
              </w:rPr>
              <w:t>47</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left="0" w:leftChars="0" w:firstLine="0" w:firstLineChars="0"/>
              <w:jc w:val="left"/>
              <w:textAlignment w:val="center"/>
              <w:rPr>
                <w:rFonts w:hint="eastAsia"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eastAsia="仿宋_GB2312" w:cs="仿宋"/>
                <w:i w:val="0"/>
                <w:iCs w:val="0"/>
                <w:color w:val="auto"/>
                <w:sz w:val="26"/>
                <w:szCs w:val="26"/>
                <w:highlight w:val="none"/>
                <w:u w:val="none" w:color="auto"/>
                <w:lang w:val="en-US" w:eastAsia="zh-CN"/>
              </w:rPr>
              <w:t>街道办事处的设立、撤销、更名审核，驻地迁移审核</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其他职权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exac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b w:val="0"/>
                <w:bCs w:val="0"/>
                <w:i w:val="0"/>
                <w:iCs w:val="0"/>
                <w:color w:val="auto"/>
                <w:sz w:val="26"/>
                <w:szCs w:val="26"/>
                <w:highlight w:val="none"/>
                <w:u w:val="none" w:color="auto"/>
                <w:lang w:val="en-US" w:eastAsia="zh-CN"/>
              </w:rPr>
            </w:pPr>
            <w:r>
              <w:rPr>
                <w:rFonts w:hint="eastAsia" w:ascii="Times New Roman" w:hAnsi="Times New Roman" w:cs="仿宋"/>
                <w:b w:val="0"/>
                <w:bCs w:val="0"/>
                <w:i w:val="0"/>
                <w:iCs w:val="0"/>
                <w:color w:val="auto"/>
                <w:sz w:val="26"/>
                <w:szCs w:val="26"/>
                <w:highlight w:val="none"/>
                <w:u w:val="none" w:color="auto"/>
                <w:lang w:val="en-US" w:eastAsia="zh-CN"/>
              </w:rPr>
              <w:t>48</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eastAsia="仿宋_GB2312" w:cs="仿宋"/>
                <w:i w:val="0"/>
                <w:iCs w:val="0"/>
                <w:color w:val="auto"/>
                <w:sz w:val="26"/>
                <w:szCs w:val="26"/>
                <w:highlight w:val="none"/>
                <w:u w:val="none" w:color="auto"/>
                <w:lang w:val="en-US" w:eastAsia="zh-CN"/>
              </w:rPr>
              <w:t>道路（街巷）的命名、更名审核上报</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其他职权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exac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b w:val="0"/>
                <w:bCs w:val="0"/>
                <w:i w:val="0"/>
                <w:iCs w:val="0"/>
                <w:color w:val="auto"/>
                <w:sz w:val="26"/>
                <w:szCs w:val="26"/>
                <w:highlight w:val="none"/>
                <w:u w:val="none" w:color="auto"/>
                <w:lang w:val="en-US" w:eastAsia="zh-CN"/>
              </w:rPr>
            </w:pPr>
            <w:r>
              <w:rPr>
                <w:rFonts w:hint="eastAsia" w:ascii="Times New Roman" w:hAnsi="Times New Roman" w:cs="仿宋"/>
                <w:b w:val="0"/>
                <w:bCs w:val="0"/>
                <w:i w:val="0"/>
                <w:iCs w:val="0"/>
                <w:color w:val="auto"/>
                <w:sz w:val="26"/>
                <w:szCs w:val="26"/>
                <w:highlight w:val="none"/>
                <w:u w:val="none" w:color="auto"/>
                <w:lang w:val="en-US" w:eastAsia="zh-CN"/>
              </w:rPr>
              <w:t>49</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eastAsia="仿宋_GB2312" w:cs="仿宋"/>
                <w:i w:val="0"/>
                <w:iCs w:val="0"/>
                <w:color w:val="auto"/>
                <w:sz w:val="26"/>
                <w:szCs w:val="26"/>
                <w:highlight w:val="none"/>
                <w:u w:val="none" w:color="auto"/>
                <w:lang w:val="en-US" w:eastAsia="zh-CN"/>
              </w:rPr>
              <w:t>门牌号码的编制发放</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其他职权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exac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b w:val="0"/>
                <w:bCs w:val="0"/>
                <w:i w:val="0"/>
                <w:iCs w:val="0"/>
                <w:color w:val="auto"/>
                <w:sz w:val="26"/>
                <w:szCs w:val="26"/>
                <w:highlight w:val="none"/>
                <w:u w:val="none" w:color="auto"/>
                <w:lang w:val="en-US" w:eastAsia="zh-CN"/>
              </w:rPr>
            </w:pPr>
            <w:r>
              <w:rPr>
                <w:rFonts w:hint="eastAsia" w:ascii="Times New Roman" w:hAnsi="Times New Roman" w:cs="仿宋"/>
                <w:b w:val="0"/>
                <w:bCs w:val="0"/>
                <w:i w:val="0"/>
                <w:iCs w:val="0"/>
                <w:color w:val="auto"/>
                <w:sz w:val="26"/>
                <w:szCs w:val="26"/>
                <w:highlight w:val="none"/>
                <w:u w:val="none" w:color="auto"/>
                <w:lang w:val="en-US" w:eastAsia="zh-CN"/>
              </w:rPr>
              <w:t>50</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eastAsia="仿宋_GB2312" w:cs="仿宋"/>
                <w:i w:val="0"/>
                <w:iCs w:val="0"/>
                <w:color w:val="auto"/>
                <w:sz w:val="26"/>
                <w:szCs w:val="26"/>
                <w:highlight w:val="none"/>
                <w:u w:val="none" w:color="auto"/>
                <w:lang w:val="en-US" w:eastAsia="zh-CN"/>
              </w:rPr>
              <w:t>慈善信托备案</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其他职权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exac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b w:val="0"/>
                <w:bCs w:val="0"/>
                <w:i w:val="0"/>
                <w:iCs w:val="0"/>
                <w:color w:val="auto"/>
                <w:sz w:val="26"/>
                <w:szCs w:val="26"/>
                <w:highlight w:val="none"/>
                <w:u w:val="none" w:color="auto"/>
                <w:lang w:val="en-US" w:eastAsia="zh-CN"/>
              </w:rPr>
            </w:pPr>
            <w:r>
              <w:rPr>
                <w:rFonts w:hint="eastAsia" w:ascii="Times New Roman" w:hAnsi="Times New Roman" w:cs="仿宋"/>
                <w:b w:val="0"/>
                <w:bCs w:val="0"/>
                <w:i w:val="0"/>
                <w:iCs w:val="0"/>
                <w:color w:val="auto"/>
                <w:sz w:val="26"/>
                <w:szCs w:val="26"/>
                <w:highlight w:val="none"/>
                <w:u w:val="none" w:color="auto"/>
                <w:lang w:val="en-US" w:eastAsia="zh-CN"/>
              </w:rPr>
              <w:t>51</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eastAsia="仿宋_GB2312" w:cs="仿宋"/>
                <w:i w:val="0"/>
                <w:iCs w:val="0"/>
                <w:color w:val="auto"/>
                <w:sz w:val="26"/>
                <w:szCs w:val="26"/>
                <w:highlight w:val="none"/>
                <w:u w:val="none" w:color="auto"/>
                <w:lang w:val="en-US" w:eastAsia="zh-CN"/>
              </w:rPr>
              <w:t>非营利性养老机构备案</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其他职权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exac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cs="仿宋"/>
                <w:i w:val="0"/>
                <w:iCs w:val="0"/>
                <w:color w:val="auto"/>
                <w:sz w:val="26"/>
                <w:szCs w:val="26"/>
                <w:highlight w:val="none"/>
                <w:u w:val="none" w:color="auto"/>
                <w:lang w:val="en-US" w:eastAsia="zh-CN"/>
              </w:rPr>
              <w:t>52</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eastAsia="仿宋_GB2312" w:cs="仿宋"/>
                <w:i w:val="0"/>
                <w:iCs w:val="0"/>
                <w:color w:val="auto"/>
                <w:sz w:val="26"/>
                <w:szCs w:val="26"/>
                <w:highlight w:val="none"/>
                <w:u w:val="none" w:color="auto"/>
                <w:lang w:val="en-US" w:eastAsia="zh-CN"/>
              </w:rPr>
              <w:t>非营利性养老机构变更备案</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其他职权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exact"/>
          <w:jc w:val="center"/>
        </w:trPr>
        <w:tc>
          <w:tcPr>
            <w:tcW w:w="7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default"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cs="仿宋"/>
                <w:i w:val="0"/>
                <w:iCs w:val="0"/>
                <w:color w:val="auto"/>
                <w:sz w:val="26"/>
                <w:szCs w:val="26"/>
                <w:highlight w:val="none"/>
                <w:u w:val="none" w:color="auto"/>
                <w:lang w:val="en-US" w:eastAsia="zh-CN"/>
              </w:rPr>
              <w:t>53</w:t>
            </w:r>
          </w:p>
        </w:tc>
        <w:tc>
          <w:tcPr>
            <w:tcW w:w="7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left"/>
              <w:textAlignment w:val="center"/>
              <w:rPr>
                <w:rFonts w:hint="eastAsia" w:ascii="Times New Roman" w:hAnsi="Times New Roman" w:eastAsia="仿宋_GB2312" w:cs="仿宋"/>
                <w:i w:val="0"/>
                <w:iCs w:val="0"/>
                <w:color w:val="auto"/>
                <w:sz w:val="26"/>
                <w:szCs w:val="26"/>
                <w:highlight w:val="none"/>
                <w:u w:val="none" w:color="auto"/>
                <w:lang w:val="en-US" w:eastAsia="zh-CN"/>
              </w:rPr>
            </w:pPr>
            <w:r>
              <w:rPr>
                <w:rFonts w:hint="eastAsia" w:ascii="Times New Roman" w:hAnsi="Times New Roman" w:eastAsia="仿宋_GB2312" w:cs="仿宋"/>
                <w:i w:val="0"/>
                <w:iCs w:val="0"/>
                <w:color w:val="auto"/>
                <w:sz w:val="26"/>
                <w:szCs w:val="26"/>
                <w:highlight w:val="none"/>
                <w:u w:val="none" w:color="auto"/>
                <w:lang w:val="en-US" w:eastAsia="zh-CN"/>
              </w:rPr>
              <w:t>养老机构监管</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center"/>
              <w:rPr>
                <w:rFonts w:hint="eastAsia" w:ascii="Times New Roman" w:hAnsi="Times New Roman" w:eastAsia="仿宋_GB2312" w:cs="仿宋"/>
                <w:i w:val="0"/>
                <w:iCs w:val="0"/>
                <w:color w:val="auto"/>
                <w:sz w:val="26"/>
                <w:szCs w:val="26"/>
                <w:highlight w:val="none"/>
                <w:u w:val="none" w:color="auto"/>
              </w:rPr>
            </w:pPr>
            <w:r>
              <w:rPr>
                <w:rFonts w:hint="eastAsia" w:ascii="Times New Roman" w:hAnsi="Times New Roman" w:eastAsia="仿宋_GB2312" w:cs="仿宋"/>
                <w:i w:val="0"/>
                <w:iCs w:val="0"/>
                <w:color w:val="auto"/>
                <w:kern w:val="0"/>
                <w:sz w:val="26"/>
                <w:szCs w:val="26"/>
                <w:highlight w:val="none"/>
                <w:u w:val="none" w:color="auto"/>
                <w:lang w:val="en-US" w:eastAsia="zh-CN"/>
              </w:rPr>
              <w:t>其他职权</w:t>
            </w:r>
          </w:p>
        </w:tc>
      </w:tr>
    </w:tbl>
    <w:p>
      <w:pPr>
        <w:keepNext w:val="0"/>
        <w:keepLines w:val="0"/>
        <w:pageBreakBefore w:val="0"/>
        <w:widowControl w:val="0"/>
        <w:kinsoku/>
        <w:wordWrap/>
        <w:overflowPunct/>
        <w:topLinePunct w:val="0"/>
        <w:autoSpaceDE/>
        <w:autoSpaceDN/>
        <w:bidi w:val="0"/>
        <w:adjustRightInd/>
        <w:snapToGrid w:val="0"/>
        <w:spacing w:line="20" w:lineRule="exact"/>
        <w:textAlignment w:val="auto"/>
        <w:rPr>
          <w:rFonts w:hint="eastAsia" w:ascii="仿宋" w:hAnsi="仿宋" w:eastAsia="仿宋" w:cs="仿宋"/>
          <w:color w:val="auto"/>
          <w:sz w:val="24"/>
          <w:szCs w:val="24"/>
          <w:highlight w:val="none"/>
          <w:u w:val="none" w:color="auto"/>
        </w:rPr>
      </w:pPr>
    </w:p>
    <w:p>
      <w:pPr>
        <w:keepNext w:val="0"/>
        <w:keepLines w:val="0"/>
        <w:pageBreakBefore w:val="0"/>
        <w:widowControl w:val="0"/>
        <w:kinsoku/>
        <w:wordWrap/>
        <w:overflowPunct/>
        <w:topLinePunct w:val="0"/>
        <w:autoSpaceDE/>
        <w:autoSpaceDN/>
        <w:bidi w:val="0"/>
        <w:adjustRightInd/>
        <w:snapToGrid w:val="0"/>
        <w:spacing w:line="20" w:lineRule="exact"/>
        <w:textAlignment w:val="auto"/>
        <w:rPr>
          <w:rFonts w:hint="eastAsia" w:ascii="仿宋" w:hAnsi="仿宋" w:eastAsia="仿宋" w:cs="仿宋"/>
          <w:color w:val="auto"/>
          <w:sz w:val="24"/>
          <w:szCs w:val="24"/>
          <w:highlight w:val="none"/>
          <w:u w:val="none" w:color="auto"/>
          <w:lang w:val="en-US" w:eastAsia="zh-CN"/>
        </w:rPr>
        <w:sectPr>
          <w:footerReference r:id="rId6" w:type="default"/>
          <w:pgSz w:w="11906" w:h="16838"/>
          <w:pgMar w:top="1928" w:right="1531" w:bottom="1531" w:left="1531" w:header="851" w:footer="1417" w:gutter="0"/>
          <w:pgNumType w:fmt="decimal" w:start="4"/>
          <w:cols w:space="0" w:num="1"/>
          <w:rtlGutter w:val="0"/>
          <w:docGrid w:type="lines" w:linePitch="456" w:charSpace="0"/>
        </w:sectPr>
      </w:pPr>
    </w:p>
    <w:p>
      <w:pPr>
        <w:spacing w:line="500" w:lineRule="exact"/>
        <w:ind w:left="0" w:leftChars="0" w:firstLine="0" w:firstLineChars="0"/>
        <w:rPr>
          <w:rFonts w:hint="eastAsia" w:ascii="黑体" w:hAnsi="黑体" w:eastAsia="黑体" w:cs="黑体"/>
          <w:color w:val="auto"/>
          <w:highlight w:val="none"/>
          <w:u w:val="none" w:color="auto"/>
          <w:lang w:eastAsia="zh-CN"/>
        </w:rPr>
      </w:pPr>
      <w:r>
        <w:rPr>
          <w:rFonts w:hint="eastAsia" w:ascii="黑体" w:hAnsi="黑体" w:eastAsia="黑体" w:cs="黑体"/>
          <w:color w:val="auto"/>
          <w:highlight w:val="none"/>
          <w:u w:val="none" w:color="auto"/>
        </w:rPr>
        <w:t>附件</w:t>
      </w:r>
      <w:r>
        <w:rPr>
          <w:rFonts w:hint="eastAsia" w:ascii="黑体" w:hAnsi="黑体" w:eastAsia="黑体" w:cs="黑体"/>
          <w:color w:val="auto"/>
          <w:highlight w:val="none"/>
          <w:u w:val="none" w:color="auto"/>
          <w:lang w:val="en-US" w:eastAsia="zh-CN"/>
        </w:rPr>
        <w:t>3</w:t>
      </w:r>
    </w:p>
    <w:p>
      <w:pPr>
        <w:pStyle w:val="2"/>
        <w:spacing w:line="680" w:lineRule="exact"/>
        <w:jc w:val="center"/>
        <w:rPr>
          <w:rFonts w:hint="eastAsia" w:ascii="方正小标宋_GBK" w:hAnsi="方正小标宋_GBK" w:eastAsia="方正小标宋_GBK" w:cs="方正小标宋_GBK"/>
          <w:color w:val="auto"/>
          <w:sz w:val="44"/>
          <w:szCs w:val="44"/>
          <w:highlight w:val="none"/>
          <w:u w:val="none" w:color="auto"/>
          <w:lang w:val="en-US" w:eastAsia="zh-CN"/>
        </w:rPr>
      </w:pPr>
      <w:r>
        <w:rPr>
          <w:rFonts w:hint="eastAsia" w:ascii="方正小标宋_GBK" w:hAnsi="方正小标宋_GBK" w:eastAsia="方正小标宋_GBK" w:cs="方正小标宋_GBK"/>
          <w:color w:val="auto"/>
          <w:sz w:val="44"/>
          <w:szCs w:val="44"/>
          <w:highlight w:val="none"/>
          <w:u w:val="none" w:color="auto"/>
          <w:lang w:val="en-US" w:eastAsia="zh-CN"/>
        </w:rPr>
        <w:t>南阳市民政局保留的权责清单</w:t>
      </w:r>
    </w:p>
    <w:tbl>
      <w:tblPr>
        <w:tblStyle w:val="10"/>
        <w:tblW w:w="15418"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523"/>
        <w:gridCol w:w="1112"/>
        <w:gridCol w:w="5765"/>
        <w:gridCol w:w="440"/>
        <w:gridCol w:w="467"/>
        <w:gridCol w:w="3644"/>
        <w:gridCol w:w="2533"/>
        <w:gridCol w:w="93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29" w:hRule="atLeast"/>
          <w:tblHeader/>
          <w:jc w:val="center"/>
        </w:trPr>
        <w:tc>
          <w:tcPr>
            <w:tcW w:w="523"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黑体" w:hAnsi="黑体" w:eastAsia="黑体" w:cs="黑体"/>
                <w:b w:val="0"/>
                <w:bCs/>
                <w:color w:val="auto"/>
                <w:sz w:val="20"/>
                <w:szCs w:val="20"/>
                <w:highlight w:val="none"/>
                <w:u w:val="none" w:color="auto"/>
              </w:rPr>
            </w:pPr>
            <w:r>
              <w:rPr>
                <w:rFonts w:hint="eastAsia" w:ascii="黑体" w:hAnsi="黑体" w:eastAsia="黑体" w:cs="黑体"/>
                <w:b w:val="0"/>
                <w:bCs/>
                <w:color w:val="auto"/>
                <w:kern w:val="0"/>
                <w:sz w:val="20"/>
                <w:szCs w:val="20"/>
                <w:highlight w:val="none"/>
                <w:u w:val="none" w:color="auto"/>
              </w:rPr>
              <w:t>序号</w:t>
            </w:r>
          </w:p>
        </w:tc>
        <w:tc>
          <w:tcPr>
            <w:tcW w:w="1112"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黑体" w:hAnsi="黑体" w:eastAsia="黑体" w:cs="黑体"/>
                <w:b w:val="0"/>
                <w:bCs/>
                <w:color w:val="auto"/>
                <w:sz w:val="20"/>
                <w:szCs w:val="20"/>
                <w:highlight w:val="none"/>
                <w:u w:val="none" w:color="auto"/>
              </w:rPr>
            </w:pPr>
            <w:r>
              <w:rPr>
                <w:rFonts w:hint="eastAsia" w:ascii="黑体" w:hAnsi="黑体" w:eastAsia="黑体" w:cs="黑体"/>
                <w:b w:val="0"/>
                <w:bCs/>
                <w:color w:val="auto"/>
                <w:kern w:val="0"/>
                <w:sz w:val="20"/>
                <w:szCs w:val="20"/>
                <w:highlight w:val="none"/>
                <w:u w:val="none" w:color="auto"/>
              </w:rPr>
              <w:t>项目名称</w:t>
            </w:r>
          </w:p>
        </w:tc>
        <w:tc>
          <w:tcPr>
            <w:tcW w:w="5765"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黑体" w:hAnsi="黑体" w:eastAsia="黑体" w:cs="黑体"/>
                <w:b w:val="0"/>
                <w:bCs/>
                <w:color w:val="auto"/>
                <w:sz w:val="20"/>
                <w:szCs w:val="20"/>
                <w:highlight w:val="none"/>
                <w:u w:val="none" w:color="auto"/>
              </w:rPr>
            </w:pPr>
            <w:r>
              <w:rPr>
                <w:rFonts w:hint="eastAsia" w:ascii="黑体" w:hAnsi="黑体" w:eastAsia="黑体" w:cs="黑体"/>
                <w:b w:val="0"/>
                <w:bCs/>
                <w:color w:val="auto"/>
                <w:kern w:val="0"/>
                <w:sz w:val="20"/>
                <w:szCs w:val="20"/>
                <w:highlight w:val="none"/>
                <w:u w:val="none" w:color="auto"/>
              </w:rPr>
              <w:t>实施依据</w:t>
            </w:r>
          </w:p>
        </w:tc>
        <w:tc>
          <w:tcPr>
            <w:tcW w:w="440"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黑体" w:hAnsi="黑体" w:eastAsia="黑体" w:cs="黑体"/>
                <w:b w:val="0"/>
                <w:bCs/>
                <w:color w:val="auto"/>
                <w:kern w:val="0"/>
                <w:sz w:val="20"/>
                <w:szCs w:val="20"/>
                <w:highlight w:val="none"/>
                <w:u w:val="none" w:color="auto"/>
              </w:rPr>
            </w:pPr>
            <w:r>
              <w:rPr>
                <w:rFonts w:hint="eastAsia" w:ascii="黑体" w:hAnsi="黑体" w:eastAsia="黑体" w:cs="黑体"/>
                <w:b w:val="0"/>
                <w:bCs/>
                <w:color w:val="auto"/>
                <w:kern w:val="0"/>
                <w:sz w:val="20"/>
                <w:szCs w:val="20"/>
                <w:highlight w:val="none"/>
                <w:u w:val="none" w:color="auto"/>
              </w:rPr>
              <w:t>职权</w:t>
            </w:r>
          </w:p>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黑体" w:hAnsi="黑体" w:eastAsia="黑体" w:cs="黑体"/>
                <w:b w:val="0"/>
                <w:bCs/>
                <w:color w:val="auto"/>
                <w:sz w:val="20"/>
                <w:szCs w:val="20"/>
                <w:highlight w:val="none"/>
                <w:u w:val="none" w:color="auto"/>
              </w:rPr>
            </w:pPr>
            <w:r>
              <w:rPr>
                <w:rFonts w:hint="eastAsia" w:ascii="黑体" w:hAnsi="黑体" w:eastAsia="黑体" w:cs="黑体"/>
                <w:b w:val="0"/>
                <w:bCs/>
                <w:color w:val="auto"/>
                <w:kern w:val="0"/>
                <w:sz w:val="20"/>
                <w:szCs w:val="20"/>
                <w:highlight w:val="none"/>
                <w:u w:val="none" w:color="auto"/>
              </w:rPr>
              <w:t>类别</w:t>
            </w: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黑体" w:hAnsi="黑体" w:eastAsia="黑体" w:cs="黑体"/>
                <w:b w:val="0"/>
                <w:bCs/>
                <w:color w:val="auto"/>
                <w:sz w:val="20"/>
                <w:szCs w:val="20"/>
                <w:highlight w:val="none"/>
                <w:u w:val="none" w:color="auto"/>
              </w:rPr>
            </w:pPr>
            <w:r>
              <w:rPr>
                <w:rFonts w:hint="eastAsia" w:ascii="黑体" w:hAnsi="黑体" w:eastAsia="黑体" w:cs="黑体"/>
                <w:b w:val="0"/>
                <w:bCs/>
                <w:color w:val="auto"/>
                <w:kern w:val="0"/>
                <w:sz w:val="20"/>
                <w:szCs w:val="20"/>
                <w:highlight w:val="none"/>
                <w:u w:val="none" w:color="auto"/>
              </w:rPr>
              <w:t>办理</w:t>
            </w:r>
            <w:r>
              <w:rPr>
                <w:rFonts w:hint="eastAsia" w:ascii="黑体" w:hAnsi="黑体" w:eastAsia="黑体" w:cs="黑体"/>
                <w:b w:val="0"/>
                <w:bCs/>
                <w:color w:val="auto"/>
                <w:kern w:val="0"/>
                <w:sz w:val="20"/>
                <w:szCs w:val="20"/>
                <w:highlight w:val="none"/>
                <w:u w:val="none" w:color="auto"/>
              </w:rPr>
              <w:br w:type="textWrapping"/>
            </w:r>
            <w:r>
              <w:rPr>
                <w:rFonts w:hint="eastAsia" w:ascii="黑体" w:hAnsi="黑体" w:eastAsia="黑体" w:cs="黑体"/>
                <w:b w:val="0"/>
                <w:bCs/>
                <w:color w:val="auto"/>
                <w:kern w:val="0"/>
                <w:sz w:val="20"/>
                <w:szCs w:val="20"/>
                <w:highlight w:val="none"/>
                <w:u w:val="none" w:color="auto"/>
              </w:rPr>
              <w:t>环节</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黑体" w:hAnsi="黑体" w:eastAsia="黑体" w:cs="黑体"/>
                <w:b w:val="0"/>
                <w:bCs/>
                <w:color w:val="auto"/>
                <w:sz w:val="20"/>
                <w:szCs w:val="20"/>
                <w:highlight w:val="none"/>
                <w:u w:val="none" w:color="auto"/>
              </w:rPr>
            </w:pPr>
            <w:r>
              <w:rPr>
                <w:rFonts w:hint="eastAsia" w:ascii="黑体" w:hAnsi="黑体" w:eastAsia="黑体" w:cs="黑体"/>
                <w:b w:val="0"/>
                <w:bCs/>
                <w:color w:val="auto"/>
                <w:kern w:val="0"/>
                <w:sz w:val="20"/>
                <w:szCs w:val="20"/>
                <w:highlight w:val="none"/>
                <w:u w:val="none" w:color="auto"/>
              </w:rPr>
              <w:t>责任事项</w:t>
            </w:r>
          </w:p>
        </w:tc>
        <w:tc>
          <w:tcPr>
            <w:tcW w:w="2533"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黑体" w:hAnsi="黑体" w:eastAsia="黑体" w:cs="黑体"/>
                <w:b w:val="0"/>
                <w:bCs/>
                <w:color w:val="auto"/>
                <w:kern w:val="0"/>
                <w:sz w:val="20"/>
                <w:szCs w:val="20"/>
                <w:highlight w:val="none"/>
                <w:u w:val="none" w:color="auto"/>
                <w:lang w:val="en-US" w:eastAsia="zh-CN" w:bidi="ar-SA"/>
              </w:rPr>
            </w:pPr>
            <w:r>
              <w:rPr>
                <w:rFonts w:hint="eastAsia" w:ascii="黑体" w:hAnsi="黑体" w:eastAsia="黑体" w:cs="黑体"/>
                <w:b w:val="0"/>
                <w:bCs/>
                <w:color w:val="auto"/>
                <w:kern w:val="0"/>
                <w:sz w:val="20"/>
                <w:szCs w:val="20"/>
                <w:highlight w:val="none"/>
                <w:u w:val="none" w:color="auto"/>
                <w:lang w:val="en-US" w:eastAsia="zh-CN"/>
              </w:rPr>
              <w:t>追责情形</w:t>
            </w:r>
          </w:p>
        </w:tc>
        <w:tc>
          <w:tcPr>
            <w:tcW w:w="93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黑体" w:hAnsi="黑体" w:eastAsia="黑体" w:cs="黑体"/>
                <w:b w:val="0"/>
                <w:bCs/>
                <w:color w:val="auto"/>
                <w:sz w:val="20"/>
                <w:szCs w:val="20"/>
                <w:highlight w:val="none"/>
                <w:u w:val="none" w:color="auto"/>
              </w:rPr>
            </w:pPr>
            <w:r>
              <w:rPr>
                <w:rFonts w:hint="eastAsia" w:ascii="黑体" w:hAnsi="黑体" w:eastAsia="黑体" w:cs="黑体"/>
                <w:b w:val="0"/>
                <w:bCs/>
                <w:color w:val="auto"/>
                <w:kern w:val="0"/>
                <w:sz w:val="20"/>
                <w:szCs w:val="20"/>
                <w:highlight w:val="none"/>
                <w:u w:val="none" w:color="auto"/>
              </w:rPr>
              <w:t>责任</w:t>
            </w:r>
            <w:r>
              <w:rPr>
                <w:rFonts w:hint="eastAsia" w:ascii="黑体" w:hAnsi="黑体" w:eastAsia="黑体" w:cs="黑体"/>
                <w:b w:val="0"/>
                <w:bCs/>
                <w:color w:val="auto"/>
                <w:kern w:val="0"/>
                <w:sz w:val="20"/>
                <w:szCs w:val="20"/>
                <w:highlight w:val="none"/>
                <w:u w:val="none" w:color="auto"/>
                <w:lang w:eastAsia="zh-CN"/>
              </w:rPr>
              <w:t>科</w:t>
            </w:r>
            <w:r>
              <w:rPr>
                <w:rFonts w:hint="eastAsia" w:ascii="黑体" w:hAnsi="黑体" w:eastAsia="黑体" w:cs="黑体"/>
                <w:b w:val="0"/>
                <w:bCs/>
                <w:color w:val="auto"/>
                <w:kern w:val="0"/>
                <w:sz w:val="20"/>
                <w:szCs w:val="20"/>
                <w:highlight w:val="none"/>
                <w:u w:val="none" w:color="auto"/>
              </w:rPr>
              <w:t>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644" w:hRule="atLeast"/>
          <w:jc w:val="center"/>
        </w:trPr>
        <w:tc>
          <w:tcPr>
            <w:tcW w:w="52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1</w:t>
            </w:r>
          </w:p>
        </w:tc>
        <w:tc>
          <w:tcPr>
            <w:tcW w:w="1112"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建设殡仪服务站及骨灰堂审批</w:t>
            </w:r>
          </w:p>
        </w:tc>
        <w:tc>
          <w:tcPr>
            <w:tcW w:w="5765"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《殡葬管理条例</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lang w:val="en-US" w:eastAsia="zh-CN"/>
              </w:rPr>
              <w:t>（</w:t>
            </w:r>
            <w:r>
              <w:rPr>
                <w:rFonts w:hint="eastAsia" w:ascii="仿宋_GB2312" w:hAnsi="仿宋_GB2312" w:eastAsia="仿宋_GB2312" w:cs="仿宋_GB2312"/>
                <w:color w:val="auto"/>
                <w:kern w:val="0"/>
                <w:sz w:val="20"/>
                <w:szCs w:val="20"/>
                <w:highlight w:val="none"/>
                <w:u w:val="none" w:color="auto"/>
              </w:rPr>
              <w:t>1997年7月21日国务院令225号，2012年11月予以修改</w:t>
            </w:r>
            <w:r>
              <w:rPr>
                <w:rFonts w:hint="eastAsia" w:ascii="仿宋_GB2312" w:hAnsi="仿宋_GB2312" w:eastAsia="仿宋_GB2312" w:cs="仿宋_GB2312"/>
                <w:color w:val="auto"/>
                <w:kern w:val="0"/>
                <w:sz w:val="20"/>
                <w:szCs w:val="20"/>
                <w:highlight w:val="none"/>
                <w:u w:val="none" w:color="auto"/>
                <w:lang w:val="en-US" w:eastAsia="zh-CN"/>
              </w:rPr>
              <w:t>）</w:t>
            </w:r>
            <w:r>
              <w:rPr>
                <w:rFonts w:hint="eastAsia" w:ascii="仿宋_GB2312" w:hAnsi="仿宋_GB2312" w:eastAsia="仿宋_GB2312" w:cs="仿宋_GB2312"/>
                <w:color w:val="auto"/>
                <w:kern w:val="0"/>
                <w:sz w:val="20"/>
                <w:szCs w:val="20"/>
                <w:highlight w:val="none"/>
                <w:u w:val="none" w:color="auto"/>
              </w:rPr>
              <w:t>第三条：国务院民政部门负责全国的殡葬管理工作。县级以上地方人民政府民政部门负责本行政区域内的殡葬管理工作。第八条：建设殡仪馆、火葬场，由县级人民政府和设区的市、自治州人民政府的民政部门提出方案，报本级人民政府审批；建设殡仪服务站、骨灰堂，由县级人民政府和设区的市、自治州人民政府的民政部门审批；建设公墓，经县级人民政府和设区的市、自治州人民政府的民政部门审核同意后，报省、自治区、直辖市人民政府民政部门审批。农村为村民设置公益性墓地，经乡级人民政府审核同意后，报县级人民政府民政部门审批。</w:t>
            </w:r>
          </w:p>
        </w:tc>
        <w:tc>
          <w:tcPr>
            <w:tcW w:w="440"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行政许可</w:t>
            </w: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收件</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lang w:eastAsia="zh-CN"/>
              </w:rPr>
            </w:pPr>
            <w:r>
              <w:rPr>
                <w:rFonts w:hint="eastAsia" w:ascii="仿宋_GB2312" w:hAnsi="仿宋_GB2312" w:eastAsia="仿宋_GB2312" w:cs="仿宋_GB2312"/>
                <w:color w:val="auto"/>
                <w:sz w:val="20"/>
                <w:szCs w:val="20"/>
                <w:highlight w:val="none"/>
                <w:u w:val="none" w:color="auto"/>
              </w:rPr>
              <w:t>申请人所交材料齐全的，予以收件；如所交材料不齐全或不符合法定要求的，一次告知申请人需要补正的内容</w:t>
            </w:r>
            <w:r>
              <w:rPr>
                <w:rFonts w:hint="eastAsia" w:ascii="仿宋_GB2312" w:hAnsi="仿宋_GB2312" w:eastAsia="仿宋_GB2312" w:cs="仿宋_GB2312"/>
                <w:color w:val="auto"/>
                <w:sz w:val="20"/>
                <w:szCs w:val="20"/>
                <w:highlight w:val="none"/>
                <w:u w:val="none" w:color="auto"/>
                <w:lang w:eastAsia="zh-CN"/>
              </w:rPr>
              <w:t>。</w:t>
            </w:r>
          </w:p>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kern w:val="2"/>
                <w:sz w:val="20"/>
                <w:szCs w:val="20"/>
                <w:highlight w:val="none"/>
                <w:lang w:val="en-US" w:eastAsia="zh-CN" w:bidi="ar-SA"/>
              </w:rPr>
            </w:pPr>
          </w:p>
        </w:tc>
        <w:tc>
          <w:tcPr>
            <w:tcW w:w="253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不履行或不正确履行职责，有下列情形的行政机关及相关工作人员应承担相应的责任：</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1</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殡仪服务人员利用工作之便索取财物的，由民政部门责令退赔</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构成犯罪的，依法追究刑事责任。</w:t>
            </w:r>
          </w:p>
        </w:tc>
        <w:tc>
          <w:tcPr>
            <w:tcW w:w="934"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lang w:val="en-US" w:eastAsia="zh-CN"/>
              </w:rPr>
            </w:pPr>
            <w:r>
              <w:rPr>
                <w:rFonts w:hint="eastAsia" w:ascii="仿宋_GB2312" w:hAnsi="仿宋_GB2312" w:eastAsia="仿宋_GB2312" w:cs="仿宋_GB2312"/>
                <w:color w:val="auto"/>
                <w:sz w:val="20"/>
                <w:szCs w:val="20"/>
                <w:highlight w:val="none"/>
                <w:u w:val="none" w:color="auto"/>
                <w:lang w:val="en-US" w:eastAsia="zh-CN"/>
              </w:rPr>
              <w:t>行政审批服务科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644"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审核</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sz w:val="20"/>
                <w:szCs w:val="20"/>
                <w:highlight w:val="none"/>
                <w:u w:val="none" w:color="auto"/>
              </w:rPr>
              <w:t>在受理申报材料后，提出初步意见</w:t>
            </w:r>
            <w:r>
              <w:rPr>
                <w:rFonts w:hint="eastAsia" w:ascii="仿宋_GB2312" w:hAnsi="仿宋_GB2312" w:eastAsia="仿宋_GB2312" w:cs="仿宋_GB2312"/>
                <w:color w:val="auto"/>
                <w:sz w:val="20"/>
                <w:szCs w:val="20"/>
                <w:highlight w:val="none"/>
                <w:u w:val="none" w:color="auto"/>
                <w:lang w:eastAsia="zh-CN"/>
              </w:rPr>
              <w:t>。</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sz w:val="20"/>
                <w:szCs w:val="20"/>
                <w:highlight w:val="none"/>
                <w:u w:val="none" w:color="auto"/>
                <w:lang w:val="en-US" w:eastAsia="zh-CN"/>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644"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w:t>
            </w:r>
          </w:p>
        </w:tc>
        <w:tc>
          <w:tcPr>
            <w:tcW w:w="3644" w:type="dxa"/>
            <w:noWrap w:val="0"/>
            <w:tcMar>
              <w:top w:w="15" w:type="dxa"/>
              <w:left w:w="15" w:type="dxa"/>
              <w:right w:w="15" w:type="dxa"/>
            </w:tcMar>
            <w:vAlign w:val="center"/>
          </w:tcPr>
          <w:p>
            <w:pPr>
              <w:pStyle w:val="2"/>
              <w:keepNext w:val="0"/>
              <w:keepLines w:val="0"/>
              <w:pageBreakBefore w:val="0"/>
              <w:widowControl w:val="0"/>
              <w:kinsoku/>
              <w:wordWrap/>
              <w:overflowPunct/>
              <w:topLinePunct w:val="0"/>
              <w:autoSpaceDE/>
              <w:autoSpaceDN/>
              <w:bidi w:val="0"/>
              <w:adjustRightInd/>
              <w:snapToGrid w:val="0"/>
              <w:spacing w:after="0" w:line="300" w:lineRule="exact"/>
              <w:ind w:left="0" w:leftChars="0" w:firstLine="0" w:firstLineChars="0"/>
              <w:textAlignment w:val="auto"/>
              <w:rPr>
                <w:rFonts w:hint="eastAsia" w:ascii="仿宋_GB2312" w:hAnsi="仿宋_GB2312" w:eastAsia="仿宋_GB2312" w:cs="仿宋_GB2312"/>
                <w:kern w:val="2"/>
                <w:sz w:val="20"/>
                <w:szCs w:val="20"/>
                <w:highlight w:val="none"/>
                <w:lang w:val="en-US" w:eastAsia="zh-CN" w:bidi="ar-SA"/>
              </w:rPr>
            </w:pPr>
            <w:r>
              <w:rPr>
                <w:rFonts w:hint="eastAsia" w:ascii="仿宋_GB2312" w:hAnsi="仿宋_GB2312" w:eastAsia="仿宋_GB2312" w:cs="仿宋_GB2312"/>
                <w:color w:val="auto"/>
                <w:sz w:val="20"/>
                <w:szCs w:val="20"/>
                <w:highlight w:val="none"/>
                <w:u w:val="none" w:color="auto"/>
              </w:rPr>
              <w:t>在法定时限内做出是否同意申请事项的决定。</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sz w:val="20"/>
                <w:szCs w:val="20"/>
                <w:highlight w:val="none"/>
                <w:u w:val="none" w:color="auto"/>
                <w:lang w:val="en-US" w:eastAsia="zh-CN"/>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644"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送达</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lang w:val="en-US" w:eastAsia="zh-CN"/>
              </w:rPr>
              <w:t>结果</w:t>
            </w:r>
            <w:r>
              <w:rPr>
                <w:rFonts w:hint="eastAsia" w:ascii="仿宋_GB2312" w:hAnsi="仿宋_GB2312" w:eastAsia="仿宋_GB2312" w:cs="仿宋_GB2312"/>
                <w:color w:val="auto"/>
                <w:kern w:val="0"/>
                <w:sz w:val="20"/>
                <w:szCs w:val="20"/>
                <w:highlight w:val="none"/>
                <w:u w:val="none" w:color="auto"/>
              </w:rPr>
              <w:t>送达。</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sz w:val="20"/>
                <w:szCs w:val="20"/>
                <w:highlight w:val="none"/>
                <w:u w:val="none" w:color="auto"/>
                <w:lang w:val="en-US" w:eastAsia="zh-CN"/>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587" w:hRule="atLeast"/>
          <w:jc w:val="center"/>
        </w:trPr>
        <w:tc>
          <w:tcPr>
            <w:tcW w:w="52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r>
              <w:rPr>
                <w:rFonts w:hint="eastAsia" w:ascii="仿宋_GB2312" w:hAnsi="仿宋_GB2312" w:eastAsia="仿宋_GB2312" w:cs="仿宋_GB2312"/>
                <w:color w:val="auto"/>
                <w:sz w:val="20"/>
                <w:szCs w:val="20"/>
                <w:highlight w:val="none"/>
                <w:u w:val="none" w:color="auto"/>
                <w:lang w:val="en-US" w:eastAsia="zh-CN"/>
              </w:rPr>
              <w:t>2</w:t>
            </w:r>
          </w:p>
        </w:tc>
        <w:tc>
          <w:tcPr>
            <w:tcW w:w="1112"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sz w:val="20"/>
                <w:szCs w:val="20"/>
                <w:highlight w:val="none"/>
                <w:u w:val="none" w:color="auto"/>
              </w:rPr>
              <w:t>经营性公墓建设审批</w:t>
            </w:r>
          </w:p>
        </w:tc>
        <w:tc>
          <w:tcPr>
            <w:tcW w:w="5765"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殡葬管理条例》第二章殡葬设施管理第八条：建设殡仪馆、火葬场，由县级人民政府和设区的市、自治州人民政府的民政部门提出方案，报本级人民政府审批；建设殡仪服务站、骨灰堂，由县级人民政府和设区的市、自治州人民政府的民政部门审批；建设公墓，经县级人民政府和设区的市、自治州人民政府的民政部门审核同意后，报省、自治区、直辖市人民政府民政部门审批。利用外资建设殡葬设施，经省、自治区、直辖市人民政府民政部门审核同意后，报国务院民政部门审批。农村为村民设置公益性墓地，经乡级人民政府审核同意后，报县级人民政府民政部门审批。</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《公墓管理暂行办法》第二章公墓的建立第十条：建立经营性公墓，由建墓单位向县级民政部门提出申请，经同级人民政府审核同意，报省、自治区、直辖市民政厅（局）批准。</w:t>
            </w:r>
          </w:p>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《河南省民政厅关于改革经营性公墓审批监管工作的通知》（豫民文〔2021〕158号）</w:t>
            </w:r>
            <w:r>
              <w:rPr>
                <w:rFonts w:hint="eastAsia" w:ascii="仿宋_GB2312" w:hAnsi="仿宋_GB2312" w:eastAsia="仿宋_GB2312" w:cs="仿宋_GB2312"/>
                <w:color w:val="auto"/>
                <w:kern w:val="0"/>
                <w:sz w:val="20"/>
                <w:szCs w:val="20"/>
                <w:highlight w:val="none"/>
                <w:u w:val="none" w:color="auto"/>
                <w:lang w:val="en-US" w:eastAsia="zh-CN"/>
              </w:rPr>
              <w:t>：</w:t>
            </w:r>
            <w:r>
              <w:rPr>
                <w:rFonts w:hint="eastAsia" w:ascii="仿宋_GB2312" w:hAnsi="仿宋_GB2312" w:eastAsia="仿宋_GB2312" w:cs="仿宋_GB2312"/>
                <w:color w:val="auto"/>
                <w:kern w:val="0"/>
                <w:sz w:val="20"/>
                <w:szCs w:val="20"/>
                <w:highlight w:val="none"/>
                <w:u w:val="none" w:color="auto"/>
              </w:rPr>
              <w:t>按照国务院和民政部通知要求，我省经营性公墓（含骨灰堂）审批权限，包括经营性公墓新建、迁建、扩建、行政许可变更和经营许可证发放等事项，下放至省辖市级民政部门，审批结果报省民政厅备案，省直管县（市）经营性公墓审批事项由所在省辖市负责。</w:t>
            </w:r>
          </w:p>
        </w:tc>
        <w:tc>
          <w:tcPr>
            <w:tcW w:w="440"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sz w:val="20"/>
                <w:szCs w:val="20"/>
                <w:highlight w:val="none"/>
                <w:u w:val="none" w:color="auto"/>
              </w:rPr>
              <w:t>行政许可</w:t>
            </w: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收件</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综合受理窗口受理。</w:t>
            </w:r>
          </w:p>
        </w:tc>
        <w:tc>
          <w:tcPr>
            <w:tcW w:w="253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rPr>
              <w:t>不履行或不正确履行职责，有下列情形的行政机关及相关工作人员应承担相应的责任：</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1</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殡仪服务人员利用工作之便索取财物的，由民政部门责令退赔</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构成犯罪的，依法追究刑事责任</w:t>
            </w:r>
          </w:p>
        </w:tc>
        <w:tc>
          <w:tcPr>
            <w:tcW w:w="934"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sz w:val="20"/>
                <w:szCs w:val="20"/>
                <w:highlight w:val="none"/>
                <w:u w:val="none" w:color="auto"/>
                <w:lang w:val="en-US" w:eastAsia="zh-CN"/>
              </w:rPr>
              <w:t>行政审批服务科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587"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受理</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民政部门受理。</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top"/>
              <w:rPr>
                <w:rFonts w:hint="eastAsia" w:ascii="仿宋_GB2312" w:hAnsi="仿宋_GB2312" w:eastAsia="仿宋_GB2312" w:cs="仿宋_GB2312"/>
                <w:color w:val="auto"/>
                <w:kern w:val="0"/>
                <w:sz w:val="20"/>
                <w:szCs w:val="20"/>
                <w:highlight w:val="none"/>
                <w:u w:val="none" w:color="auto"/>
                <w:lang w:val="en-US" w:eastAsia="zh-CN"/>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top"/>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587"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审核</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根据相关法律和政策审核。</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top"/>
              <w:rPr>
                <w:rFonts w:hint="eastAsia" w:ascii="仿宋_GB2312" w:hAnsi="仿宋_GB2312" w:eastAsia="仿宋_GB2312" w:cs="仿宋_GB2312"/>
                <w:color w:val="auto"/>
                <w:kern w:val="0"/>
                <w:sz w:val="20"/>
                <w:szCs w:val="20"/>
                <w:highlight w:val="none"/>
                <w:u w:val="none" w:color="auto"/>
                <w:lang w:val="en-US" w:eastAsia="zh-CN"/>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top"/>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587"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做出决定。</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top"/>
              <w:rPr>
                <w:rFonts w:hint="eastAsia" w:ascii="仿宋_GB2312" w:hAnsi="仿宋_GB2312" w:eastAsia="仿宋_GB2312" w:cs="仿宋_GB2312"/>
                <w:color w:val="auto"/>
                <w:kern w:val="0"/>
                <w:sz w:val="20"/>
                <w:szCs w:val="20"/>
                <w:highlight w:val="none"/>
                <w:u w:val="none" w:color="auto"/>
                <w:lang w:val="en-US" w:eastAsia="zh-CN"/>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top"/>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587"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送达</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结果送达。</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top"/>
              <w:rPr>
                <w:rFonts w:hint="eastAsia" w:ascii="仿宋_GB2312" w:hAnsi="仿宋_GB2312" w:eastAsia="仿宋_GB2312" w:cs="仿宋_GB2312"/>
                <w:color w:val="auto"/>
                <w:kern w:val="0"/>
                <w:sz w:val="20"/>
                <w:szCs w:val="20"/>
                <w:highlight w:val="none"/>
                <w:u w:val="none" w:color="auto"/>
                <w:lang w:val="en-US" w:eastAsia="zh-CN"/>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top"/>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778" w:hRule="atLeast"/>
          <w:jc w:val="center"/>
        </w:trPr>
        <w:tc>
          <w:tcPr>
            <w:tcW w:w="52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r>
              <w:rPr>
                <w:rFonts w:hint="eastAsia" w:ascii="仿宋_GB2312" w:hAnsi="仿宋_GB2312" w:eastAsia="仿宋_GB2312" w:cs="仿宋_GB2312"/>
                <w:color w:val="auto"/>
                <w:sz w:val="20"/>
                <w:szCs w:val="20"/>
                <w:highlight w:val="none"/>
                <w:u w:val="none" w:color="auto"/>
                <w:lang w:val="en-US" w:eastAsia="zh-CN"/>
              </w:rPr>
              <w:t>3</w:t>
            </w:r>
          </w:p>
        </w:tc>
        <w:tc>
          <w:tcPr>
            <w:tcW w:w="1112"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社会团体成立、变更、注销登记</w:t>
            </w:r>
          </w:p>
        </w:tc>
        <w:tc>
          <w:tcPr>
            <w:tcW w:w="5765" w:type="dxa"/>
            <w:vMerge w:val="restart"/>
            <w:noWrap w:val="0"/>
            <w:vAlign w:val="top"/>
          </w:tcPr>
          <w:p>
            <w:pPr>
              <w:keepNext w:val="0"/>
              <w:keepLines w:val="0"/>
              <w:pageBreakBefore w:val="0"/>
              <w:widowControl w:val="0"/>
              <w:kinsoku/>
              <w:wordWrap/>
              <w:overflowPunct w:val="0"/>
              <w:topLinePunct w:val="0"/>
              <w:autoSpaceDE/>
              <w:autoSpaceDN/>
              <w:bidi w:val="0"/>
              <w:adjustRightInd/>
              <w:snapToGrid/>
              <w:spacing w:line="260" w:lineRule="exact"/>
              <w:ind w:left="0" w:leftChars="0" w:right="0" w:firstLine="0" w:firstLineChars="0"/>
              <w:jc w:val="left"/>
              <w:textAlignment w:val="top"/>
              <w:outlineLvl w:val="9"/>
              <w:rPr>
                <w:rFonts w:hint="eastAsia" w:ascii="仿宋_GB2312" w:hAnsi="仿宋_GB2312" w:eastAsia="仿宋_GB2312" w:cs="仿宋_GB2312"/>
                <w:color w:val="auto"/>
                <w:spacing w:val="-6"/>
                <w:sz w:val="20"/>
                <w:szCs w:val="20"/>
                <w:highlight w:val="none"/>
                <w:u w:val="none" w:color="auto"/>
              </w:rPr>
            </w:pPr>
            <w:r>
              <w:rPr>
                <w:rFonts w:hint="eastAsia" w:ascii="仿宋_GB2312" w:hAnsi="仿宋_GB2312" w:eastAsia="仿宋_GB2312" w:cs="仿宋_GB2312"/>
                <w:color w:val="auto"/>
                <w:spacing w:val="-6"/>
                <w:sz w:val="20"/>
                <w:szCs w:val="20"/>
                <w:highlight w:val="none"/>
                <w:u w:val="none" w:color="auto"/>
              </w:rPr>
              <w:t>成立登记：</w:t>
            </w:r>
          </w:p>
          <w:p>
            <w:pPr>
              <w:keepNext w:val="0"/>
              <w:keepLines w:val="0"/>
              <w:pageBreakBefore w:val="0"/>
              <w:widowControl w:val="0"/>
              <w:kinsoku/>
              <w:wordWrap/>
              <w:overflowPunct w:val="0"/>
              <w:topLinePunct w:val="0"/>
              <w:autoSpaceDE/>
              <w:autoSpaceDN/>
              <w:bidi w:val="0"/>
              <w:adjustRightInd/>
              <w:snapToGrid/>
              <w:spacing w:line="260" w:lineRule="exact"/>
              <w:ind w:left="0" w:leftChars="0" w:right="0" w:firstLine="0" w:firstLineChars="0"/>
              <w:jc w:val="left"/>
              <w:textAlignment w:val="top"/>
              <w:outlineLvl w:val="9"/>
              <w:rPr>
                <w:rFonts w:hint="eastAsia" w:ascii="仿宋_GB2312" w:hAnsi="仿宋_GB2312" w:eastAsia="仿宋_GB2312" w:cs="仿宋_GB2312"/>
                <w:color w:val="auto"/>
                <w:spacing w:val="-6"/>
                <w:sz w:val="20"/>
                <w:szCs w:val="20"/>
                <w:highlight w:val="none"/>
                <w:u w:val="none" w:color="auto"/>
              </w:rPr>
            </w:pPr>
            <w:r>
              <w:rPr>
                <w:rFonts w:hint="eastAsia" w:ascii="仿宋_GB2312" w:hAnsi="仿宋_GB2312" w:eastAsia="仿宋_GB2312" w:cs="仿宋_GB2312"/>
                <w:color w:val="auto"/>
                <w:spacing w:val="-6"/>
                <w:sz w:val="20"/>
                <w:szCs w:val="20"/>
                <w:highlight w:val="none"/>
                <w:u w:val="none" w:color="auto"/>
              </w:rPr>
              <w:t>1</w:t>
            </w:r>
            <w:r>
              <w:rPr>
                <w:rFonts w:hint="eastAsia" w:ascii="仿宋_GB2312" w:hAnsi="仿宋_GB2312" w:eastAsia="仿宋_GB2312" w:cs="仿宋_GB2312"/>
                <w:color w:val="auto"/>
                <w:spacing w:val="-6"/>
                <w:sz w:val="20"/>
                <w:szCs w:val="20"/>
                <w:highlight w:val="none"/>
                <w:u w:val="none" w:color="auto"/>
                <w:lang w:eastAsia="zh-CN"/>
              </w:rPr>
              <w:t>．</w:t>
            </w:r>
            <w:r>
              <w:rPr>
                <w:rFonts w:hint="eastAsia" w:ascii="仿宋_GB2312" w:hAnsi="仿宋_GB2312" w:eastAsia="仿宋_GB2312" w:cs="仿宋_GB2312"/>
                <w:color w:val="auto"/>
                <w:spacing w:val="-6"/>
                <w:sz w:val="20"/>
                <w:szCs w:val="20"/>
                <w:highlight w:val="none"/>
                <w:u w:val="none" w:color="auto"/>
              </w:rPr>
              <w:t>《社会团体登记管理条例》（国务院、国务院令第250号；国务院、国务院令第666号《国务院关于修改部分行政法规的决定》修订）第十条 成立社会团体，应当具备下列条件：（一）有50个以上的个人会员或者30个以上的单位会员；个人会员、单位会员混合组成的，会员总数不得少于50个；（二）有规范的名称和相应的组织机构；（三）有固定的住所；（四）有与其业务活动相适应的专职工作人员；（五）有合法的资产和经费来源，全国性的社会团体有</w:t>
            </w:r>
            <w:r>
              <w:rPr>
                <w:rFonts w:hint="eastAsia" w:ascii="仿宋_GB2312" w:hAnsi="仿宋_GB2312" w:eastAsia="仿宋_GB2312" w:cs="仿宋_GB2312"/>
                <w:color w:val="auto"/>
                <w:spacing w:val="-6"/>
                <w:sz w:val="20"/>
                <w:szCs w:val="20"/>
                <w:highlight w:val="none"/>
                <w:u w:val="none" w:color="auto"/>
                <w:lang w:val="en-US" w:eastAsia="zh-CN"/>
              </w:rPr>
              <w:t>10</w:t>
            </w:r>
            <w:r>
              <w:rPr>
                <w:rFonts w:hint="eastAsia" w:ascii="仿宋_GB2312" w:hAnsi="仿宋_GB2312" w:eastAsia="仿宋_GB2312" w:cs="仿宋_GB2312"/>
                <w:color w:val="auto"/>
                <w:spacing w:val="-6"/>
                <w:sz w:val="20"/>
                <w:szCs w:val="20"/>
                <w:highlight w:val="none"/>
                <w:u w:val="none" w:color="auto"/>
              </w:rPr>
              <w:t>万元以上活动资金，地方性的社会团体和跨行政区域的社会团体有</w:t>
            </w:r>
            <w:r>
              <w:rPr>
                <w:rFonts w:hint="eastAsia" w:ascii="仿宋_GB2312" w:hAnsi="仿宋_GB2312" w:eastAsia="仿宋_GB2312" w:cs="仿宋_GB2312"/>
                <w:color w:val="auto"/>
                <w:spacing w:val="-6"/>
                <w:sz w:val="20"/>
                <w:szCs w:val="20"/>
                <w:highlight w:val="none"/>
                <w:u w:val="none" w:color="auto"/>
                <w:lang w:val="en-US" w:eastAsia="zh-CN"/>
              </w:rPr>
              <w:t>3</w:t>
            </w:r>
            <w:r>
              <w:rPr>
                <w:rFonts w:hint="eastAsia" w:ascii="仿宋_GB2312" w:hAnsi="仿宋_GB2312" w:eastAsia="仿宋_GB2312" w:cs="仿宋_GB2312"/>
                <w:color w:val="auto"/>
                <w:spacing w:val="-6"/>
                <w:sz w:val="20"/>
                <w:szCs w:val="20"/>
                <w:highlight w:val="none"/>
                <w:u w:val="none" w:color="auto"/>
              </w:rPr>
              <w:t>万元以上活动资金；（六）有独立承担民事责任的能力。</w:t>
            </w:r>
          </w:p>
          <w:p>
            <w:pPr>
              <w:keepNext w:val="0"/>
              <w:keepLines w:val="0"/>
              <w:pageBreakBefore w:val="0"/>
              <w:widowControl w:val="0"/>
              <w:kinsoku/>
              <w:wordWrap/>
              <w:overflowPunct w:val="0"/>
              <w:topLinePunct w:val="0"/>
              <w:autoSpaceDE/>
              <w:autoSpaceDN/>
              <w:bidi w:val="0"/>
              <w:adjustRightInd/>
              <w:snapToGrid/>
              <w:spacing w:line="260" w:lineRule="exact"/>
              <w:ind w:left="0" w:leftChars="0" w:right="0" w:firstLine="0" w:firstLineChars="0"/>
              <w:jc w:val="left"/>
              <w:textAlignment w:val="top"/>
              <w:outlineLvl w:val="9"/>
              <w:rPr>
                <w:rFonts w:hint="eastAsia" w:ascii="仿宋_GB2312" w:hAnsi="仿宋_GB2312" w:eastAsia="仿宋_GB2312" w:cs="仿宋_GB2312"/>
                <w:color w:val="auto"/>
                <w:spacing w:val="-6"/>
                <w:sz w:val="20"/>
                <w:szCs w:val="20"/>
                <w:highlight w:val="none"/>
                <w:u w:val="none" w:color="auto"/>
              </w:rPr>
            </w:pPr>
            <w:r>
              <w:rPr>
                <w:rFonts w:hint="eastAsia" w:ascii="仿宋_GB2312" w:hAnsi="仿宋_GB2312" w:eastAsia="仿宋_GB2312" w:cs="仿宋_GB2312"/>
                <w:color w:val="auto"/>
                <w:spacing w:val="-6"/>
                <w:sz w:val="20"/>
                <w:szCs w:val="20"/>
                <w:highlight w:val="none"/>
                <w:u w:val="none" w:color="auto"/>
              </w:rPr>
              <w:t>2</w:t>
            </w:r>
            <w:r>
              <w:rPr>
                <w:rFonts w:hint="eastAsia" w:ascii="仿宋_GB2312" w:hAnsi="仿宋_GB2312" w:eastAsia="仿宋_GB2312" w:cs="仿宋_GB2312"/>
                <w:color w:val="auto"/>
                <w:spacing w:val="-6"/>
                <w:sz w:val="20"/>
                <w:szCs w:val="20"/>
                <w:highlight w:val="none"/>
                <w:u w:val="none" w:color="auto"/>
                <w:lang w:eastAsia="zh-CN"/>
              </w:rPr>
              <w:t>．</w:t>
            </w:r>
            <w:r>
              <w:rPr>
                <w:rFonts w:hint="eastAsia" w:ascii="仿宋_GB2312" w:hAnsi="仿宋_GB2312" w:eastAsia="仿宋_GB2312" w:cs="仿宋_GB2312"/>
                <w:color w:val="auto"/>
                <w:spacing w:val="-6"/>
                <w:sz w:val="20"/>
                <w:szCs w:val="20"/>
                <w:highlight w:val="none"/>
                <w:u w:val="none" w:color="auto"/>
              </w:rPr>
              <w:t>《民政部关于社会组织成立登记时同步开展党建工作有关问题的通知》（民政部、民函〔2016〕257号）</w:t>
            </w:r>
            <w:r>
              <w:rPr>
                <w:rFonts w:hint="eastAsia" w:ascii="仿宋_GB2312" w:hAnsi="仿宋_GB2312" w:eastAsia="仿宋_GB2312" w:cs="仿宋_GB2312"/>
                <w:color w:val="auto"/>
                <w:spacing w:val="-6"/>
                <w:sz w:val="20"/>
                <w:szCs w:val="20"/>
                <w:highlight w:val="none"/>
                <w:u w:val="none" w:color="auto"/>
                <w:lang w:eastAsia="zh-CN"/>
              </w:rPr>
              <w:t>（</w:t>
            </w:r>
            <w:r>
              <w:rPr>
                <w:rFonts w:hint="eastAsia" w:ascii="仿宋_GB2312" w:hAnsi="仿宋_GB2312" w:eastAsia="仿宋_GB2312" w:cs="仿宋_GB2312"/>
                <w:color w:val="auto"/>
                <w:spacing w:val="-6"/>
                <w:sz w:val="20"/>
                <w:szCs w:val="20"/>
                <w:highlight w:val="none"/>
                <w:u w:val="none" w:color="auto"/>
              </w:rPr>
              <w:t>一</w:t>
            </w:r>
            <w:r>
              <w:rPr>
                <w:rFonts w:hint="eastAsia" w:ascii="仿宋_GB2312" w:hAnsi="仿宋_GB2312" w:eastAsia="仿宋_GB2312" w:cs="仿宋_GB2312"/>
                <w:color w:val="auto"/>
                <w:spacing w:val="-6"/>
                <w:sz w:val="20"/>
                <w:szCs w:val="20"/>
                <w:highlight w:val="none"/>
                <w:u w:val="none" w:color="auto"/>
                <w:lang w:eastAsia="zh-CN"/>
              </w:rPr>
              <w:t>）</w:t>
            </w:r>
            <w:r>
              <w:rPr>
                <w:rFonts w:hint="eastAsia" w:ascii="仿宋_GB2312" w:hAnsi="仿宋_GB2312" w:eastAsia="仿宋_GB2312" w:cs="仿宋_GB2312"/>
                <w:color w:val="auto"/>
                <w:spacing w:val="-6"/>
                <w:sz w:val="20"/>
                <w:szCs w:val="20"/>
                <w:highlight w:val="none"/>
                <w:u w:val="none" w:color="auto"/>
              </w:rPr>
              <w:t>申请新成立社会组织，应当同时向登记管理机关提交《社会组织党建工作承诺书》。登记管理机关批准社会组织登记后、社会组织申领证书前，应当由社会组织向登记管理机关提交《社会组织党员情况调查表》。《社会组织党建工作承诺书》《社会组织党员情况调查表》须由该组织拟任主要负责人和拟任法定代表人共同签字。变更登记：</w:t>
            </w:r>
          </w:p>
          <w:p>
            <w:pPr>
              <w:keepNext w:val="0"/>
              <w:keepLines w:val="0"/>
              <w:pageBreakBefore w:val="0"/>
              <w:widowControl w:val="0"/>
              <w:kinsoku/>
              <w:wordWrap/>
              <w:overflowPunct w:val="0"/>
              <w:topLinePunct w:val="0"/>
              <w:autoSpaceDE/>
              <w:autoSpaceDN/>
              <w:bidi w:val="0"/>
              <w:adjustRightInd/>
              <w:snapToGrid/>
              <w:spacing w:line="260" w:lineRule="exact"/>
              <w:ind w:left="0" w:leftChars="0" w:right="0" w:firstLine="0" w:firstLineChars="0"/>
              <w:jc w:val="left"/>
              <w:textAlignment w:val="top"/>
              <w:outlineLvl w:val="9"/>
              <w:rPr>
                <w:rFonts w:hint="eastAsia" w:ascii="仿宋_GB2312" w:hAnsi="仿宋_GB2312" w:eastAsia="仿宋_GB2312" w:cs="仿宋_GB2312"/>
                <w:color w:val="auto"/>
                <w:spacing w:val="-6"/>
                <w:sz w:val="20"/>
                <w:szCs w:val="20"/>
                <w:highlight w:val="none"/>
                <w:u w:val="none" w:color="auto"/>
              </w:rPr>
            </w:pPr>
            <w:r>
              <w:rPr>
                <w:rFonts w:hint="eastAsia" w:ascii="仿宋_GB2312" w:hAnsi="仿宋_GB2312" w:eastAsia="仿宋_GB2312" w:cs="仿宋_GB2312"/>
                <w:color w:val="auto"/>
                <w:spacing w:val="-6"/>
                <w:sz w:val="20"/>
                <w:szCs w:val="20"/>
                <w:highlight w:val="none"/>
                <w:u w:val="none" w:color="auto"/>
              </w:rPr>
              <w:t>1</w:t>
            </w:r>
            <w:r>
              <w:rPr>
                <w:rFonts w:hint="eastAsia" w:ascii="仿宋_GB2312" w:hAnsi="仿宋_GB2312" w:eastAsia="仿宋_GB2312" w:cs="仿宋_GB2312"/>
                <w:color w:val="auto"/>
                <w:spacing w:val="-6"/>
                <w:sz w:val="20"/>
                <w:szCs w:val="20"/>
                <w:highlight w:val="none"/>
                <w:u w:val="none" w:color="auto"/>
                <w:lang w:eastAsia="zh-CN"/>
              </w:rPr>
              <w:t>．</w:t>
            </w:r>
            <w:r>
              <w:rPr>
                <w:rFonts w:hint="eastAsia" w:ascii="仿宋_GB2312" w:hAnsi="仿宋_GB2312" w:eastAsia="仿宋_GB2312" w:cs="仿宋_GB2312"/>
                <w:color w:val="auto"/>
                <w:spacing w:val="-6"/>
                <w:sz w:val="20"/>
                <w:szCs w:val="20"/>
                <w:highlight w:val="none"/>
                <w:u w:val="none" w:color="auto"/>
              </w:rPr>
              <w:t>《社会团体登记管理条例》（国务院、国务院令第250号；国务院、国务院令第666号《国务院关于修改部分行政法规的决定》修订）第十一条：</w:t>
            </w:r>
            <w:r>
              <w:rPr>
                <w:rFonts w:hint="eastAsia" w:ascii="仿宋_GB2312" w:hAnsi="仿宋_GB2312" w:eastAsia="仿宋_GB2312" w:cs="仿宋_GB2312"/>
                <w:color w:val="auto"/>
                <w:spacing w:val="-6"/>
                <w:sz w:val="20"/>
                <w:szCs w:val="20"/>
                <w:highlight w:val="none"/>
                <w:u w:val="none" w:color="auto"/>
                <w:lang w:eastAsia="zh-CN"/>
              </w:rPr>
              <w:t>“</w:t>
            </w:r>
            <w:r>
              <w:rPr>
                <w:rFonts w:hint="eastAsia" w:ascii="仿宋_GB2312" w:hAnsi="仿宋_GB2312" w:eastAsia="仿宋_GB2312" w:cs="仿宋_GB2312"/>
                <w:color w:val="auto"/>
                <w:spacing w:val="-6"/>
                <w:sz w:val="20"/>
                <w:szCs w:val="20"/>
                <w:highlight w:val="none"/>
                <w:u w:val="none" w:color="auto"/>
              </w:rPr>
              <w:t>申请登记社会团体，发起人应当向登记管理机关提交以下文件：</w:t>
            </w:r>
            <w:r>
              <w:rPr>
                <w:rFonts w:hint="eastAsia" w:ascii="仿宋_GB2312" w:hAnsi="仿宋_GB2312" w:eastAsia="仿宋_GB2312" w:cs="仿宋_GB2312"/>
                <w:color w:val="auto"/>
                <w:spacing w:val="-6"/>
                <w:sz w:val="20"/>
                <w:szCs w:val="20"/>
                <w:highlight w:val="none"/>
                <w:u w:val="none" w:color="auto"/>
                <w:lang w:eastAsia="zh-CN"/>
              </w:rPr>
              <w:t>（</w:t>
            </w:r>
            <w:r>
              <w:rPr>
                <w:rFonts w:hint="eastAsia" w:ascii="仿宋_GB2312" w:hAnsi="仿宋_GB2312" w:eastAsia="仿宋_GB2312" w:cs="仿宋_GB2312"/>
                <w:color w:val="auto"/>
                <w:spacing w:val="-6"/>
                <w:sz w:val="20"/>
                <w:szCs w:val="20"/>
                <w:highlight w:val="none"/>
                <w:u w:val="none" w:color="auto"/>
              </w:rPr>
              <w:t>一</w:t>
            </w:r>
            <w:r>
              <w:rPr>
                <w:rFonts w:hint="eastAsia" w:ascii="仿宋_GB2312" w:hAnsi="仿宋_GB2312" w:eastAsia="仿宋_GB2312" w:cs="仿宋_GB2312"/>
                <w:color w:val="auto"/>
                <w:spacing w:val="-6"/>
                <w:sz w:val="20"/>
                <w:szCs w:val="20"/>
                <w:highlight w:val="none"/>
                <w:u w:val="none" w:color="auto"/>
                <w:lang w:eastAsia="zh-CN"/>
              </w:rPr>
              <w:t>）</w:t>
            </w:r>
            <w:r>
              <w:rPr>
                <w:rFonts w:hint="eastAsia" w:ascii="仿宋_GB2312" w:hAnsi="仿宋_GB2312" w:eastAsia="仿宋_GB2312" w:cs="仿宋_GB2312"/>
                <w:color w:val="auto"/>
                <w:spacing w:val="-6"/>
                <w:sz w:val="20"/>
                <w:szCs w:val="20"/>
                <w:highlight w:val="none"/>
                <w:u w:val="none" w:color="auto"/>
              </w:rPr>
              <w:t>登记申请书；</w:t>
            </w:r>
            <w:r>
              <w:rPr>
                <w:rFonts w:hint="eastAsia" w:ascii="仿宋_GB2312" w:hAnsi="仿宋_GB2312" w:eastAsia="仿宋_GB2312" w:cs="仿宋_GB2312"/>
                <w:color w:val="auto"/>
                <w:spacing w:val="-6"/>
                <w:sz w:val="20"/>
                <w:szCs w:val="20"/>
                <w:highlight w:val="none"/>
                <w:u w:val="none" w:color="auto"/>
                <w:lang w:eastAsia="zh-CN"/>
              </w:rPr>
              <w:t>（</w:t>
            </w:r>
            <w:r>
              <w:rPr>
                <w:rFonts w:hint="eastAsia" w:ascii="仿宋_GB2312" w:hAnsi="仿宋_GB2312" w:eastAsia="仿宋_GB2312" w:cs="仿宋_GB2312"/>
                <w:color w:val="auto"/>
                <w:spacing w:val="-6"/>
                <w:sz w:val="20"/>
                <w:szCs w:val="20"/>
                <w:highlight w:val="none"/>
                <w:u w:val="none" w:color="auto"/>
              </w:rPr>
              <w:t>二</w:t>
            </w:r>
            <w:r>
              <w:rPr>
                <w:rFonts w:hint="eastAsia" w:ascii="仿宋_GB2312" w:hAnsi="仿宋_GB2312" w:eastAsia="仿宋_GB2312" w:cs="仿宋_GB2312"/>
                <w:color w:val="auto"/>
                <w:spacing w:val="-6"/>
                <w:sz w:val="20"/>
                <w:szCs w:val="20"/>
                <w:highlight w:val="none"/>
                <w:u w:val="none" w:color="auto"/>
                <w:lang w:eastAsia="zh-CN"/>
              </w:rPr>
              <w:t>）</w:t>
            </w:r>
            <w:r>
              <w:rPr>
                <w:rFonts w:hint="eastAsia" w:ascii="仿宋_GB2312" w:hAnsi="仿宋_GB2312" w:eastAsia="仿宋_GB2312" w:cs="仿宋_GB2312"/>
                <w:color w:val="auto"/>
                <w:spacing w:val="-6"/>
                <w:sz w:val="20"/>
                <w:szCs w:val="20"/>
                <w:highlight w:val="none"/>
                <w:u w:val="none" w:color="auto"/>
              </w:rPr>
              <w:t>业务主管单位的批准文件；</w:t>
            </w:r>
            <w:r>
              <w:rPr>
                <w:rFonts w:hint="eastAsia" w:ascii="仿宋_GB2312" w:hAnsi="仿宋_GB2312" w:eastAsia="仿宋_GB2312" w:cs="仿宋_GB2312"/>
                <w:color w:val="auto"/>
                <w:spacing w:val="-6"/>
                <w:sz w:val="20"/>
                <w:szCs w:val="20"/>
                <w:highlight w:val="none"/>
                <w:u w:val="none" w:color="auto"/>
                <w:lang w:eastAsia="zh-CN"/>
              </w:rPr>
              <w:t>（</w:t>
            </w:r>
            <w:r>
              <w:rPr>
                <w:rFonts w:hint="eastAsia" w:ascii="仿宋_GB2312" w:hAnsi="仿宋_GB2312" w:eastAsia="仿宋_GB2312" w:cs="仿宋_GB2312"/>
                <w:color w:val="auto"/>
                <w:spacing w:val="-6"/>
                <w:sz w:val="20"/>
                <w:szCs w:val="20"/>
                <w:highlight w:val="none"/>
                <w:u w:val="none" w:color="auto"/>
              </w:rPr>
              <w:t>三</w:t>
            </w:r>
            <w:r>
              <w:rPr>
                <w:rFonts w:hint="eastAsia" w:ascii="仿宋_GB2312" w:hAnsi="仿宋_GB2312" w:eastAsia="仿宋_GB2312" w:cs="仿宋_GB2312"/>
                <w:color w:val="auto"/>
                <w:spacing w:val="-6"/>
                <w:sz w:val="20"/>
                <w:szCs w:val="20"/>
                <w:highlight w:val="none"/>
                <w:u w:val="none" w:color="auto"/>
                <w:lang w:eastAsia="zh-CN"/>
              </w:rPr>
              <w:t>）</w:t>
            </w:r>
            <w:r>
              <w:rPr>
                <w:rFonts w:hint="eastAsia" w:ascii="仿宋_GB2312" w:hAnsi="仿宋_GB2312" w:eastAsia="仿宋_GB2312" w:cs="仿宋_GB2312"/>
                <w:color w:val="auto"/>
                <w:spacing w:val="-6"/>
                <w:sz w:val="20"/>
                <w:szCs w:val="20"/>
                <w:highlight w:val="none"/>
                <w:u w:val="none" w:color="auto"/>
              </w:rPr>
              <w:t>验资报告、场所使用权证明；</w:t>
            </w:r>
            <w:r>
              <w:rPr>
                <w:rFonts w:hint="eastAsia" w:ascii="仿宋_GB2312" w:hAnsi="仿宋_GB2312" w:eastAsia="仿宋_GB2312" w:cs="仿宋_GB2312"/>
                <w:color w:val="auto"/>
                <w:spacing w:val="-6"/>
                <w:sz w:val="20"/>
                <w:szCs w:val="20"/>
                <w:highlight w:val="none"/>
                <w:u w:val="none" w:color="auto"/>
                <w:lang w:eastAsia="zh-CN"/>
              </w:rPr>
              <w:t>（</w:t>
            </w:r>
            <w:r>
              <w:rPr>
                <w:rFonts w:hint="eastAsia" w:ascii="仿宋_GB2312" w:hAnsi="仿宋_GB2312" w:eastAsia="仿宋_GB2312" w:cs="仿宋_GB2312"/>
                <w:color w:val="auto"/>
                <w:spacing w:val="-6"/>
                <w:sz w:val="20"/>
                <w:szCs w:val="20"/>
                <w:highlight w:val="none"/>
                <w:u w:val="none" w:color="auto"/>
              </w:rPr>
              <w:t>四</w:t>
            </w:r>
            <w:r>
              <w:rPr>
                <w:rFonts w:hint="eastAsia" w:ascii="仿宋_GB2312" w:hAnsi="仿宋_GB2312" w:eastAsia="仿宋_GB2312" w:cs="仿宋_GB2312"/>
                <w:color w:val="auto"/>
                <w:spacing w:val="-6"/>
                <w:sz w:val="20"/>
                <w:szCs w:val="20"/>
                <w:highlight w:val="none"/>
                <w:u w:val="none" w:color="auto"/>
                <w:lang w:eastAsia="zh-CN"/>
              </w:rPr>
              <w:t>）</w:t>
            </w:r>
            <w:r>
              <w:rPr>
                <w:rFonts w:hint="eastAsia" w:ascii="仿宋_GB2312" w:hAnsi="仿宋_GB2312" w:eastAsia="仿宋_GB2312" w:cs="仿宋_GB2312"/>
                <w:color w:val="auto"/>
                <w:spacing w:val="-6"/>
                <w:sz w:val="20"/>
                <w:szCs w:val="20"/>
                <w:highlight w:val="none"/>
                <w:u w:val="none" w:color="auto"/>
              </w:rPr>
              <w:t>发起人和拟任负责人的基本情况、身份证明；</w:t>
            </w:r>
            <w:r>
              <w:rPr>
                <w:rFonts w:hint="eastAsia" w:ascii="仿宋_GB2312" w:hAnsi="仿宋_GB2312" w:eastAsia="仿宋_GB2312" w:cs="仿宋_GB2312"/>
                <w:color w:val="auto"/>
                <w:spacing w:val="-6"/>
                <w:sz w:val="20"/>
                <w:szCs w:val="20"/>
                <w:highlight w:val="none"/>
                <w:u w:val="none" w:color="auto"/>
                <w:lang w:eastAsia="zh-CN"/>
              </w:rPr>
              <w:t>（</w:t>
            </w:r>
            <w:r>
              <w:rPr>
                <w:rFonts w:hint="eastAsia" w:ascii="仿宋_GB2312" w:hAnsi="仿宋_GB2312" w:eastAsia="仿宋_GB2312" w:cs="仿宋_GB2312"/>
                <w:color w:val="auto"/>
                <w:spacing w:val="-6"/>
                <w:sz w:val="20"/>
                <w:szCs w:val="20"/>
                <w:highlight w:val="none"/>
                <w:u w:val="none" w:color="auto"/>
              </w:rPr>
              <w:t>五</w:t>
            </w:r>
            <w:r>
              <w:rPr>
                <w:rFonts w:hint="eastAsia" w:ascii="仿宋_GB2312" w:hAnsi="仿宋_GB2312" w:eastAsia="仿宋_GB2312" w:cs="仿宋_GB2312"/>
                <w:color w:val="auto"/>
                <w:spacing w:val="-6"/>
                <w:sz w:val="20"/>
                <w:szCs w:val="20"/>
                <w:highlight w:val="none"/>
                <w:u w:val="none" w:color="auto"/>
                <w:lang w:eastAsia="zh-CN"/>
              </w:rPr>
              <w:t>）</w:t>
            </w:r>
            <w:r>
              <w:rPr>
                <w:rFonts w:hint="eastAsia" w:ascii="仿宋_GB2312" w:hAnsi="仿宋_GB2312" w:eastAsia="仿宋_GB2312" w:cs="仿宋_GB2312"/>
                <w:color w:val="auto"/>
                <w:spacing w:val="-6"/>
                <w:sz w:val="20"/>
                <w:szCs w:val="20"/>
                <w:highlight w:val="none"/>
                <w:u w:val="none" w:color="auto"/>
              </w:rPr>
              <w:t>章程草案。第十二条第二款社会团体登记事项包括：名称、住所、宗旨、业务范围、活动地域、法定代表人、活动资金和业务主管单位。第十八条 社会团体的登记事项需要变更的，应当自业务主管单位审查同意之日起30日内，向登记管理机关申请变更登记。第二十七条第二款 社会团体在换届或者更换法定代表人之前，登记管理机关、业务主管单位应当组织对其进行财务审计。</w:t>
            </w:r>
          </w:p>
          <w:p>
            <w:pPr>
              <w:keepNext w:val="0"/>
              <w:keepLines w:val="0"/>
              <w:pageBreakBefore w:val="0"/>
              <w:widowControl w:val="0"/>
              <w:kinsoku/>
              <w:wordWrap/>
              <w:overflowPunct w:val="0"/>
              <w:topLinePunct w:val="0"/>
              <w:autoSpaceDE/>
              <w:autoSpaceDN/>
              <w:bidi w:val="0"/>
              <w:adjustRightInd/>
              <w:snapToGrid/>
              <w:spacing w:line="250" w:lineRule="exact"/>
              <w:ind w:left="0" w:leftChars="0" w:right="0" w:firstLine="0" w:firstLineChars="0"/>
              <w:jc w:val="left"/>
              <w:textAlignment w:val="top"/>
              <w:outlineLvl w:val="9"/>
              <w:rPr>
                <w:rFonts w:hint="eastAsia" w:ascii="仿宋_GB2312" w:hAnsi="仿宋_GB2312" w:eastAsia="仿宋_GB2312" w:cs="仿宋_GB2312"/>
                <w:color w:val="auto"/>
                <w:spacing w:val="-6"/>
                <w:sz w:val="20"/>
                <w:szCs w:val="20"/>
                <w:highlight w:val="none"/>
                <w:u w:val="none" w:color="auto"/>
              </w:rPr>
            </w:pPr>
            <w:r>
              <w:rPr>
                <w:rFonts w:hint="eastAsia" w:ascii="仿宋_GB2312" w:hAnsi="仿宋_GB2312" w:eastAsia="仿宋_GB2312" w:cs="仿宋_GB2312"/>
                <w:color w:val="auto"/>
                <w:spacing w:val="-6"/>
                <w:sz w:val="20"/>
                <w:szCs w:val="20"/>
                <w:highlight w:val="none"/>
                <w:u w:val="none" w:color="auto"/>
              </w:rPr>
              <w:t>2</w:t>
            </w:r>
            <w:r>
              <w:rPr>
                <w:rFonts w:hint="eastAsia" w:ascii="仿宋_GB2312" w:hAnsi="仿宋_GB2312" w:eastAsia="仿宋_GB2312" w:cs="仿宋_GB2312"/>
                <w:color w:val="auto"/>
                <w:spacing w:val="-6"/>
                <w:sz w:val="20"/>
                <w:szCs w:val="20"/>
                <w:highlight w:val="none"/>
                <w:u w:val="none" w:color="auto"/>
                <w:lang w:eastAsia="zh-CN"/>
              </w:rPr>
              <w:t>．</w:t>
            </w:r>
            <w:r>
              <w:rPr>
                <w:rFonts w:hint="eastAsia" w:ascii="仿宋_GB2312" w:hAnsi="仿宋_GB2312" w:eastAsia="仿宋_GB2312" w:cs="仿宋_GB2312"/>
                <w:color w:val="auto"/>
                <w:spacing w:val="-6"/>
                <w:sz w:val="20"/>
                <w:szCs w:val="20"/>
                <w:highlight w:val="none"/>
                <w:u w:val="none" w:color="auto"/>
              </w:rPr>
              <w:t>《国务院关于国家行政机关和企业事业单位社会团体印章管理的规定》第二十四条 国家行政机关和企业事业单位、社会团体的印章，如因单位撤销、名称改变或换用新印章而停止使用时，应及时送交印章制发机关封存或销毁，或者按公安部会同有关部门另行制定的规定处理。</w:t>
            </w:r>
          </w:p>
          <w:p>
            <w:pPr>
              <w:keepNext w:val="0"/>
              <w:keepLines w:val="0"/>
              <w:pageBreakBefore w:val="0"/>
              <w:widowControl w:val="0"/>
              <w:kinsoku/>
              <w:wordWrap/>
              <w:overflowPunct w:val="0"/>
              <w:topLinePunct w:val="0"/>
              <w:autoSpaceDE/>
              <w:autoSpaceDN/>
              <w:bidi w:val="0"/>
              <w:adjustRightInd/>
              <w:snapToGrid/>
              <w:spacing w:line="250" w:lineRule="exact"/>
              <w:ind w:left="0" w:leftChars="0" w:right="0" w:firstLine="0" w:firstLineChars="0"/>
              <w:jc w:val="left"/>
              <w:textAlignment w:val="top"/>
              <w:outlineLvl w:val="9"/>
              <w:rPr>
                <w:rFonts w:hint="eastAsia" w:ascii="仿宋_GB2312" w:hAnsi="仿宋_GB2312" w:eastAsia="仿宋_GB2312" w:cs="仿宋_GB2312"/>
                <w:color w:val="auto"/>
                <w:spacing w:val="-6"/>
                <w:sz w:val="20"/>
                <w:szCs w:val="20"/>
                <w:highlight w:val="none"/>
                <w:u w:val="none" w:color="auto"/>
              </w:rPr>
            </w:pPr>
            <w:r>
              <w:rPr>
                <w:rFonts w:hint="eastAsia" w:ascii="仿宋_GB2312" w:hAnsi="仿宋_GB2312" w:eastAsia="仿宋_GB2312" w:cs="仿宋_GB2312"/>
                <w:color w:val="auto"/>
                <w:spacing w:val="-6"/>
                <w:sz w:val="20"/>
                <w:szCs w:val="20"/>
                <w:highlight w:val="none"/>
                <w:u w:val="none" w:color="auto"/>
              </w:rPr>
              <w:t>注销登记：</w:t>
            </w:r>
          </w:p>
          <w:p>
            <w:pPr>
              <w:keepNext w:val="0"/>
              <w:keepLines w:val="0"/>
              <w:pageBreakBefore w:val="0"/>
              <w:widowControl w:val="0"/>
              <w:kinsoku/>
              <w:wordWrap/>
              <w:overflowPunct w:val="0"/>
              <w:topLinePunct w:val="0"/>
              <w:autoSpaceDE/>
              <w:autoSpaceDN/>
              <w:bidi w:val="0"/>
              <w:adjustRightInd/>
              <w:snapToGrid/>
              <w:spacing w:line="250" w:lineRule="exact"/>
              <w:ind w:firstLine="0" w:firstLineChars="0"/>
              <w:jc w:val="left"/>
              <w:textAlignment w:val="top"/>
              <w:rPr>
                <w:rFonts w:hint="eastAsia" w:ascii="仿宋_GB2312" w:hAnsi="仿宋_GB2312" w:eastAsia="仿宋_GB2312" w:cs="仿宋_GB2312"/>
                <w:color w:val="auto"/>
                <w:spacing w:val="-6"/>
                <w:sz w:val="20"/>
                <w:szCs w:val="20"/>
                <w:highlight w:val="none"/>
                <w:u w:val="none" w:color="auto"/>
              </w:rPr>
            </w:pPr>
            <w:r>
              <w:rPr>
                <w:rFonts w:hint="eastAsia" w:ascii="仿宋_GB2312" w:hAnsi="仿宋_GB2312" w:eastAsia="仿宋_GB2312" w:cs="仿宋_GB2312"/>
                <w:color w:val="auto"/>
                <w:spacing w:val="-6"/>
                <w:sz w:val="20"/>
                <w:szCs w:val="20"/>
                <w:highlight w:val="none"/>
                <w:u w:val="none" w:color="auto"/>
              </w:rPr>
              <w:t>《社会团体登记管理条例》（国务院、国务院令第250号；国务院、国务院令第666号《国务院关于修改部分行政法规的决定》修订）第十九条 社会团体有下列情形之一的，应当在业务主管单位审查同意后，向登记管理机关申请注销登记：</w:t>
            </w:r>
          </w:p>
          <w:p>
            <w:pPr>
              <w:keepNext w:val="0"/>
              <w:keepLines w:val="0"/>
              <w:pageBreakBefore w:val="0"/>
              <w:widowControl w:val="0"/>
              <w:kinsoku/>
              <w:wordWrap/>
              <w:overflowPunct w:val="0"/>
              <w:topLinePunct w:val="0"/>
              <w:autoSpaceDE/>
              <w:autoSpaceDN/>
              <w:bidi w:val="0"/>
              <w:adjustRightInd/>
              <w:snapToGrid/>
              <w:spacing w:line="250" w:lineRule="exact"/>
              <w:ind w:firstLine="0" w:firstLineChars="0"/>
              <w:jc w:val="left"/>
              <w:textAlignment w:val="top"/>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spacing w:val="-6"/>
                <w:sz w:val="20"/>
                <w:szCs w:val="20"/>
                <w:highlight w:val="none"/>
                <w:u w:val="none" w:color="auto"/>
              </w:rPr>
              <w:t>（一）完成社会团体章程规定的宗旨的；（二）自行解散的；（三）分立、合并的；（四）由于其他原因终止的。第二十条 社会团体在办理注销登记前，应当在业务主管单位及其他有关机关的指导下，成立清算组织，完成清算工作。清算期间，社会团体不得开展清算以外的活动。第二十一条 社会团体应当自清算结束之日起15日内向登记管理机关办理注销登记。办理注销登记，应当提交法定代表人签署的注销登记申请书、业务主管单位的审查文件和清算报告书。登记管理机关准予注销登记的，发给注销证明文件，收缴该社会团体的登记证书、印章和财务凭证。</w:t>
            </w:r>
            <w:r>
              <w:rPr>
                <w:rFonts w:hint="eastAsia" w:ascii="仿宋_GB2312" w:hAnsi="仿宋_GB2312" w:eastAsia="仿宋_GB2312" w:cs="仿宋_GB2312"/>
                <w:b w:val="0"/>
                <w:bCs w:val="0"/>
                <w:color w:val="auto"/>
                <w:spacing w:val="-6"/>
                <w:kern w:val="0"/>
                <w:sz w:val="20"/>
                <w:szCs w:val="20"/>
                <w:highlight w:val="none"/>
                <w:u w:val="none" w:color="auto"/>
              </w:rPr>
              <w:t>法定代表人、活动资金和业务主管单位。社会团体的法定代表人，不得同时担任其他社会团体的法定代表人。第十九条：社会团体有下列情形之一的，应当在业务主管单位审查同意后，向登记管理机关申请注销登记：</w:t>
            </w:r>
            <w:r>
              <w:rPr>
                <w:rFonts w:hint="eastAsia" w:ascii="仿宋_GB2312" w:hAnsi="仿宋_GB2312" w:eastAsia="仿宋_GB2312" w:cs="仿宋_GB2312"/>
                <w:b w:val="0"/>
                <w:bCs w:val="0"/>
                <w:color w:val="auto"/>
                <w:spacing w:val="-6"/>
                <w:kern w:val="0"/>
                <w:sz w:val="20"/>
                <w:szCs w:val="20"/>
                <w:highlight w:val="none"/>
                <w:u w:val="none" w:color="auto"/>
                <w:lang w:eastAsia="zh-CN"/>
              </w:rPr>
              <w:t>（</w:t>
            </w:r>
            <w:r>
              <w:rPr>
                <w:rFonts w:hint="eastAsia" w:ascii="仿宋_GB2312" w:hAnsi="仿宋_GB2312" w:eastAsia="仿宋_GB2312" w:cs="仿宋_GB2312"/>
                <w:b w:val="0"/>
                <w:bCs w:val="0"/>
                <w:color w:val="auto"/>
                <w:spacing w:val="-6"/>
                <w:kern w:val="0"/>
                <w:sz w:val="20"/>
                <w:szCs w:val="20"/>
                <w:highlight w:val="none"/>
                <w:u w:val="none" w:color="auto"/>
              </w:rPr>
              <w:t>一</w:t>
            </w:r>
            <w:r>
              <w:rPr>
                <w:rFonts w:hint="eastAsia" w:ascii="仿宋_GB2312" w:hAnsi="仿宋_GB2312" w:eastAsia="仿宋_GB2312" w:cs="仿宋_GB2312"/>
                <w:b w:val="0"/>
                <w:bCs w:val="0"/>
                <w:color w:val="auto"/>
                <w:spacing w:val="-6"/>
                <w:kern w:val="0"/>
                <w:sz w:val="20"/>
                <w:szCs w:val="20"/>
                <w:highlight w:val="none"/>
                <w:u w:val="none" w:color="auto"/>
                <w:lang w:eastAsia="zh-CN"/>
              </w:rPr>
              <w:t>）</w:t>
            </w:r>
            <w:r>
              <w:rPr>
                <w:rFonts w:hint="eastAsia" w:ascii="仿宋_GB2312" w:hAnsi="仿宋_GB2312" w:eastAsia="仿宋_GB2312" w:cs="仿宋_GB2312"/>
                <w:b w:val="0"/>
                <w:bCs w:val="0"/>
                <w:color w:val="auto"/>
                <w:spacing w:val="-6"/>
                <w:kern w:val="0"/>
                <w:sz w:val="20"/>
                <w:szCs w:val="20"/>
                <w:highlight w:val="none"/>
                <w:u w:val="none" w:color="auto"/>
              </w:rPr>
              <w:t>完成社会团体章程规定的宗旨的；</w:t>
            </w:r>
            <w:r>
              <w:rPr>
                <w:rFonts w:hint="eastAsia" w:ascii="仿宋_GB2312" w:hAnsi="仿宋_GB2312" w:eastAsia="仿宋_GB2312" w:cs="仿宋_GB2312"/>
                <w:b w:val="0"/>
                <w:bCs w:val="0"/>
                <w:color w:val="auto"/>
                <w:spacing w:val="-6"/>
                <w:kern w:val="0"/>
                <w:sz w:val="20"/>
                <w:szCs w:val="20"/>
                <w:highlight w:val="none"/>
                <w:u w:val="none" w:color="auto"/>
                <w:lang w:eastAsia="zh-CN"/>
              </w:rPr>
              <w:t>（</w:t>
            </w:r>
            <w:r>
              <w:rPr>
                <w:rFonts w:hint="eastAsia" w:ascii="仿宋_GB2312" w:hAnsi="仿宋_GB2312" w:eastAsia="仿宋_GB2312" w:cs="仿宋_GB2312"/>
                <w:b w:val="0"/>
                <w:bCs w:val="0"/>
                <w:color w:val="auto"/>
                <w:spacing w:val="-6"/>
                <w:kern w:val="0"/>
                <w:sz w:val="20"/>
                <w:szCs w:val="20"/>
                <w:highlight w:val="none"/>
                <w:u w:val="none" w:color="auto"/>
              </w:rPr>
              <w:t>二</w:t>
            </w:r>
            <w:r>
              <w:rPr>
                <w:rFonts w:hint="eastAsia" w:ascii="仿宋_GB2312" w:hAnsi="仿宋_GB2312" w:eastAsia="仿宋_GB2312" w:cs="仿宋_GB2312"/>
                <w:b w:val="0"/>
                <w:bCs w:val="0"/>
                <w:color w:val="auto"/>
                <w:spacing w:val="-6"/>
                <w:kern w:val="0"/>
                <w:sz w:val="20"/>
                <w:szCs w:val="20"/>
                <w:highlight w:val="none"/>
                <w:u w:val="none" w:color="auto"/>
                <w:lang w:eastAsia="zh-CN"/>
              </w:rPr>
              <w:t>）</w:t>
            </w:r>
            <w:r>
              <w:rPr>
                <w:rFonts w:hint="eastAsia" w:ascii="仿宋_GB2312" w:hAnsi="仿宋_GB2312" w:eastAsia="仿宋_GB2312" w:cs="仿宋_GB2312"/>
                <w:b w:val="0"/>
                <w:bCs w:val="0"/>
                <w:color w:val="auto"/>
                <w:spacing w:val="-6"/>
                <w:kern w:val="0"/>
                <w:sz w:val="20"/>
                <w:szCs w:val="20"/>
                <w:highlight w:val="none"/>
                <w:u w:val="none" w:color="auto"/>
              </w:rPr>
              <w:t>自行解散的；</w:t>
            </w:r>
            <w:r>
              <w:rPr>
                <w:rFonts w:hint="eastAsia" w:ascii="仿宋_GB2312" w:hAnsi="仿宋_GB2312" w:eastAsia="仿宋_GB2312" w:cs="仿宋_GB2312"/>
                <w:b w:val="0"/>
                <w:bCs w:val="0"/>
                <w:color w:val="auto"/>
                <w:spacing w:val="-6"/>
                <w:kern w:val="0"/>
                <w:sz w:val="20"/>
                <w:szCs w:val="20"/>
                <w:highlight w:val="none"/>
                <w:u w:val="none" w:color="auto"/>
                <w:lang w:eastAsia="zh-CN"/>
              </w:rPr>
              <w:t>（</w:t>
            </w:r>
            <w:r>
              <w:rPr>
                <w:rFonts w:hint="eastAsia" w:ascii="仿宋_GB2312" w:hAnsi="仿宋_GB2312" w:eastAsia="仿宋_GB2312" w:cs="仿宋_GB2312"/>
                <w:b w:val="0"/>
                <w:bCs w:val="0"/>
                <w:color w:val="auto"/>
                <w:spacing w:val="-6"/>
                <w:kern w:val="0"/>
                <w:sz w:val="20"/>
                <w:szCs w:val="20"/>
                <w:highlight w:val="none"/>
                <w:u w:val="none" w:color="auto"/>
              </w:rPr>
              <w:t>三</w:t>
            </w:r>
            <w:r>
              <w:rPr>
                <w:rFonts w:hint="eastAsia" w:ascii="仿宋_GB2312" w:hAnsi="仿宋_GB2312" w:eastAsia="仿宋_GB2312" w:cs="仿宋_GB2312"/>
                <w:b w:val="0"/>
                <w:bCs w:val="0"/>
                <w:color w:val="auto"/>
                <w:spacing w:val="-6"/>
                <w:kern w:val="0"/>
                <w:sz w:val="20"/>
                <w:szCs w:val="20"/>
                <w:highlight w:val="none"/>
                <w:u w:val="none" w:color="auto"/>
                <w:lang w:eastAsia="zh-CN"/>
              </w:rPr>
              <w:t>）</w:t>
            </w:r>
            <w:r>
              <w:rPr>
                <w:rFonts w:hint="eastAsia" w:ascii="仿宋_GB2312" w:hAnsi="仿宋_GB2312" w:eastAsia="仿宋_GB2312" w:cs="仿宋_GB2312"/>
                <w:b w:val="0"/>
                <w:bCs w:val="0"/>
                <w:color w:val="auto"/>
                <w:spacing w:val="-6"/>
                <w:kern w:val="0"/>
                <w:sz w:val="20"/>
                <w:szCs w:val="20"/>
                <w:highlight w:val="none"/>
                <w:u w:val="none" w:color="auto"/>
              </w:rPr>
              <w:t>分立、合并的；</w:t>
            </w:r>
            <w:r>
              <w:rPr>
                <w:rFonts w:hint="eastAsia" w:ascii="仿宋_GB2312" w:hAnsi="仿宋_GB2312" w:eastAsia="仿宋_GB2312" w:cs="仿宋_GB2312"/>
                <w:b w:val="0"/>
                <w:bCs w:val="0"/>
                <w:color w:val="auto"/>
                <w:spacing w:val="-6"/>
                <w:kern w:val="0"/>
                <w:sz w:val="20"/>
                <w:szCs w:val="20"/>
                <w:highlight w:val="none"/>
                <w:u w:val="none" w:color="auto"/>
                <w:lang w:eastAsia="zh-CN"/>
              </w:rPr>
              <w:t>（</w:t>
            </w:r>
            <w:r>
              <w:rPr>
                <w:rFonts w:hint="eastAsia" w:ascii="仿宋_GB2312" w:hAnsi="仿宋_GB2312" w:eastAsia="仿宋_GB2312" w:cs="仿宋_GB2312"/>
                <w:b w:val="0"/>
                <w:bCs w:val="0"/>
                <w:color w:val="auto"/>
                <w:spacing w:val="-6"/>
                <w:kern w:val="0"/>
                <w:sz w:val="20"/>
                <w:szCs w:val="20"/>
                <w:highlight w:val="none"/>
                <w:u w:val="none" w:color="auto"/>
              </w:rPr>
              <w:t>四</w:t>
            </w:r>
            <w:r>
              <w:rPr>
                <w:rFonts w:hint="eastAsia" w:ascii="仿宋_GB2312" w:hAnsi="仿宋_GB2312" w:eastAsia="仿宋_GB2312" w:cs="仿宋_GB2312"/>
                <w:b w:val="0"/>
                <w:bCs w:val="0"/>
                <w:color w:val="auto"/>
                <w:spacing w:val="-6"/>
                <w:kern w:val="0"/>
                <w:sz w:val="20"/>
                <w:szCs w:val="20"/>
                <w:highlight w:val="none"/>
                <w:u w:val="none" w:color="auto"/>
                <w:lang w:eastAsia="zh-CN"/>
              </w:rPr>
              <w:t>）</w:t>
            </w:r>
            <w:r>
              <w:rPr>
                <w:rFonts w:hint="eastAsia" w:ascii="仿宋_GB2312" w:hAnsi="仿宋_GB2312" w:eastAsia="仿宋_GB2312" w:cs="仿宋_GB2312"/>
                <w:b w:val="0"/>
                <w:bCs w:val="0"/>
                <w:color w:val="auto"/>
                <w:spacing w:val="-6"/>
                <w:kern w:val="0"/>
                <w:sz w:val="20"/>
                <w:szCs w:val="20"/>
                <w:highlight w:val="none"/>
                <w:u w:val="none" w:color="auto"/>
              </w:rPr>
              <w:t>由于其他原因终止的。第二十一条：社会团体应当自清算结束之日起15日内向登记管理机关办理注销登记。办理注销登记，应当提交法定代表人签署的注销登记申请书、业务主管单位的审查文件和清算报告书。登记管理机关准予注销登记的，发给注销证明文件，收缴该社会团体的登记证书、印章和财务凭证。</w:t>
            </w:r>
          </w:p>
        </w:tc>
        <w:tc>
          <w:tcPr>
            <w:tcW w:w="440"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行政许可</w:t>
            </w:r>
          </w:p>
        </w:tc>
        <w:tc>
          <w:tcPr>
            <w:tcW w:w="467" w:type="dxa"/>
            <w:tcBorders>
              <w:bottom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收件</w:t>
            </w:r>
          </w:p>
        </w:tc>
        <w:tc>
          <w:tcPr>
            <w:tcW w:w="3644" w:type="dxa"/>
            <w:tcBorders>
              <w:bottom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lang w:eastAsia="zh-CN"/>
              </w:rPr>
            </w:pPr>
            <w:r>
              <w:rPr>
                <w:rFonts w:hint="eastAsia" w:ascii="仿宋_GB2312" w:hAnsi="仿宋_GB2312" w:eastAsia="仿宋_GB2312" w:cs="仿宋_GB2312"/>
                <w:color w:val="auto"/>
                <w:sz w:val="20"/>
                <w:szCs w:val="20"/>
                <w:highlight w:val="none"/>
                <w:u w:val="none" w:color="auto"/>
              </w:rPr>
              <w:t>申请人所交材料齐全的，予以收件；如所交材料不齐全或不符合法定要求的，一次告知申请人需要补正的内容</w:t>
            </w:r>
            <w:r>
              <w:rPr>
                <w:rFonts w:hint="eastAsia" w:ascii="仿宋_GB2312" w:hAnsi="仿宋_GB2312" w:eastAsia="仿宋_GB2312" w:cs="仿宋_GB2312"/>
                <w:color w:val="auto"/>
                <w:sz w:val="20"/>
                <w:szCs w:val="20"/>
                <w:highlight w:val="none"/>
                <w:u w:val="none" w:color="auto"/>
                <w:lang w:eastAsia="zh-CN"/>
              </w:rPr>
              <w:t>。</w:t>
            </w:r>
          </w:p>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253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sz w:val="20"/>
                <w:szCs w:val="20"/>
                <w:highlight w:val="none"/>
                <w:u w:val="none" w:color="auto"/>
                <w:lang w:val="en-US" w:eastAsia="zh-CN"/>
              </w:rPr>
            </w:pPr>
            <w:r>
              <w:rPr>
                <w:rFonts w:hint="eastAsia" w:ascii="仿宋_GB2312" w:hAnsi="仿宋_GB2312" w:eastAsia="仿宋_GB2312" w:cs="仿宋_GB2312"/>
                <w:color w:val="auto"/>
                <w:sz w:val="20"/>
                <w:szCs w:val="20"/>
                <w:highlight w:val="none"/>
                <w:u w:val="none" w:color="auto"/>
              </w:rPr>
              <w:t>不履行或不正确履行职责，有下列情形的行政机关及相关工作人员应承担相应的责任：</w:t>
            </w:r>
            <w:r>
              <w:rPr>
                <w:rFonts w:hint="eastAsia" w:ascii="仿宋_GB2312" w:hAnsi="仿宋_GB2312" w:eastAsia="仿宋_GB2312" w:cs="仿宋_GB2312"/>
                <w:color w:val="auto"/>
                <w:sz w:val="20"/>
                <w:szCs w:val="20"/>
                <w:highlight w:val="none"/>
                <w:u w:val="none" w:color="auto"/>
              </w:rPr>
              <w:br w:type="textWrapping"/>
            </w:r>
            <w:r>
              <w:rPr>
                <w:rFonts w:hint="eastAsia" w:ascii="仿宋_GB2312" w:hAnsi="仿宋_GB2312" w:eastAsia="仿宋_GB2312" w:cs="仿宋_GB2312"/>
                <w:color w:val="auto"/>
                <w:sz w:val="20"/>
                <w:szCs w:val="20"/>
                <w:highlight w:val="none"/>
                <w:u w:val="none" w:color="auto"/>
              </w:rPr>
              <w:t>1</w:t>
            </w:r>
            <w:r>
              <w:rPr>
                <w:rFonts w:hint="eastAsia" w:ascii="仿宋_GB2312" w:hAnsi="仿宋_GB2312" w:eastAsia="仿宋_GB2312" w:cs="仿宋_GB2312"/>
                <w:color w:val="auto"/>
                <w:sz w:val="20"/>
                <w:szCs w:val="20"/>
                <w:highlight w:val="none"/>
                <w:u w:val="none" w:color="auto"/>
                <w:lang w:eastAsia="zh-CN"/>
              </w:rPr>
              <w:t>．</w:t>
            </w:r>
            <w:r>
              <w:rPr>
                <w:rFonts w:hint="eastAsia" w:ascii="仿宋_GB2312" w:hAnsi="仿宋_GB2312" w:eastAsia="仿宋_GB2312" w:cs="仿宋_GB2312"/>
                <w:color w:val="auto"/>
                <w:sz w:val="20"/>
                <w:szCs w:val="20"/>
                <w:highlight w:val="none"/>
                <w:u w:val="none" w:color="auto"/>
              </w:rPr>
              <w:t>登记管理机关、业务主管单位的工作人员滥用职权、徇私舞弊、玩忽职守构成犯罪的，依法追究刑事责任；尚不构成犯罪的，依法给予行政处分</w:t>
            </w:r>
            <w:r>
              <w:rPr>
                <w:rFonts w:hint="eastAsia" w:ascii="仿宋_GB2312" w:hAnsi="仿宋_GB2312" w:eastAsia="仿宋_GB2312" w:cs="仿宋_GB2312"/>
                <w:color w:val="auto"/>
                <w:sz w:val="20"/>
                <w:szCs w:val="20"/>
                <w:highlight w:val="none"/>
                <w:u w:val="none" w:color="auto"/>
                <w:lang w:eastAsia="zh-CN"/>
              </w:rPr>
              <w:t>。</w:t>
            </w:r>
          </w:p>
        </w:tc>
        <w:tc>
          <w:tcPr>
            <w:tcW w:w="934"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sz w:val="20"/>
                <w:szCs w:val="20"/>
                <w:highlight w:val="none"/>
                <w:u w:val="none" w:color="auto"/>
                <w:lang w:val="en-US" w:eastAsia="zh-CN"/>
              </w:rPr>
              <w:t>行政审批服务科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778" w:hRule="atLeast"/>
          <w:jc w:val="center"/>
        </w:trPr>
        <w:tc>
          <w:tcPr>
            <w:tcW w:w="52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0"/>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50" w:lineRule="exact"/>
              <w:ind w:firstLine="0" w:firstLineChars="0"/>
              <w:jc w:val="left"/>
              <w:textAlignment w:val="top"/>
              <w:rPr>
                <w:rFonts w:hint="eastAsia" w:ascii="仿宋_GB2312" w:hAnsi="仿宋_GB2312" w:eastAsia="仿宋_GB2312" w:cs="仿宋_GB2312"/>
                <w:color w:val="auto"/>
                <w:spacing w:val="-6"/>
                <w:sz w:val="20"/>
                <w:szCs w:val="20"/>
                <w:highlight w:val="none"/>
                <w:u w:val="none" w:color="auto"/>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rPr>
            </w:pPr>
          </w:p>
        </w:tc>
        <w:tc>
          <w:tcPr>
            <w:tcW w:w="467" w:type="dxa"/>
            <w:tcBorders>
              <w:top w:val="single" w:color="auto" w:sz="4" w:space="0"/>
              <w:bottom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审核</w:t>
            </w:r>
          </w:p>
        </w:tc>
        <w:tc>
          <w:tcPr>
            <w:tcW w:w="3644" w:type="dxa"/>
            <w:tcBorders>
              <w:top w:val="single" w:color="auto" w:sz="4" w:space="0"/>
              <w:bottom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在受理申报材料后，提出初步意见</w:t>
            </w:r>
            <w:r>
              <w:rPr>
                <w:rFonts w:hint="eastAsia" w:ascii="仿宋_GB2312" w:hAnsi="仿宋_GB2312" w:eastAsia="仿宋_GB2312" w:cs="仿宋_GB2312"/>
                <w:color w:val="auto"/>
                <w:kern w:val="0"/>
                <w:sz w:val="20"/>
                <w:szCs w:val="20"/>
                <w:highlight w:val="none"/>
                <w:u w:val="none" w:color="auto"/>
                <w:lang w:eastAsia="zh-CN"/>
              </w:rPr>
              <w:t>。</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sz w:val="20"/>
                <w:szCs w:val="20"/>
                <w:highlight w:val="none"/>
                <w:u w:val="none" w:color="auto"/>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778" w:hRule="atLeast"/>
          <w:jc w:val="center"/>
        </w:trPr>
        <w:tc>
          <w:tcPr>
            <w:tcW w:w="52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0"/>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50" w:lineRule="exact"/>
              <w:ind w:firstLine="0" w:firstLineChars="0"/>
              <w:jc w:val="left"/>
              <w:textAlignment w:val="top"/>
              <w:rPr>
                <w:rFonts w:hint="eastAsia" w:ascii="仿宋_GB2312" w:hAnsi="仿宋_GB2312" w:eastAsia="仿宋_GB2312" w:cs="仿宋_GB2312"/>
                <w:color w:val="auto"/>
                <w:spacing w:val="-6"/>
                <w:sz w:val="20"/>
                <w:szCs w:val="20"/>
                <w:highlight w:val="none"/>
                <w:u w:val="none" w:color="auto"/>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rPr>
            </w:pPr>
          </w:p>
        </w:tc>
        <w:tc>
          <w:tcPr>
            <w:tcW w:w="467" w:type="dxa"/>
            <w:tcBorders>
              <w:top w:val="single" w:color="auto" w:sz="4" w:space="0"/>
              <w:bottom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w:t>
            </w:r>
          </w:p>
        </w:tc>
        <w:tc>
          <w:tcPr>
            <w:tcW w:w="3644" w:type="dxa"/>
            <w:tcBorders>
              <w:top w:val="single" w:color="auto" w:sz="4" w:space="0"/>
              <w:bottom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sz w:val="20"/>
                <w:szCs w:val="20"/>
                <w:highlight w:val="none"/>
                <w:u w:val="none" w:color="auto"/>
              </w:rPr>
              <w:t>在法定时限内做出是否同意申请事项的决定。</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sz w:val="20"/>
                <w:szCs w:val="20"/>
                <w:highlight w:val="none"/>
                <w:u w:val="none" w:color="auto"/>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025" w:hRule="atLeast"/>
          <w:jc w:val="center"/>
        </w:trPr>
        <w:tc>
          <w:tcPr>
            <w:tcW w:w="52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0"/>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50" w:lineRule="exact"/>
              <w:ind w:firstLine="0" w:firstLineChars="0"/>
              <w:jc w:val="left"/>
              <w:textAlignment w:val="top"/>
              <w:rPr>
                <w:rFonts w:hint="eastAsia" w:ascii="仿宋_GB2312" w:hAnsi="仿宋_GB2312" w:eastAsia="仿宋_GB2312" w:cs="仿宋_GB2312"/>
                <w:color w:val="auto"/>
                <w:spacing w:val="-6"/>
                <w:sz w:val="20"/>
                <w:szCs w:val="20"/>
                <w:highlight w:val="none"/>
                <w:u w:val="none" w:color="auto"/>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rPr>
            </w:pPr>
          </w:p>
        </w:tc>
        <w:tc>
          <w:tcPr>
            <w:tcW w:w="467" w:type="dxa"/>
            <w:tcBorders>
              <w:top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送达</w:t>
            </w:r>
          </w:p>
        </w:tc>
        <w:tc>
          <w:tcPr>
            <w:tcW w:w="3644" w:type="dxa"/>
            <w:tcBorders>
              <w:top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结果送达。</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sz w:val="20"/>
                <w:szCs w:val="20"/>
                <w:highlight w:val="none"/>
                <w:u w:val="none" w:color="auto"/>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721" w:hRule="atLeast"/>
          <w:jc w:val="center"/>
        </w:trPr>
        <w:tc>
          <w:tcPr>
            <w:tcW w:w="52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lang w:val="en-US" w:eastAsia="zh-CN"/>
              </w:rPr>
              <w:t>4</w:t>
            </w:r>
          </w:p>
        </w:tc>
        <w:tc>
          <w:tcPr>
            <w:tcW w:w="1112"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民办非企业单位成立、变更、注销登记</w:t>
            </w:r>
          </w:p>
        </w:tc>
        <w:tc>
          <w:tcPr>
            <w:tcW w:w="5765"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30" w:lineRule="exact"/>
              <w:ind w:left="0" w:leftChars="0" w:right="0" w:firstLine="0" w:firstLineChars="0"/>
              <w:jc w:val="left"/>
              <w:textAlignment w:val="center"/>
              <w:outlineLvl w:val="9"/>
              <w:rPr>
                <w:rFonts w:hint="eastAsia" w:ascii="仿宋_GB2312" w:hAnsi="仿宋_GB2312" w:eastAsia="仿宋_GB2312" w:cs="仿宋_GB2312"/>
                <w:color w:val="auto"/>
                <w:spacing w:val="-6"/>
                <w:kern w:val="0"/>
                <w:sz w:val="19"/>
                <w:szCs w:val="19"/>
                <w:highlight w:val="none"/>
                <w:u w:val="none" w:color="auto"/>
              </w:rPr>
            </w:pPr>
            <w:r>
              <w:rPr>
                <w:rFonts w:hint="eastAsia" w:ascii="仿宋_GB2312" w:hAnsi="仿宋_GB2312" w:eastAsia="仿宋_GB2312" w:cs="仿宋_GB2312"/>
                <w:color w:val="auto"/>
                <w:spacing w:val="-6"/>
                <w:kern w:val="0"/>
                <w:sz w:val="19"/>
                <w:szCs w:val="19"/>
                <w:highlight w:val="none"/>
                <w:u w:val="none" w:color="auto"/>
              </w:rPr>
              <w:t>成立登记：</w:t>
            </w:r>
          </w:p>
          <w:p>
            <w:pPr>
              <w:keepNext w:val="0"/>
              <w:keepLines w:val="0"/>
              <w:pageBreakBefore w:val="0"/>
              <w:widowControl w:val="0"/>
              <w:kinsoku/>
              <w:wordWrap/>
              <w:overflowPunct w:val="0"/>
              <w:topLinePunct w:val="0"/>
              <w:autoSpaceDE/>
              <w:autoSpaceDN/>
              <w:bidi w:val="0"/>
              <w:adjustRightInd/>
              <w:snapToGrid/>
              <w:spacing w:line="230" w:lineRule="exact"/>
              <w:ind w:left="0" w:leftChars="0" w:right="0" w:firstLine="0" w:firstLineChars="0"/>
              <w:jc w:val="left"/>
              <w:textAlignment w:val="center"/>
              <w:outlineLvl w:val="9"/>
              <w:rPr>
                <w:rFonts w:hint="eastAsia" w:ascii="仿宋_GB2312" w:hAnsi="仿宋_GB2312" w:eastAsia="仿宋_GB2312" w:cs="仿宋_GB2312"/>
                <w:color w:val="auto"/>
                <w:spacing w:val="-6"/>
                <w:kern w:val="0"/>
                <w:sz w:val="19"/>
                <w:szCs w:val="19"/>
                <w:highlight w:val="none"/>
                <w:u w:val="none" w:color="auto"/>
              </w:rPr>
            </w:pPr>
            <w:r>
              <w:rPr>
                <w:rFonts w:hint="eastAsia" w:ascii="仿宋_GB2312" w:hAnsi="仿宋_GB2312" w:eastAsia="仿宋_GB2312" w:cs="仿宋_GB2312"/>
                <w:color w:val="auto"/>
                <w:spacing w:val="-6"/>
                <w:kern w:val="0"/>
                <w:sz w:val="19"/>
                <w:szCs w:val="19"/>
                <w:highlight w:val="none"/>
                <w:u w:val="none" w:color="auto"/>
              </w:rPr>
              <w:t>《民办非企业单位登记管理暂行条例》（国务院，国务院令第251号）第三条：成立民办非企业单位，应当经其业务主管单位审查同意，并依照本条例的规定登记。第五条：国务院民政部门和县级以上地方各级人民政府民政部门是本级人民政府的民办非企业单位登记管理机关（以下简称登记管理机关）。国务院有关部门和县级以上地方各级人民政府的有关部门、国务院或者县级以上地方各级人民政府授权的组织，是有关行业、业务范围内民办非企业单位的业务主管单位（以下简称业务主管单位）。法律、行政法规对民办非企业单位的监督管理另有规定的，依照有关法律、行政法规的规定执行。第八条：申请登记民办非企业单位，应当具备下列条件：（一）经业务主管单位审查同意；（二）有规范的名称、必要的组织机构；（三）有与其业务活动相适应的从业人员；（四）有与其业务活动相适应的合法财产；（五）有必要的场所。民办非企业单位的名称应当符合国务院民政部门的规定，不得冠以</w:t>
            </w:r>
            <w:r>
              <w:rPr>
                <w:rFonts w:hint="eastAsia" w:ascii="仿宋_GB2312" w:hAnsi="仿宋_GB2312" w:eastAsia="仿宋_GB2312" w:cs="仿宋_GB2312"/>
                <w:color w:val="auto"/>
                <w:spacing w:val="-6"/>
                <w:kern w:val="0"/>
                <w:sz w:val="19"/>
                <w:szCs w:val="19"/>
                <w:highlight w:val="none"/>
                <w:u w:val="none" w:color="auto"/>
                <w:lang w:eastAsia="zh-CN"/>
              </w:rPr>
              <w:t>“</w:t>
            </w:r>
            <w:r>
              <w:rPr>
                <w:rFonts w:hint="eastAsia" w:ascii="仿宋_GB2312" w:hAnsi="仿宋_GB2312" w:eastAsia="仿宋_GB2312" w:cs="仿宋_GB2312"/>
                <w:color w:val="auto"/>
                <w:spacing w:val="-6"/>
                <w:kern w:val="0"/>
                <w:sz w:val="19"/>
                <w:szCs w:val="19"/>
                <w:highlight w:val="none"/>
                <w:u w:val="none" w:color="auto"/>
              </w:rPr>
              <w:t>中国</w:t>
            </w:r>
            <w:r>
              <w:rPr>
                <w:rFonts w:hint="eastAsia" w:ascii="仿宋_GB2312" w:hAnsi="仿宋_GB2312" w:eastAsia="仿宋_GB2312" w:cs="仿宋_GB2312"/>
                <w:color w:val="auto"/>
                <w:spacing w:val="-6"/>
                <w:kern w:val="0"/>
                <w:sz w:val="19"/>
                <w:szCs w:val="19"/>
                <w:highlight w:val="none"/>
                <w:u w:val="none" w:color="auto"/>
                <w:lang w:eastAsia="zh-CN"/>
              </w:rPr>
              <w:t>”</w:t>
            </w:r>
            <w:r>
              <w:rPr>
                <w:rFonts w:hint="eastAsia" w:ascii="仿宋_GB2312" w:hAnsi="仿宋_GB2312" w:eastAsia="仿宋_GB2312" w:cs="仿宋_GB2312"/>
                <w:color w:val="auto"/>
                <w:spacing w:val="-6"/>
                <w:kern w:val="0"/>
                <w:sz w:val="19"/>
                <w:szCs w:val="19"/>
                <w:highlight w:val="none"/>
                <w:u w:val="none" w:color="auto"/>
              </w:rPr>
              <w:t>、</w:t>
            </w:r>
            <w:r>
              <w:rPr>
                <w:rFonts w:hint="eastAsia" w:ascii="仿宋_GB2312" w:hAnsi="仿宋_GB2312" w:eastAsia="仿宋_GB2312" w:cs="仿宋_GB2312"/>
                <w:color w:val="auto"/>
                <w:spacing w:val="-6"/>
                <w:kern w:val="0"/>
                <w:sz w:val="19"/>
                <w:szCs w:val="19"/>
                <w:highlight w:val="none"/>
                <w:u w:val="none" w:color="auto"/>
                <w:lang w:eastAsia="zh-CN"/>
              </w:rPr>
              <w:t>“</w:t>
            </w:r>
            <w:r>
              <w:rPr>
                <w:rFonts w:hint="eastAsia" w:ascii="仿宋_GB2312" w:hAnsi="仿宋_GB2312" w:eastAsia="仿宋_GB2312" w:cs="仿宋_GB2312"/>
                <w:color w:val="auto"/>
                <w:spacing w:val="-6"/>
                <w:kern w:val="0"/>
                <w:sz w:val="19"/>
                <w:szCs w:val="19"/>
                <w:highlight w:val="none"/>
                <w:u w:val="none" w:color="auto"/>
              </w:rPr>
              <w:t>全国</w:t>
            </w:r>
            <w:r>
              <w:rPr>
                <w:rFonts w:hint="eastAsia" w:ascii="仿宋_GB2312" w:hAnsi="仿宋_GB2312" w:eastAsia="仿宋_GB2312" w:cs="仿宋_GB2312"/>
                <w:color w:val="auto"/>
                <w:spacing w:val="-6"/>
                <w:kern w:val="0"/>
                <w:sz w:val="19"/>
                <w:szCs w:val="19"/>
                <w:highlight w:val="none"/>
                <w:u w:val="none" w:color="auto"/>
                <w:lang w:eastAsia="zh-CN"/>
              </w:rPr>
              <w:t>”</w:t>
            </w:r>
            <w:r>
              <w:rPr>
                <w:rFonts w:hint="eastAsia" w:ascii="仿宋_GB2312" w:hAnsi="仿宋_GB2312" w:eastAsia="仿宋_GB2312" w:cs="仿宋_GB2312"/>
                <w:color w:val="auto"/>
                <w:spacing w:val="-6"/>
                <w:kern w:val="0"/>
                <w:sz w:val="19"/>
                <w:szCs w:val="19"/>
                <w:highlight w:val="none"/>
                <w:u w:val="none" w:color="auto"/>
              </w:rPr>
              <w:t>、</w:t>
            </w:r>
            <w:r>
              <w:rPr>
                <w:rFonts w:hint="eastAsia" w:ascii="仿宋_GB2312" w:hAnsi="仿宋_GB2312" w:eastAsia="仿宋_GB2312" w:cs="仿宋_GB2312"/>
                <w:color w:val="auto"/>
                <w:spacing w:val="-6"/>
                <w:kern w:val="0"/>
                <w:sz w:val="19"/>
                <w:szCs w:val="19"/>
                <w:highlight w:val="none"/>
                <w:u w:val="none" w:color="auto"/>
                <w:lang w:eastAsia="zh-CN"/>
              </w:rPr>
              <w:t>“</w:t>
            </w:r>
            <w:r>
              <w:rPr>
                <w:rFonts w:hint="eastAsia" w:ascii="仿宋_GB2312" w:hAnsi="仿宋_GB2312" w:eastAsia="仿宋_GB2312" w:cs="仿宋_GB2312"/>
                <w:color w:val="auto"/>
                <w:spacing w:val="-6"/>
                <w:kern w:val="0"/>
                <w:sz w:val="19"/>
                <w:szCs w:val="19"/>
                <w:highlight w:val="none"/>
                <w:u w:val="none" w:color="auto"/>
              </w:rPr>
              <w:t>中华</w:t>
            </w:r>
            <w:r>
              <w:rPr>
                <w:rFonts w:hint="eastAsia" w:ascii="仿宋_GB2312" w:hAnsi="仿宋_GB2312" w:eastAsia="仿宋_GB2312" w:cs="仿宋_GB2312"/>
                <w:color w:val="auto"/>
                <w:spacing w:val="-6"/>
                <w:kern w:val="0"/>
                <w:sz w:val="19"/>
                <w:szCs w:val="19"/>
                <w:highlight w:val="none"/>
                <w:u w:val="none" w:color="auto"/>
                <w:lang w:eastAsia="zh-CN"/>
              </w:rPr>
              <w:t>”</w:t>
            </w:r>
            <w:r>
              <w:rPr>
                <w:rFonts w:hint="eastAsia" w:ascii="仿宋_GB2312" w:hAnsi="仿宋_GB2312" w:eastAsia="仿宋_GB2312" w:cs="仿宋_GB2312"/>
                <w:color w:val="auto"/>
                <w:spacing w:val="-6"/>
                <w:kern w:val="0"/>
                <w:sz w:val="19"/>
                <w:szCs w:val="19"/>
                <w:highlight w:val="none"/>
                <w:u w:val="none" w:color="auto"/>
              </w:rPr>
              <w:t>等字样。第九条：申请民办非企业单位登记，举办者应当向登记管理机关提交下列文件：（一）登记申请书；（二）业务主管单位的批准文件；（三）场所使用权证明；（四）验资报告；（五）拟任负责人的基本情况、身份证明；（六）章程草案。</w:t>
            </w:r>
          </w:p>
          <w:p>
            <w:pPr>
              <w:keepNext w:val="0"/>
              <w:keepLines w:val="0"/>
              <w:pageBreakBefore w:val="0"/>
              <w:widowControl w:val="0"/>
              <w:kinsoku/>
              <w:wordWrap/>
              <w:overflowPunct w:val="0"/>
              <w:topLinePunct w:val="0"/>
              <w:autoSpaceDE/>
              <w:autoSpaceDN/>
              <w:bidi w:val="0"/>
              <w:adjustRightInd/>
              <w:snapToGrid/>
              <w:spacing w:line="230" w:lineRule="exact"/>
              <w:ind w:left="0" w:leftChars="0" w:right="0" w:firstLine="0" w:firstLineChars="0"/>
              <w:jc w:val="left"/>
              <w:textAlignment w:val="center"/>
              <w:outlineLvl w:val="9"/>
              <w:rPr>
                <w:rFonts w:hint="eastAsia" w:ascii="仿宋_GB2312" w:hAnsi="仿宋_GB2312" w:eastAsia="仿宋_GB2312" w:cs="仿宋_GB2312"/>
                <w:color w:val="auto"/>
                <w:spacing w:val="-6"/>
                <w:kern w:val="0"/>
                <w:sz w:val="19"/>
                <w:szCs w:val="19"/>
                <w:highlight w:val="none"/>
                <w:u w:val="none" w:color="auto"/>
              </w:rPr>
            </w:pPr>
            <w:r>
              <w:rPr>
                <w:rFonts w:hint="eastAsia" w:ascii="仿宋_GB2312" w:hAnsi="仿宋_GB2312" w:eastAsia="仿宋_GB2312" w:cs="仿宋_GB2312"/>
                <w:color w:val="auto"/>
                <w:spacing w:val="-6"/>
                <w:kern w:val="0"/>
                <w:sz w:val="19"/>
                <w:szCs w:val="19"/>
                <w:highlight w:val="none"/>
                <w:u w:val="none" w:color="auto"/>
              </w:rPr>
              <w:t>变更登记：</w:t>
            </w:r>
          </w:p>
          <w:p>
            <w:pPr>
              <w:keepNext w:val="0"/>
              <w:keepLines w:val="0"/>
              <w:pageBreakBefore w:val="0"/>
              <w:widowControl w:val="0"/>
              <w:kinsoku/>
              <w:wordWrap/>
              <w:overflowPunct w:val="0"/>
              <w:topLinePunct w:val="0"/>
              <w:autoSpaceDE/>
              <w:autoSpaceDN/>
              <w:bidi w:val="0"/>
              <w:adjustRightInd/>
              <w:snapToGrid/>
              <w:spacing w:line="230" w:lineRule="exact"/>
              <w:ind w:left="0" w:leftChars="0" w:right="0" w:firstLine="0" w:firstLineChars="0"/>
              <w:jc w:val="left"/>
              <w:textAlignment w:val="center"/>
              <w:outlineLvl w:val="9"/>
              <w:rPr>
                <w:rFonts w:hint="eastAsia" w:ascii="仿宋_GB2312" w:hAnsi="仿宋_GB2312" w:eastAsia="仿宋_GB2312" w:cs="仿宋_GB2312"/>
                <w:color w:val="auto"/>
                <w:spacing w:val="-6"/>
                <w:kern w:val="0"/>
                <w:sz w:val="19"/>
                <w:szCs w:val="19"/>
                <w:highlight w:val="none"/>
                <w:u w:val="none" w:color="auto"/>
              </w:rPr>
            </w:pPr>
            <w:r>
              <w:rPr>
                <w:rFonts w:hint="eastAsia" w:ascii="仿宋_GB2312" w:hAnsi="仿宋_GB2312" w:eastAsia="仿宋_GB2312" w:cs="仿宋_GB2312"/>
                <w:color w:val="auto"/>
                <w:spacing w:val="-6"/>
                <w:kern w:val="0"/>
                <w:sz w:val="19"/>
                <w:szCs w:val="19"/>
                <w:highlight w:val="none"/>
                <w:u w:val="none" w:color="auto"/>
              </w:rPr>
              <w:t>1</w:t>
            </w:r>
            <w:r>
              <w:rPr>
                <w:rFonts w:hint="eastAsia" w:ascii="仿宋_GB2312" w:hAnsi="仿宋_GB2312" w:eastAsia="仿宋_GB2312" w:cs="仿宋_GB2312"/>
                <w:color w:val="auto"/>
                <w:spacing w:val="-6"/>
                <w:kern w:val="0"/>
                <w:sz w:val="19"/>
                <w:szCs w:val="19"/>
                <w:highlight w:val="none"/>
                <w:u w:val="none" w:color="auto"/>
                <w:lang w:eastAsia="zh-CN"/>
              </w:rPr>
              <w:t>．</w:t>
            </w:r>
            <w:r>
              <w:rPr>
                <w:rFonts w:hint="eastAsia" w:ascii="仿宋_GB2312" w:hAnsi="仿宋_GB2312" w:eastAsia="仿宋_GB2312" w:cs="仿宋_GB2312"/>
                <w:color w:val="auto"/>
                <w:spacing w:val="-6"/>
                <w:kern w:val="0"/>
                <w:sz w:val="19"/>
                <w:szCs w:val="19"/>
                <w:highlight w:val="none"/>
                <w:u w:val="none" w:color="auto"/>
              </w:rPr>
              <w:t>《民办非企业单位登记管理暂行条例》（国务院、国务院令第251号）第十五条 民办非企业单位的登记事项需要变更的，应当自业务主管单位审查同意之日起３０日内，向登记管理机关申请变更登记。民办非企业单位修改章程，应当自业务主管单位审查同意之日起３０日内，报登记管理机关核准。</w:t>
            </w:r>
          </w:p>
          <w:p>
            <w:pPr>
              <w:keepNext w:val="0"/>
              <w:keepLines w:val="0"/>
              <w:pageBreakBefore w:val="0"/>
              <w:widowControl w:val="0"/>
              <w:kinsoku/>
              <w:wordWrap/>
              <w:overflowPunct w:val="0"/>
              <w:topLinePunct w:val="0"/>
              <w:autoSpaceDE/>
              <w:autoSpaceDN/>
              <w:bidi w:val="0"/>
              <w:adjustRightInd/>
              <w:snapToGrid/>
              <w:spacing w:line="230" w:lineRule="exact"/>
              <w:ind w:left="0" w:leftChars="0" w:right="0" w:firstLine="0" w:firstLineChars="0"/>
              <w:jc w:val="left"/>
              <w:textAlignment w:val="center"/>
              <w:outlineLvl w:val="9"/>
              <w:rPr>
                <w:rFonts w:hint="eastAsia" w:ascii="仿宋_GB2312" w:hAnsi="仿宋_GB2312" w:eastAsia="仿宋_GB2312" w:cs="仿宋_GB2312"/>
                <w:color w:val="auto"/>
                <w:spacing w:val="-11"/>
                <w:kern w:val="0"/>
                <w:sz w:val="19"/>
                <w:szCs w:val="19"/>
                <w:highlight w:val="none"/>
                <w:u w:val="none" w:color="auto"/>
              </w:rPr>
            </w:pPr>
            <w:r>
              <w:rPr>
                <w:rFonts w:hint="eastAsia" w:ascii="仿宋_GB2312" w:hAnsi="仿宋_GB2312" w:eastAsia="仿宋_GB2312" w:cs="仿宋_GB2312"/>
                <w:color w:val="auto"/>
                <w:spacing w:val="-6"/>
                <w:kern w:val="0"/>
                <w:sz w:val="19"/>
                <w:szCs w:val="19"/>
                <w:highlight w:val="none"/>
                <w:u w:val="none" w:color="auto"/>
              </w:rPr>
              <w:t>2</w:t>
            </w:r>
            <w:r>
              <w:rPr>
                <w:rFonts w:hint="eastAsia" w:ascii="仿宋_GB2312" w:hAnsi="仿宋_GB2312" w:eastAsia="仿宋_GB2312" w:cs="仿宋_GB2312"/>
                <w:color w:val="auto"/>
                <w:spacing w:val="-6"/>
                <w:kern w:val="0"/>
                <w:sz w:val="19"/>
                <w:szCs w:val="19"/>
                <w:highlight w:val="none"/>
                <w:u w:val="none" w:color="auto"/>
                <w:lang w:eastAsia="zh-CN"/>
              </w:rPr>
              <w:t>．</w:t>
            </w:r>
            <w:r>
              <w:rPr>
                <w:rFonts w:hint="eastAsia" w:ascii="仿宋_GB2312" w:hAnsi="仿宋_GB2312" w:eastAsia="仿宋_GB2312" w:cs="仿宋_GB2312"/>
                <w:color w:val="auto"/>
                <w:spacing w:val="-6"/>
                <w:kern w:val="0"/>
                <w:sz w:val="19"/>
                <w:szCs w:val="19"/>
                <w:highlight w:val="none"/>
                <w:u w:val="none" w:color="auto"/>
              </w:rPr>
              <w:t>《民办非企业单位登记暂行办法》（民政部、民政部令〔1998〕18号）第十一条：</w:t>
            </w:r>
            <w:r>
              <w:rPr>
                <w:rFonts w:hint="eastAsia" w:ascii="仿宋_GB2312" w:hAnsi="仿宋_GB2312" w:eastAsia="仿宋_GB2312" w:cs="仿宋_GB2312"/>
                <w:color w:val="auto"/>
                <w:spacing w:val="-6"/>
                <w:kern w:val="0"/>
                <w:sz w:val="19"/>
                <w:szCs w:val="19"/>
                <w:highlight w:val="none"/>
                <w:u w:val="none" w:color="auto"/>
                <w:lang w:eastAsia="zh-CN"/>
              </w:rPr>
              <w:t>“</w:t>
            </w:r>
            <w:r>
              <w:rPr>
                <w:rFonts w:hint="eastAsia" w:ascii="仿宋_GB2312" w:hAnsi="仿宋_GB2312" w:eastAsia="仿宋_GB2312" w:cs="仿宋_GB2312"/>
                <w:color w:val="auto"/>
                <w:spacing w:val="-6"/>
                <w:kern w:val="0"/>
                <w:sz w:val="19"/>
                <w:szCs w:val="19"/>
                <w:highlight w:val="none"/>
                <w:u w:val="none" w:color="auto"/>
              </w:rPr>
              <w:t>民办非企业单位根据条例第十五条规定申请变更登记事项时，应向登记管理机关提交下列文件：（一）法定代表人或单位负责人签署并加盖公章的变更登记申请书。申请书应载明变更的理由，并附决定变更时依照章程履行程序的原始纪要，法定代表人或单位负责人因故不能签署变更登记申请书的，申请单位还应提交不能签署的理由的文件；（二）业务主管单位对变更登记事项审查同意文件；（三）登记管理机关要求提交的其他文件</w:t>
            </w:r>
            <w:r>
              <w:rPr>
                <w:rFonts w:hint="eastAsia" w:ascii="仿宋_GB2312" w:hAnsi="仿宋_GB2312" w:eastAsia="仿宋_GB2312" w:cs="仿宋_GB2312"/>
                <w:color w:val="auto"/>
                <w:spacing w:val="-6"/>
                <w:kern w:val="0"/>
                <w:sz w:val="19"/>
                <w:szCs w:val="19"/>
                <w:highlight w:val="none"/>
                <w:u w:val="none" w:color="auto"/>
                <w:lang w:eastAsia="zh-CN"/>
              </w:rPr>
              <w:t>”</w:t>
            </w:r>
            <w:r>
              <w:rPr>
                <w:rFonts w:hint="eastAsia" w:ascii="仿宋_GB2312" w:hAnsi="仿宋_GB2312" w:eastAsia="仿宋_GB2312" w:cs="仿宋_GB2312"/>
                <w:color w:val="auto"/>
                <w:spacing w:val="-6"/>
                <w:kern w:val="0"/>
                <w:sz w:val="19"/>
                <w:szCs w:val="19"/>
                <w:highlight w:val="none"/>
                <w:u w:val="none" w:color="auto"/>
              </w:rPr>
              <w:t>；第十二条：</w:t>
            </w:r>
            <w:r>
              <w:rPr>
                <w:rFonts w:hint="eastAsia" w:ascii="仿宋_GB2312" w:hAnsi="仿宋_GB2312" w:eastAsia="仿宋_GB2312" w:cs="仿宋_GB2312"/>
                <w:color w:val="auto"/>
                <w:spacing w:val="-6"/>
                <w:kern w:val="0"/>
                <w:sz w:val="19"/>
                <w:szCs w:val="19"/>
                <w:highlight w:val="none"/>
                <w:u w:val="none" w:color="auto"/>
                <w:lang w:eastAsia="zh-CN"/>
              </w:rPr>
              <w:t>“</w:t>
            </w:r>
            <w:r>
              <w:rPr>
                <w:rFonts w:hint="eastAsia" w:ascii="仿宋_GB2312" w:hAnsi="仿宋_GB2312" w:eastAsia="仿宋_GB2312" w:cs="仿宋_GB2312"/>
                <w:color w:val="auto"/>
                <w:spacing w:val="-6"/>
                <w:kern w:val="0"/>
                <w:sz w:val="19"/>
                <w:szCs w:val="19"/>
                <w:highlight w:val="none"/>
                <w:u w:val="none" w:color="auto"/>
              </w:rPr>
              <w:t>民办非企业单位的住所、业务范围、法定代表人或单位</w:t>
            </w:r>
            <w:r>
              <w:rPr>
                <w:rFonts w:hint="eastAsia" w:ascii="仿宋_GB2312" w:hAnsi="仿宋_GB2312" w:eastAsia="仿宋_GB2312" w:cs="仿宋_GB2312"/>
                <w:color w:val="auto"/>
                <w:spacing w:val="-11"/>
                <w:kern w:val="0"/>
                <w:sz w:val="19"/>
                <w:szCs w:val="19"/>
                <w:highlight w:val="none"/>
                <w:u w:val="none" w:color="auto"/>
              </w:rPr>
              <w:t>负责人、开办资金、业务主管单位发生变更的，除向登记管理机关提交本办法第十一条规定的文件外，还须分别提交下列材料：变更后新住所的产权或使用权证明；变更后的业务范围；变更后法定代表人或单位负责人的身份证明，及本办法第六条第六款涉及的其他材料；变更后的验资报告；原业务主管单位不再承担业务主管的文件。第十三条 登记管理机关核准变更登记的，民办非企业单位应交回民办非企业单位登记证书正副本，由登记管理机关换发新的登记证书。</w:t>
            </w:r>
          </w:p>
          <w:p>
            <w:pPr>
              <w:keepNext w:val="0"/>
              <w:keepLines w:val="0"/>
              <w:pageBreakBefore w:val="0"/>
              <w:widowControl w:val="0"/>
              <w:kinsoku/>
              <w:wordWrap/>
              <w:overflowPunct w:val="0"/>
              <w:topLinePunct w:val="0"/>
              <w:autoSpaceDE/>
              <w:autoSpaceDN/>
              <w:bidi w:val="0"/>
              <w:adjustRightInd/>
              <w:snapToGrid/>
              <w:spacing w:line="230" w:lineRule="exact"/>
              <w:ind w:left="0" w:leftChars="0" w:right="0" w:firstLine="0" w:firstLineChars="0"/>
              <w:jc w:val="left"/>
              <w:textAlignment w:val="center"/>
              <w:outlineLvl w:val="9"/>
              <w:rPr>
                <w:rFonts w:hint="eastAsia" w:ascii="仿宋_GB2312" w:hAnsi="仿宋_GB2312" w:eastAsia="仿宋_GB2312" w:cs="仿宋_GB2312"/>
                <w:color w:val="auto"/>
                <w:spacing w:val="-6"/>
                <w:kern w:val="0"/>
                <w:sz w:val="19"/>
                <w:szCs w:val="19"/>
                <w:highlight w:val="none"/>
                <w:u w:val="none" w:color="auto"/>
              </w:rPr>
            </w:pPr>
            <w:r>
              <w:rPr>
                <w:rFonts w:hint="eastAsia" w:ascii="仿宋_GB2312" w:hAnsi="仿宋_GB2312" w:eastAsia="仿宋_GB2312" w:cs="仿宋_GB2312"/>
                <w:color w:val="auto"/>
                <w:spacing w:val="-6"/>
                <w:kern w:val="0"/>
                <w:sz w:val="19"/>
                <w:szCs w:val="19"/>
                <w:highlight w:val="none"/>
                <w:u w:val="none" w:color="auto"/>
              </w:rPr>
              <w:t>3</w:t>
            </w:r>
            <w:r>
              <w:rPr>
                <w:rFonts w:hint="eastAsia" w:ascii="仿宋_GB2312" w:hAnsi="仿宋_GB2312" w:eastAsia="仿宋_GB2312" w:cs="仿宋_GB2312"/>
                <w:color w:val="auto"/>
                <w:spacing w:val="-6"/>
                <w:kern w:val="0"/>
                <w:sz w:val="19"/>
                <w:szCs w:val="19"/>
                <w:highlight w:val="none"/>
                <w:u w:val="none" w:color="auto"/>
                <w:lang w:eastAsia="zh-CN"/>
              </w:rPr>
              <w:t>．</w:t>
            </w:r>
            <w:r>
              <w:rPr>
                <w:rFonts w:hint="eastAsia" w:ascii="仿宋_GB2312" w:hAnsi="仿宋_GB2312" w:eastAsia="仿宋_GB2312" w:cs="仿宋_GB2312"/>
                <w:color w:val="auto"/>
                <w:spacing w:val="-6"/>
                <w:kern w:val="0"/>
                <w:sz w:val="19"/>
                <w:szCs w:val="19"/>
                <w:highlight w:val="none"/>
                <w:u w:val="none" w:color="auto"/>
              </w:rPr>
              <w:t>《民办非企业单位登记管理暂行条例》（国务院、国务院令第251号）第二十二条第二款：民办非企业单位变更法定代表人或者负责人，登记管理机关、业务主管单位应当组织对其进行财务审计。</w:t>
            </w:r>
          </w:p>
          <w:p>
            <w:pPr>
              <w:keepNext w:val="0"/>
              <w:keepLines w:val="0"/>
              <w:pageBreakBefore w:val="0"/>
              <w:widowControl w:val="0"/>
              <w:kinsoku/>
              <w:wordWrap/>
              <w:overflowPunct w:val="0"/>
              <w:topLinePunct w:val="0"/>
              <w:autoSpaceDE/>
              <w:autoSpaceDN/>
              <w:bidi w:val="0"/>
              <w:adjustRightInd/>
              <w:snapToGrid/>
              <w:spacing w:line="230" w:lineRule="exact"/>
              <w:ind w:left="0" w:leftChars="0" w:right="0" w:firstLine="0" w:firstLineChars="0"/>
              <w:jc w:val="left"/>
              <w:textAlignment w:val="center"/>
              <w:outlineLvl w:val="9"/>
              <w:rPr>
                <w:rFonts w:hint="eastAsia" w:ascii="仿宋_GB2312" w:hAnsi="仿宋_GB2312" w:eastAsia="仿宋_GB2312" w:cs="仿宋_GB2312"/>
                <w:color w:val="auto"/>
                <w:spacing w:val="-6"/>
                <w:kern w:val="0"/>
                <w:sz w:val="19"/>
                <w:szCs w:val="19"/>
                <w:highlight w:val="none"/>
                <w:u w:val="none" w:color="auto"/>
              </w:rPr>
            </w:pPr>
            <w:r>
              <w:rPr>
                <w:rFonts w:hint="eastAsia" w:ascii="仿宋_GB2312" w:hAnsi="仿宋_GB2312" w:eastAsia="仿宋_GB2312" w:cs="仿宋_GB2312"/>
                <w:color w:val="auto"/>
                <w:spacing w:val="-6"/>
                <w:kern w:val="0"/>
                <w:sz w:val="19"/>
                <w:szCs w:val="19"/>
                <w:highlight w:val="none"/>
                <w:u w:val="none" w:color="auto"/>
              </w:rPr>
              <w:t>4</w:t>
            </w:r>
            <w:r>
              <w:rPr>
                <w:rFonts w:hint="eastAsia" w:ascii="仿宋_GB2312" w:hAnsi="仿宋_GB2312" w:eastAsia="仿宋_GB2312" w:cs="仿宋_GB2312"/>
                <w:color w:val="auto"/>
                <w:spacing w:val="-6"/>
                <w:kern w:val="0"/>
                <w:sz w:val="19"/>
                <w:szCs w:val="19"/>
                <w:highlight w:val="none"/>
                <w:u w:val="none" w:color="auto"/>
                <w:lang w:eastAsia="zh-CN"/>
              </w:rPr>
              <w:t>．</w:t>
            </w:r>
            <w:r>
              <w:rPr>
                <w:rFonts w:hint="eastAsia" w:ascii="仿宋_GB2312" w:hAnsi="仿宋_GB2312" w:eastAsia="仿宋_GB2312" w:cs="仿宋_GB2312"/>
                <w:color w:val="auto"/>
                <w:spacing w:val="-6"/>
                <w:kern w:val="0"/>
                <w:sz w:val="19"/>
                <w:szCs w:val="19"/>
                <w:highlight w:val="none"/>
                <w:u w:val="none" w:color="auto"/>
              </w:rPr>
              <w:t>《民办非企业单位印章管理规定》（民政部、公安部令〔2000〕20号）第四条第三项民办非企业单位因变更登记、印章损坏等原因需要更换印章时，应到登记管理机关交回原印章，按本规定程序申请重新刻制。</w:t>
            </w:r>
          </w:p>
          <w:p>
            <w:pPr>
              <w:keepNext w:val="0"/>
              <w:keepLines w:val="0"/>
              <w:pageBreakBefore w:val="0"/>
              <w:widowControl w:val="0"/>
              <w:kinsoku/>
              <w:wordWrap/>
              <w:overflowPunct w:val="0"/>
              <w:topLinePunct w:val="0"/>
              <w:autoSpaceDE/>
              <w:autoSpaceDN/>
              <w:bidi w:val="0"/>
              <w:adjustRightInd/>
              <w:snapToGrid/>
              <w:spacing w:line="230" w:lineRule="exact"/>
              <w:ind w:left="0" w:leftChars="0" w:right="0" w:firstLine="0" w:firstLineChars="0"/>
              <w:jc w:val="left"/>
              <w:textAlignment w:val="center"/>
              <w:outlineLvl w:val="9"/>
              <w:rPr>
                <w:rFonts w:hint="eastAsia" w:ascii="仿宋_GB2312" w:hAnsi="仿宋_GB2312" w:eastAsia="仿宋_GB2312" w:cs="仿宋_GB2312"/>
                <w:color w:val="auto"/>
                <w:spacing w:val="-6"/>
                <w:kern w:val="0"/>
                <w:sz w:val="19"/>
                <w:szCs w:val="19"/>
                <w:highlight w:val="none"/>
                <w:u w:val="none" w:color="auto"/>
              </w:rPr>
            </w:pPr>
            <w:r>
              <w:rPr>
                <w:rFonts w:hint="eastAsia" w:ascii="仿宋_GB2312" w:hAnsi="仿宋_GB2312" w:eastAsia="仿宋_GB2312" w:cs="仿宋_GB2312"/>
                <w:color w:val="auto"/>
                <w:spacing w:val="-6"/>
                <w:kern w:val="0"/>
                <w:sz w:val="19"/>
                <w:szCs w:val="19"/>
                <w:highlight w:val="none"/>
                <w:u w:val="none" w:color="auto"/>
              </w:rPr>
              <w:t>注销登记：</w:t>
            </w:r>
          </w:p>
          <w:p>
            <w:pPr>
              <w:keepNext w:val="0"/>
              <w:keepLines w:val="0"/>
              <w:pageBreakBefore w:val="0"/>
              <w:widowControl w:val="0"/>
              <w:kinsoku/>
              <w:wordWrap/>
              <w:overflowPunct w:val="0"/>
              <w:topLinePunct w:val="0"/>
              <w:autoSpaceDE/>
              <w:autoSpaceDN/>
              <w:bidi w:val="0"/>
              <w:adjustRightInd/>
              <w:snapToGrid/>
              <w:spacing w:line="230" w:lineRule="exact"/>
              <w:ind w:left="0" w:leftChars="0" w:right="0" w:firstLine="0" w:firstLineChars="0"/>
              <w:jc w:val="left"/>
              <w:textAlignment w:val="center"/>
              <w:outlineLvl w:val="9"/>
              <w:rPr>
                <w:rFonts w:hint="eastAsia" w:ascii="仿宋_GB2312" w:hAnsi="仿宋_GB2312" w:eastAsia="仿宋_GB2312" w:cs="仿宋_GB2312"/>
                <w:color w:val="auto"/>
                <w:spacing w:val="-6"/>
                <w:kern w:val="0"/>
                <w:sz w:val="19"/>
                <w:szCs w:val="19"/>
                <w:highlight w:val="none"/>
                <w:u w:val="none" w:color="auto"/>
              </w:rPr>
            </w:pPr>
            <w:r>
              <w:rPr>
                <w:rFonts w:hint="eastAsia" w:ascii="仿宋_GB2312" w:hAnsi="仿宋_GB2312" w:eastAsia="仿宋_GB2312" w:cs="仿宋_GB2312"/>
                <w:color w:val="auto"/>
                <w:spacing w:val="-6"/>
                <w:kern w:val="0"/>
                <w:sz w:val="19"/>
                <w:szCs w:val="19"/>
                <w:highlight w:val="none"/>
                <w:u w:val="none" w:color="auto"/>
              </w:rPr>
              <w:t>1</w:t>
            </w:r>
            <w:r>
              <w:rPr>
                <w:rFonts w:hint="eastAsia" w:ascii="仿宋_GB2312" w:hAnsi="仿宋_GB2312" w:eastAsia="仿宋_GB2312" w:cs="仿宋_GB2312"/>
                <w:color w:val="auto"/>
                <w:spacing w:val="-6"/>
                <w:kern w:val="0"/>
                <w:sz w:val="19"/>
                <w:szCs w:val="19"/>
                <w:highlight w:val="none"/>
                <w:u w:val="none" w:color="auto"/>
                <w:lang w:eastAsia="zh-CN"/>
              </w:rPr>
              <w:t>．</w:t>
            </w:r>
            <w:r>
              <w:rPr>
                <w:rFonts w:hint="eastAsia" w:ascii="仿宋_GB2312" w:hAnsi="仿宋_GB2312" w:eastAsia="仿宋_GB2312" w:cs="仿宋_GB2312"/>
                <w:color w:val="auto"/>
                <w:spacing w:val="-6"/>
                <w:kern w:val="0"/>
                <w:sz w:val="19"/>
                <w:szCs w:val="19"/>
                <w:highlight w:val="none"/>
                <w:u w:val="none" w:color="auto"/>
              </w:rPr>
              <w:t>《民办非企业单位登记管理暂行条例》（国务院、国务院令第251号）第十六条 民办非企业单位自行解散的，分立、合并的，或者由于其他原因需要注销登记的，应当向登记管理机关办理注销登记。民办非企业单位在办理注销登记前，应当在业务主管单位和其他有关机关的指导下，成立清算组织，完成清算工作。清算期间，民办非企业单位不得开展清算以外的活动。第十七条 民办非企业单位法定代表人或者负责人应当自完成清算之日起１５日内，向登记管理机关办理注销登记。办理注销登记，须提交注销登记申请书、业务主管单位的审查文件和清算报告。登记管理机关准予注销登记的，发给注销证明文件，收缴登记证书、印章和财务凭证。</w:t>
            </w:r>
          </w:p>
          <w:p>
            <w:pPr>
              <w:keepNext w:val="0"/>
              <w:keepLines w:val="0"/>
              <w:pageBreakBefore w:val="0"/>
              <w:widowControl w:val="0"/>
              <w:kinsoku/>
              <w:wordWrap/>
              <w:overflowPunct w:val="0"/>
              <w:topLinePunct w:val="0"/>
              <w:autoSpaceDE/>
              <w:autoSpaceDN/>
              <w:bidi w:val="0"/>
              <w:adjustRightInd/>
              <w:snapToGrid/>
              <w:spacing w:line="230" w:lineRule="exact"/>
              <w:ind w:left="0" w:leftChars="0" w:right="0" w:firstLine="0" w:firstLineChars="0"/>
              <w:jc w:val="left"/>
              <w:textAlignment w:val="center"/>
              <w:outlineLvl w:val="9"/>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19"/>
                <w:szCs w:val="19"/>
                <w:highlight w:val="none"/>
                <w:u w:val="none" w:color="auto"/>
              </w:rPr>
              <w:t>2</w:t>
            </w:r>
            <w:r>
              <w:rPr>
                <w:rFonts w:hint="eastAsia" w:ascii="仿宋_GB2312" w:hAnsi="仿宋_GB2312" w:eastAsia="仿宋_GB2312" w:cs="仿宋_GB2312"/>
                <w:color w:val="auto"/>
                <w:spacing w:val="-6"/>
                <w:kern w:val="0"/>
                <w:sz w:val="19"/>
                <w:szCs w:val="19"/>
                <w:highlight w:val="none"/>
                <w:u w:val="none" w:color="auto"/>
                <w:lang w:eastAsia="zh-CN"/>
              </w:rPr>
              <w:t>．</w:t>
            </w:r>
            <w:r>
              <w:rPr>
                <w:rFonts w:hint="eastAsia" w:ascii="仿宋_GB2312" w:hAnsi="仿宋_GB2312" w:eastAsia="仿宋_GB2312" w:cs="仿宋_GB2312"/>
                <w:color w:val="auto"/>
                <w:spacing w:val="-6"/>
                <w:kern w:val="0"/>
                <w:sz w:val="19"/>
                <w:szCs w:val="19"/>
                <w:highlight w:val="none"/>
                <w:u w:val="none" w:color="auto"/>
              </w:rPr>
              <w:t>《民办非企业单位登记暂行办法》（民政部、民政部令〔1998〕18号）第十八条 民办非企业单位根据条例第十六条的规定申请注销登记时，应向登记管理机关提交下列文件：（一）法定代表人或单位负责人签署并加盖单位公章的注销登记申请书，法定代表人或单位负责人因故不能签署的，还应提交不能签署的理由的文件；（二）业务主管单位审查同意的文件；（三）清算组织提出的清算报告；（四）民办非企业单位登记证书（正、副本）；（五）民办非企业单位的印章和财务凭证；（六）登记管理机关认为需要提交的其他文件。</w:t>
            </w:r>
          </w:p>
        </w:tc>
        <w:tc>
          <w:tcPr>
            <w:tcW w:w="440"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行政许可</w:t>
            </w:r>
          </w:p>
        </w:tc>
        <w:tc>
          <w:tcPr>
            <w:tcW w:w="467" w:type="dxa"/>
            <w:tcBorders>
              <w:bottom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收件</w:t>
            </w:r>
          </w:p>
        </w:tc>
        <w:tc>
          <w:tcPr>
            <w:tcW w:w="3644" w:type="dxa"/>
            <w:tcBorders>
              <w:bottom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对办事人提供的材料进行核查，申请材料齐全，予以收件；材料不完整的，退回并告知原因。</w:t>
            </w:r>
          </w:p>
        </w:tc>
        <w:tc>
          <w:tcPr>
            <w:tcW w:w="253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rPr>
              <w:t>不履行或不正确履行职责，有下列情形的行政机关及相关工作人员应承担相应的责任：</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1</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登记管理机关、业务主管单位的工作人员滥用职权、徇私舞弊、玩忽职守构成犯罪的，依法追究刑事责任；尚不构成犯罪的，依法给予行政处分。</w:t>
            </w:r>
          </w:p>
        </w:tc>
        <w:tc>
          <w:tcPr>
            <w:tcW w:w="934"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sz w:val="20"/>
                <w:szCs w:val="20"/>
                <w:highlight w:val="none"/>
                <w:u w:val="none" w:color="auto"/>
                <w:lang w:val="en-US" w:eastAsia="zh-CN"/>
              </w:rPr>
              <w:t>行政审批服务科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721" w:hRule="atLeast"/>
          <w:jc w:val="center"/>
        </w:trPr>
        <w:tc>
          <w:tcPr>
            <w:tcW w:w="52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1112"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0"/>
                <w:sz w:val="20"/>
                <w:szCs w:val="20"/>
                <w:highlight w:val="none"/>
                <w:u w:val="none" w:color="auto"/>
              </w:rPr>
            </w:pPr>
          </w:p>
        </w:tc>
        <w:tc>
          <w:tcPr>
            <w:tcW w:w="5765"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30" w:lineRule="exact"/>
              <w:ind w:left="0" w:leftChars="0" w:right="0" w:firstLine="0" w:firstLineChars="0"/>
              <w:jc w:val="left"/>
              <w:textAlignment w:val="center"/>
              <w:outlineLvl w:val="9"/>
              <w:rPr>
                <w:rFonts w:hint="eastAsia" w:ascii="仿宋_GB2312" w:hAnsi="仿宋_GB2312" w:eastAsia="仿宋_GB2312" w:cs="仿宋_GB2312"/>
                <w:color w:val="auto"/>
                <w:spacing w:val="-6"/>
                <w:kern w:val="0"/>
                <w:sz w:val="19"/>
                <w:szCs w:val="19"/>
                <w:highlight w:val="none"/>
                <w:u w:val="none" w:color="auto"/>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rPr>
            </w:pPr>
          </w:p>
        </w:tc>
        <w:tc>
          <w:tcPr>
            <w:tcW w:w="467" w:type="dxa"/>
            <w:tcBorders>
              <w:top w:val="single" w:color="auto" w:sz="4" w:space="0"/>
              <w:bottom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审核</w:t>
            </w:r>
          </w:p>
        </w:tc>
        <w:tc>
          <w:tcPr>
            <w:tcW w:w="3644" w:type="dxa"/>
            <w:tcBorders>
              <w:top w:val="single" w:color="auto" w:sz="4" w:space="0"/>
              <w:bottom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在受理申报材料后，提出初步意见</w:t>
            </w:r>
            <w:r>
              <w:rPr>
                <w:rFonts w:hint="eastAsia" w:ascii="仿宋_GB2312" w:hAnsi="仿宋_GB2312" w:eastAsia="仿宋_GB2312" w:cs="仿宋_GB2312"/>
                <w:color w:val="auto"/>
                <w:kern w:val="0"/>
                <w:sz w:val="20"/>
                <w:szCs w:val="20"/>
                <w:highlight w:val="none"/>
                <w:u w:val="none" w:color="auto"/>
                <w:lang w:eastAsia="zh-CN"/>
              </w:rPr>
              <w:t>。</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721" w:hRule="atLeast"/>
          <w:jc w:val="center"/>
        </w:trPr>
        <w:tc>
          <w:tcPr>
            <w:tcW w:w="52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1112"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0"/>
                <w:sz w:val="20"/>
                <w:szCs w:val="20"/>
                <w:highlight w:val="none"/>
                <w:u w:val="none" w:color="auto"/>
              </w:rPr>
            </w:pPr>
          </w:p>
        </w:tc>
        <w:tc>
          <w:tcPr>
            <w:tcW w:w="5765"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30" w:lineRule="exact"/>
              <w:ind w:left="0" w:leftChars="0" w:right="0" w:firstLine="0" w:firstLineChars="0"/>
              <w:jc w:val="left"/>
              <w:textAlignment w:val="center"/>
              <w:outlineLvl w:val="9"/>
              <w:rPr>
                <w:rFonts w:hint="eastAsia" w:ascii="仿宋_GB2312" w:hAnsi="仿宋_GB2312" w:eastAsia="仿宋_GB2312" w:cs="仿宋_GB2312"/>
                <w:color w:val="auto"/>
                <w:spacing w:val="-6"/>
                <w:kern w:val="0"/>
                <w:sz w:val="19"/>
                <w:szCs w:val="19"/>
                <w:highlight w:val="none"/>
                <w:u w:val="none" w:color="auto"/>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rPr>
            </w:pPr>
          </w:p>
        </w:tc>
        <w:tc>
          <w:tcPr>
            <w:tcW w:w="467" w:type="dxa"/>
            <w:tcBorders>
              <w:top w:val="single" w:color="auto" w:sz="4" w:space="0"/>
              <w:bottom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w:t>
            </w:r>
          </w:p>
        </w:tc>
        <w:tc>
          <w:tcPr>
            <w:tcW w:w="3644" w:type="dxa"/>
            <w:tcBorders>
              <w:top w:val="single" w:color="auto" w:sz="4" w:space="0"/>
              <w:bottom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sz w:val="20"/>
                <w:szCs w:val="20"/>
                <w:highlight w:val="none"/>
                <w:u w:val="none" w:color="auto"/>
              </w:rPr>
              <w:t>在法定时限内做出是否同意申请事项的决定。</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100" w:hRule="atLeast"/>
          <w:jc w:val="center"/>
        </w:trPr>
        <w:tc>
          <w:tcPr>
            <w:tcW w:w="52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1112"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0"/>
                <w:sz w:val="20"/>
                <w:szCs w:val="20"/>
                <w:highlight w:val="none"/>
                <w:u w:val="none" w:color="auto"/>
              </w:rPr>
            </w:pPr>
          </w:p>
        </w:tc>
        <w:tc>
          <w:tcPr>
            <w:tcW w:w="5765"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30" w:lineRule="exact"/>
              <w:ind w:left="0" w:leftChars="0" w:right="0" w:firstLine="0" w:firstLineChars="0"/>
              <w:jc w:val="left"/>
              <w:textAlignment w:val="center"/>
              <w:outlineLvl w:val="9"/>
              <w:rPr>
                <w:rFonts w:hint="eastAsia" w:ascii="仿宋_GB2312" w:hAnsi="仿宋_GB2312" w:eastAsia="仿宋_GB2312" w:cs="仿宋_GB2312"/>
                <w:color w:val="auto"/>
                <w:spacing w:val="-6"/>
                <w:kern w:val="0"/>
                <w:sz w:val="19"/>
                <w:szCs w:val="19"/>
                <w:highlight w:val="none"/>
                <w:u w:val="none" w:color="auto"/>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rPr>
            </w:pPr>
          </w:p>
        </w:tc>
        <w:tc>
          <w:tcPr>
            <w:tcW w:w="467" w:type="dxa"/>
            <w:tcBorders>
              <w:top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送达</w:t>
            </w:r>
          </w:p>
        </w:tc>
        <w:tc>
          <w:tcPr>
            <w:tcW w:w="3644" w:type="dxa"/>
            <w:tcBorders>
              <w:top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结果送达。</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20" w:hRule="atLeast"/>
          <w:jc w:val="center"/>
        </w:trPr>
        <w:tc>
          <w:tcPr>
            <w:tcW w:w="52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lang w:val="en-US" w:eastAsia="zh-CN"/>
              </w:rPr>
              <w:t>5</w:t>
            </w:r>
          </w:p>
        </w:tc>
        <w:tc>
          <w:tcPr>
            <w:tcW w:w="1112"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公开募捐资格审核</w:t>
            </w:r>
          </w:p>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0"/>
                <w:sz w:val="20"/>
                <w:szCs w:val="20"/>
                <w:highlight w:val="none"/>
                <w:u w:val="none" w:color="auto"/>
              </w:rPr>
            </w:pPr>
          </w:p>
        </w:tc>
        <w:tc>
          <w:tcPr>
            <w:tcW w:w="5765"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《中华人民共和国慈善法》第二十二条</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慈善组织开展公开募捐，应当取得公开募捐资格。依法登记满二年的慈善组织，可以向其登记的民政部门申请公开募捐资格。民政部门应当自受理申请之日起二十日内作出决定。慈善组织符合内部治理结构健全、运作规范的条件的，发给公开募捐资格证书；不符合条件的，不发给公开募捐资格证书并书面说明理由。</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法律、行政法规规定自登记之日起可以公开募捐的基金会和社会团体，由民政部门直接发给公开募捐资格证书。</w:t>
            </w:r>
          </w:p>
        </w:tc>
        <w:tc>
          <w:tcPr>
            <w:tcW w:w="440"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行政许可</w:t>
            </w:r>
          </w:p>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收件</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收件责任：对办事人提供的材料进行核查，申请材料齐全，予以收件；材料不完整的，退回并告知原因。</w:t>
            </w:r>
          </w:p>
        </w:tc>
        <w:tc>
          <w:tcPr>
            <w:tcW w:w="253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rPr>
              <w:t>不履行或不正确履行职责，有下列情形的行政机关及相关工作人员应承担相应的责任：</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1</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登记管理机关、业务主管单位的工作人员滥用职权、徇私舞弊、玩忽职守构成犯罪的，依法追究刑事责任；尚不构成犯罪的，依法给予行政处分。</w:t>
            </w:r>
          </w:p>
        </w:tc>
        <w:tc>
          <w:tcPr>
            <w:tcW w:w="934"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lang w:val="en-US" w:eastAsia="zh-CN"/>
              </w:rPr>
              <w:t>行政审批服务科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417"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受理</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受理责任：对申请材料进行初审，材料符合相关要求的，予以受理，出具《受理通知书》；材料不符合相关要求的，不予受理，出具《不予受理通知书》，并说明理由。</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252"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审核</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审核责任：对材料内容进行审核；按照法律法规规定，需启动特殊环节的，依法进行辅助审查。审核通过，上报审批；审核不通过，退回材料并告知原因。</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80"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决定责任：作出决定，核发许可证明文件。对不准予批准的书面告知当事人，并说明理由。</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80"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送达</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送达责任：按规定送达当事人。</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77" w:hRule="atLeast"/>
          <w:jc w:val="center"/>
        </w:trPr>
        <w:tc>
          <w:tcPr>
            <w:tcW w:w="52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lang w:val="en-US" w:eastAsia="zh-CN"/>
              </w:rPr>
              <w:t>6</w:t>
            </w:r>
          </w:p>
        </w:tc>
        <w:tc>
          <w:tcPr>
            <w:tcW w:w="1112"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社会团体修改章程核准</w:t>
            </w:r>
          </w:p>
        </w:tc>
        <w:tc>
          <w:tcPr>
            <w:tcW w:w="5765"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2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lang w:val="en-US" w:eastAsia="zh-CN"/>
              </w:rPr>
              <w:t>《社会团体登记管理条例》（国务院、国务院令第250号；国务院、国务院令第666号《国务院关于修改部分行政法规的决定》修订）第十四条 社会团体的章程应当包括下列事项：（一）名称、住所；（二）宗旨、业务范围和活动地域；（三）会员资格及其权利、义务：（四）民主的组织管理制度，执行机构的产生程序；（五）负责人的条件和产生、罢免的程序；（六）资产管理和使用的原则；（七）章程的修改程序；（八）终止程序和终止后资产的处理；（九）应当由章程规定的其他事项。第十八条 社会团体的登记事项需要变更的，应当自业务主管单位审查同意之日起30日内，向登记管理机关申请变更登记。社会团体修改章程，应当自业务主管单位审查同意之日起30日内，报登记管理机关核准。</w:t>
            </w:r>
          </w:p>
        </w:tc>
        <w:tc>
          <w:tcPr>
            <w:tcW w:w="440"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行政许可</w:t>
            </w:r>
          </w:p>
        </w:tc>
        <w:tc>
          <w:tcPr>
            <w:tcW w:w="467" w:type="dxa"/>
            <w:tcBorders>
              <w:bottom w:val="single" w:color="auto" w:sz="4" w:space="0"/>
            </w:tcBorders>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收件</w:t>
            </w:r>
          </w:p>
        </w:tc>
        <w:tc>
          <w:tcPr>
            <w:tcW w:w="3644" w:type="dxa"/>
            <w:tcBorders>
              <w:bottom w:val="single" w:color="auto" w:sz="4" w:space="0"/>
            </w:tcBorders>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申请人所交材料齐全的，予以收件；如所交材料不齐全或不符合法定要求的，一次告知申请人需要补正的内容。</w:t>
            </w:r>
          </w:p>
        </w:tc>
        <w:tc>
          <w:tcPr>
            <w:tcW w:w="253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rPr>
              <w:t>不履行或不正确履行职责，有下列情形的行政机关及相关工作人员应承担相应的责任：</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1</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登记管理机关、业务主管单位的工作人员滥用职权、徇私舞弊、玩忽职守构成犯罪的，依法追究刑事责任；尚不构成犯罪的，依法给予行政处分。</w:t>
            </w:r>
          </w:p>
        </w:tc>
        <w:tc>
          <w:tcPr>
            <w:tcW w:w="934"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sz w:val="20"/>
                <w:szCs w:val="20"/>
                <w:highlight w:val="none"/>
                <w:u w:val="none" w:color="auto"/>
                <w:lang w:val="en-US" w:eastAsia="zh-CN"/>
              </w:rPr>
              <w:t>行政审批服务科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10"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0"/>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2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rPr>
            </w:pPr>
          </w:p>
        </w:tc>
        <w:tc>
          <w:tcPr>
            <w:tcW w:w="467" w:type="dxa"/>
            <w:tcBorders>
              <w:top w:val="single" w:color="auto" w:sz="4" w:space="0"/>
              <w:bottom w:val="single" w:color="auto" w:sz="4" w:space="0"/>
            </w:tcBorders>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审核</w:t>
            </w:r>
          </w:p>
        </w:tc>
        <w:tc>
          <w:tcPr>
            <w:tcW w:w="3644" w:type="dxa"/>
            <w:tcBorders>
              <w:top w:val="single" w:color="auto" w:sz="4" w:space="0"/>
              <w:bottom w:val="single" w:color="auto" w:sz="4" w:space="0"/>
            </w:tcBorders>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在受理申报材料后，提出初步意见</w:t>
            </w:r>
            <w:r>
              <w:rPr>
                <w:rFonts w:hint="eastAsia" w:ascii="仿宋_GB2312" w:hAnsi="仿宋_GB2312" w:eastAsia="仿宋_GB2312" w:cs="仿宋_GB2312"/>
                <w:color w:val="auto"/>
                <w:kern w:val="0"/>
                <w:sz w:val="20"/>
                <w:szCs w:val="20"/>
                <w:highlight w:val="none"/>
                <w:u w:val="none" w:color="auto"/>
                <w:lang w:eastAsia="zh-CN"/>
              </w:rPr>
              <w:t>。</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10"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0"/>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2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rPr>
            </w:pPr>
          </w:p>
        </w:tc>
        <w:tc>
          <w:tcPr>
            <w:tcW w:w="467" w:type="dxa"/>
            <w:tcBorders>
              <w:top w:val="single" w:color="auto" w:sz="4" w:space="0"/>
              <w:bottom w:val="single" w:color="auto" w:sz="4" w:space="0"/>
            </w:tcBorders>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w:t>
            </w:r>
          </w:p>
        </w:tc>
        <w:tc>
          <w:tcPr>
            <w:tcW w:w="3644" w:type="dxa"/>
            <w:tcBorders>
              <w:top w:val="single" w:color="auto" w:sz="4" w:space="0"/>
              <w:bottom w:val="single" w:color="auto" w:sz="4" w:space="0"/>
            </w:tcBorders>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sz w:val="20"/>
                <w:szCs w:val="20"/>
                <w:highlight w:val="none"/>
                <w:u w:val="none" w:color="auto"/>
              </w:rPr>
              <w:t>在法定时限内做出是否同意申请事项的决定。</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03"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0"/>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2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rPr>
            </w:pPr>
          </w:p>
        </w:tc>
        <w:tc>
          <w:tcPr>
            <w:tcW w:w="467" w:type="dxa"/>
            <w:tcBorders>
              <w:top w:val="single" w:color="auto" w:sz="4" w:space="0"/>
            </w:tcBorders>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送达</w:t>
            </w:r>
          </w:p>
        </w:tc>
        <w:tc>
          <w:tcPr>
            <w:tcW w:w="3644" w:type="dxa"/>
            <w:tcBorders>
              <w:top w:val="single" w:color="auto" w:sz="4" w:space="0"/>
            </w:tcBorders>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结果送达。</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59" w:hRule="atLeast"/>
          <w:jc w:val="center"/>
        </w:trPr>
        <w:tc>
          <w:tcPr>
            <w:tcW w:w="52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lang w:val="en-US" w:eastAsia="zh-CN"/>
              </w:rPr>
              <w:t>7</w:t>
            </w:r>
          </w:p>
        </w:tc>
        <w:tc>
          <w:tcPr>
            <w:tcW w:w="1112"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民办非企业单位修改章程核准</w:t>
            </w:r>
          </w:p>
        </w:tc>
        <w:tc>
          <w:tcPr>
            <w:tcW w:w="5765"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2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lang w:val="en-US" w:eastAsia="zh-CN"/>
              </w:rPr>
              <w:t>1．《民</w:t>
            </w:r>
            <w:r>
              <w:rPr>
                <w:rFonts w:hint="eastAsia" w:ascii="仿宋_GB2312" w:hAnsi="仿宋_GB2312" w:eastAsia="仿宋_GB2312" w:cs="仿宋_GB2312"/>
                <w:color w:val="auto"/>
                <w:spacing w:val="-6"/>
                <w:kern w:val="0"/>
                <w:sz w:val="20"/>
                <w:szCs w:val="20"/>
                <w:highlight w:val="none"/>
                <w:u w:val="none" w:color="auto"/>
                <w:lang w:val="en-US" w:eastAsia="zh-CN"/>
              </w:rPr>
              <w:t>办非企业单位登记管理暂行条例》（国务院、国务院令第251号）第十五条 民办非企业单位的登记事项需要变更的，应当自业务主管单位审查同意之日起30日内，向登记管理机关申请变更登记。民办非企业单位修改章程，应当自业务主管单位审查同意之日起30日内，报登记管理机关核准。</w:t>
            </w:r>
          </w:p>
          <w:p>
            <w:pPr>
              <w:keepNext w:val="0"/>
              <w:keepLines w:val="0"/>
              <w:pageBreakBefore w:val="0"/>
              <w:widowControl w:val="0"/>
              <w:kinsoku/>
              <w:wordWrap/>
              <w:overflowPunct w:val="0"/>
              <w:topLinePunct w:val="0"/>
              <w:autoSpaceDE/>
              <w:autoSpaceDN/>
              <w:bidi w:val="0"/>
              <w:adjustRightInd/>
              <w:snapToGrid/>
              <w:spacing w:line="22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lang w:val="en-US" w:eastAsia="zh-CN"/>
              </w:rPr>
              <w:t>2．《民办非企业单位登记暂行办法》（民政部、民政部令〔1998〕18号）第十四条：“民办非企业单位修改章程或合伙协议的，应当报原登记管理机关核准。报请核准时，应提交下列文件：（一）法定代表人或单位负责人签署并加盖公章的核准申请书；（二）业务主管单位审查同意的文件；（三）章程或合伙协议的修改说明及修改后的章程或合伙协议；（四）有关的文件材料。”</w:t>
            </w:r>
          </w:p>
        </w:tc>
        <w:tc>
          <w:tcPr>
            <w:tcW w:w="440"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行政许可</w:t>
            </w:r>
          </w:p>
        </w:tc>
        <w:tc>
          <w:tcPr>
            <w:tcW w:w="467" w:type="dxa"/>
            <w:tcBorders>
              <w:bottom w:val="single" w:color="auto" w:sz="4" w:space="0"/>
            </w:tcBorders>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收件</w:t>
            </w:r>
          </w:p>
        </w:tc>
        <w:tc>
          <w:tcPr>
            <w:tcW w:w="3644" w:type="dxa"/>
            <w:tcBorders>
              <w:bottom w:val="single" w:color="auto" w:sz="4" w:space="0"/>
            </w:tcBorders>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申请人所交材料齐全的，予以收件；如所交材料不齐全或不符合法定要求的，一次告知申请人需要补正的内容。</w:t>
            </w:r>
          </w:p>
        </w:tc>
        <w:tc>
          <w:tcPr>
            <w:tcW w:w="253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rPr>
              <w:t>不履行或不正确履行职责，有下列情形的行政机关及相关工作人员应承担相应的责任：</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1</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登记管理机关、业务主管单位的工作人员滥用职权、徇私舞弊、玩忽职守构成犯罪的，依法追究刑事责任；尚不构成犯罪的，依法给予行政处分。</w:t>
            </w:r>
          </w:p>
        </w:tc>
        <w:tc>
          <w:tcPr>
            <w:tcW w:w="934"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sz w:val="20"/>
                <w:szCs w:val="20"/>
                <w:highlight w:val="none"/>
                <w:u w:val="none" w:color="auto"/>
                <w:lang w:val="en-US" w:eastAsia="zh-CN"/>
              </w:rPr>
              <w:t>行政审批服务科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69"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0"/>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2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rPr>
            </w:pPr>
          </w:p>
        </w:tc>
        <w:tc>
          <w:tcPr>
            <w:tcW w:w="467" w:type="dxa"/>
            <w:tcBorders>
              <w:top w:val="single" w:color="auto" w:sz="4" w:space="0"/>
              <w:bottom w:val="single" w:color="auto" w:sz="4" w:space="0"/>
            </w:tcBorders>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审核</w:t>
            </w:r>
          </w:p>
        </w:tc>
        <w:tc>
          <w:tcPr>
            <w:tcW w:w="3644" w:type="dxa"/>
            <w:tcBorders>
              <w:top w:val="single" w:color="auto" w:sz="4" w:space="0"/>
              <w:bottom w:val="single" w:color="auto" w:sz="4" w:space="0"/>
            </w:tcBorders>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在受理申报材料后，提出初步意见</w:t>
            </w:r>
            <w:r>
              <w:rPr>
                <w:rFonts w:hint="eastAsia" w:ascii="仿宋_GB2312" w:hAnsi="仿宋_GB2312" w:eastAsia="仿宋_GB2312" w:cs="仿宋_GB2312"/>
                <w:color w:val="auto"/>
                <w:kern w:val="0"/>
                <w:sz w:val="20"/>
                <w:szCs w:val="20"/>
                <w:highlight w:val="none"/>
                <w:u w:val="none" w:color="auto"/>
                <w:lang w:eastAsia="zh-CN"/>
              </w:rPr>
              <w:t>。</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20"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0"/>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2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rPr>
            </w:pPr>
          </w:p>
        </w:tc>
        <w:tc>
          <w:tcPr>
            <w:tcW w:w="467" w:type="dxa"/>
            <w:tcBorders>
              <w:top w:val="single" w:color="auto" w:sz="4" w:space="0"/>
              <w:bottom w:val="single" w:color="auto" w:sz="4" w:space="0"/>
            </w:tcBorders>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w:t>
            </w:r>
          </w:p>
        </w:tc>
        <w:tc>
          <w:tcPr>
            <w:tcW w:w="3644" w:type="dxa"/>
            <w:tcBorders>
              <w:top w:val="single" w:color="auto" w:sz="4" w:space="0"/>
              <w:bottom w:val="single" w:color="auto" w:sz="4" w:space="0"/>
            </w:tcBorders>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sz w:val="20"/>
                <w:szCs w:val="20"/>
                <w:highlight w:val="none"/>
                <w:u w:val="none" w:color="auto"/>
              </w:rPr>
              <w:t>在法定时限内做出是否同意申请事项的决定。</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21"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0"/>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2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rPr>
            </w:pPr>
          </w:p>
        </w:tc>
        <w:tc>
          <w:tcPr>
            <w:tcW w:w="467" w:type="dxa"/>
            <w:tcBorders>
              <w:top w:val="single" w:color="auto" w:sz="4" w:space="0"/>
            </w:tcBorders>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送达</w:t>
            </w:r>
          </w:p>
        </w:tc>
        <w:tc>
          <w:tcPr>
            <w:tcW w:w="3644" w:type="dxa"/>
            <w:tcBorders>
              <w:top w:val="single" w:color="auto" w:sz="4" w:space="0"/>
            </w:tcBorders>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结果送达。</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37" w:hRule="atLeast"/>
          <w:jc w:val="center"/>
        </w:trPr>
        <w:tc>
          <w:tcPr>
            <w:tcW w:w="52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sz w:val="20"/>
                <w:szCs w:val="20"/>
                <w:highlight w:val="none"/>
                <w:u w:val="none" w:color="auto"/>
                <w:lang w:val="en-US" w:eastAsia="zh-CN"/>
              </w:rPr>
              <w:t>8</w:t>
            </w:r>
          </w:p>
        </w:tc>
        <w:tc>
          <w:tcPr>
            <w:tcW w:w="1112"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未经批准，擅自兴建殡葬设施的处罚</w:t>
            </w:r>
          </w:p>
        </w:tc>
        <w:tc>
          <w:tcPr>
            <w:tcW w:w="5765"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《殡葬管理条例》第五章罚则第十八条</w:t>
            </w:r>
            <w:r>
              <w:rPr>
                <w:rFonts w:hint="eastAsia" w:ascii="仿宋_GB2312" w:hAnsi="仿宋_GB2312" w:eastAsia="仿宋_GB2312" w:cs="仿宋_GB2312"/>
                <w:color w:val="auto"/>
                <w:kern w:val="0"/>
                <w:sz w:val="20"/>
                <w:szCs w:val="20"/>
                <w:highlight w:val="none"/>
                <w:u w:val="none" w:color="auto"/>
                <w:lang w:val="en-US" w:eastAsia="zh-CN"/>
              </w:rPr>
              <w:t>：</w:t>
            </w:r>
            <w:r>
              <w:rPr>
                <w:rFonts w:hint="eastAsia" w:ascii="仿宋_GB2312" w:hAnsi="仿宋_GB2312" w:eastAsia="仿宋_GB2312" w:cs="仿宋_GB2312"/>
                <w:color w:val="auto"/>
                <w:kern w:val="0"/>
                <w:sz w:val="20"/>
                <w:szCs w:val="20"/>
                <w:highlight w:val="none"/>
                <w:u w:val="none" w:color="auto"/>
              </w:rPr>
              <w:t>未经批准，擅自兴建殡葬设施的，由民政部门会同建设、土地行政管理部门予以取缔，责令恢复原状，没收违法所得，可以并处违法所得1倍以上3倍以下的罚款。</w:t>
            </w:r>
          </w:p>
        </w:tc>
        <w:tc>
          <w:tcPr>
            <w:tcW w:w="440"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行政处罚</w:t>
            </w: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立案</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检查中发现未经批准，擅自兴建殡葬设施，予以审查，决定是否立案。</w:t>
            </w:r>
          </w:p>
        </w:tc>
        <w:tc>
          <w:tcPr>
            <w:tcW w:w="253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《河南省殡葬管理办法》（1999年7月30日河南省第九届人民代表大会常务委员会第十次会议通过）第六章第四十四条：</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殡葬管理人员玩忽职守、滥用职权、徇私舞弊、索贿受贿的，由其主管部门追究行政责任；构成犯罪的，依法追究刑事责任。</w:t>
            </w:r>
          </w:p>
        </w:tc>
        <w:tc>
          <w:tcPr>
            <w:tcW w:w="934"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社会事务科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94"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调查</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会同建设、土地行政管理部门对案件进行现场检查，查明事实。</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77"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审查</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会</w:t>
            </w:r>
            <w:r>
              <w:rPr>
                <w:rFonts w:hint="eastAsia" w:ascii="仿宋_GB2312" w:hAnsi="仿宋_GB2312" w:eastAsia="仿宋_GB2312" w:cs="仿宋_GB2312"/>
                <w:color w:val="auto"/>
                <w:spacing w:val="-6"/>
                <w:kern w:val="0"/>
                <w:sz w:val="20"/>
                <w:szCs w:val="20"/>
                <w:highlight w:val="none"/>
                <w:u w:val="none" w:color="auto"/>
              </w:rPr>
              <w:t>同建设、土地行政管理部门对案件违法事实、证据、调查取证程序、法律适用、处罚幅度，提出处罚意见。</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324"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备注：依据《南阳市深化殡葬改革工作实施意见》市自然资源与规划局的任务分工：依法加强对丧葬用地的管理，履行土地执法检查职责，严肃查处未经批准违法占地、违法转让或出租土地、非法批准使用土地等建设公墓、农村公益性公墓及殡葬施设的违法行为。</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c>
          <w:tcPr>
            <w:tcW w:w="93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52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r>
              <w:rPr>
                <w:rFonts w:hint="eastAsia" w:ascii="仿宋_GB2312" w:hAnsi="仿宋_GB2312" w:eastAsia="仿宋_GB2312" w:cs="仿宋_GB2312"/>
                <w:color w:val="auto"/>
                <w:sz w:val="20"/>
                <w:szCs w:val="20"/>
                <w:highlight w:val="none"/>
                <w:u w:val="none" w:color="auto"/>
                <w:lang w:val="en-US" w:eastAsia="zh-CN"/>
              </w:rPr>
              <w:t>9</w:t>
            </w:r>
          </w:p>
        </w:tc>
        <w:tc>
          <w:tcPr>
            <w:tcW w:w="1112"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墓穴占地面积超过省、自治区、直辖市人民政府规定的标准的处罚</w:t>
            </w:r>
          </w:p>
        </w:tc>
        <w:tc>
          <w:tcPr>
            <w:tcW w:w="5765"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《殡葬管理条例》第五章罚则第十九条</w:t>
            </w:r>
            <w:r>
              <w:rPr>
                <w:rFonts w:hint="eastAsia" w:ascii="仿宋_GB2312" w:hAnsi="仿宋_GB2312" w:eastAsia="仿宋_GB2312" w:cs="仿宋_GB2312"/>
                <w:color w:val="auto"/>
                <w:kern w:val="0"/>
                <w:sz w:val="20"/>
                <w:szCs w:val="20"/>
                <w:highlight w:val="none"/>
                <w:u w:val="none" w:color="auto"/>
                <w:lang w:val="en-US" w:eastAsia="zh-CN"/>
              </w:rPr>
              <w:t>:</w:t>
            </w:r>
            <w:r>
              <w:rPr>
                <w:rFonts w:hint="eastAsia" w:ascii="仿宋_GB2312" w:hAnsi="仿宋_GB2312" w:eastAsia="仿宋_GB2312" w:cs="仿宋_GB2312"/>
                <w:color w:val="auto"/>
                <w:kern w:val="0"/>
                <w:sz w:val="20"/>
                <w:szCs w:val="20"/>
                <w:highlight w:val="none"/>
                <w:u w:val="none" w:color="auto"/>
              </w:rPr>
              <w:t>墓穴占地面积超过省、自治区、直辖市人民政府规定的标准的，由民政部门责令限期改正，没收违法所得，可以并处违法所得1倍以上3倍以下的罚款。</w:t>
            </w:r>
          </w:p>
        </w:tc>
        <w:tc>
          <w:tcPr>
            <w:tcW w:w="440"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行政处罚</w:t>
            </w: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立案</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检查中发现墓穴占地面积超过规定标注的，予以审查，决定是否立案。</w:t>
            </w:r>
          </w:p>
        </w:tc>
        <w:tc>
          <w:tcPr>
            <w:tcW w:w="253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《河南省殡葬管理办法》（1999年7月30日河南省第九届人民代表大会常务委员会第十次会议通过）第六章第四十四条：</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殡葬管理人员玩忽职守、滥用职权、徇私舞弊、索贿受贿的，由其主管部门追究行政责任；构成犯罪的，依法追究刑事责任。</w:t>
            </w:r>
          </w:p>
        </w:tc>
        <w:tc>
          <w:tcPr>
            <w:tcW w:w="934"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社会事务科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37"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0"/>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0"/>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rPr>
              <w:t>立案</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spacing w:val="-6"/>
                <w:kern w:val="0"/>
                <w:sz w:val="20"/>
                <w:szCs w:val="20"/>
                <w:highlight w:val="none"/>
                <w:u w:val="none" w:color="auto"/>
                <w:lang w:val="en-US" w:eastAsia="zh-CN"/>
              </w:rPr>
            </w:pPr>
            <w:r>
              <w:rPr>
                <w:rFonts w:hint="eastAsia" w:ascii="仿宋_GB2312" w:hAnsi="仿宋_GB2312" w:eastAsia="仿宋_GB2312" w:cs="仿宋_GB2312"/>
                <w:color w:val="auto"/>
                <w:spacing w:val="-6"/>
                <w:kern w:val="0"/>
                <w:sz w:val="20"/>
                <w:szCs w:val="20"/>
                <w:highlight w:val="none"/>
                <w:u w:val="none" w:color="auto"/>
              </w:rPr>
              <w:t>检查中发现墓穴占地面积超过规定标注的，予以审查，决定是否立案。</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rPr>
              <w:t>调查</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spacing w:val="-6"/>
                <w:kern w:val="0"/>
                <w:sz w:val="20"/>
                <w:szCs w:val="20"/>
                <w:highlight w:val="none"/>
                <w:u w:val="none" w:color="auto"/>
                <w:lang w:val="en-US" w:eastAsia="zh-CN"/>
              </w:rPr>
            </w:pPr>
            <w:r>
              <w:rPr>
                <w:rFonts w:hint="eastAsia" w:ascii="仿宋_GB2312" w:hAnsi="仿宋_GB2312" w:eastAsia="仿宋_GB2312" w:cs="仿宋_GB2312"/>
                <w:color w:val="auto"/>
                <w:spacing w:val="-6"/>
                <w:kern w:val="0"/>
                <w:sz w:val="20"/>
                <w:szCs w:val="20"/>
                <w:highlight w:val="none"/>
                <w:u w:val="none" w:color="auto"/>
              </w:rPr>
              <w:t>会同土地部门对案件进行现场检查，查明事实。</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93"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0"/>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0"/>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rPr>
              <w:t>审查</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spacing w:val="-6"/>
                <w:kern w:val="0"/>
                <w:sz w:val="20"/>
                <w:szCs w:val="20"/>
                <w:highlight w:val="none"/>
                <w:u w:val="none" w:color="auto"/>
                <w:lang w:val="en-US" w:eastAsia="zh-CN"/>
              </w:rPr>
            </w:pPr>
            <w:r>
              <w:rPr>
                <w:rFonts w:hint="eastAsia" w:ascii="仿宋_GB2312" w:hAnsi="仿宋_GB2312" w:eastAsia="仿宋_GB2312" w:cs="仿宋_GB2312"/>
                <w:color w:val="auto"/>
                <w:spacing w:val="-6"/>
                <w:kern w:val="0"/>
                <w:sz w:val="20"/>
                <w:szCs w:val="20"/>
                <w:highlight w:val="none"/>
                <w:u w:val="none" w:color="auto"/>
              </w:rPr>
              <w:t>会同土地部门对案件违法事实、证据、调查取证程序、法律适用、处罚幅度，提出处罚意见。</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531"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0"/>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0"/>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lang w:val="en-US" w:eastAsia="zh-CN"/>
              </w:rPr>
              <w:t>告知</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spacing w:val="-6"/>
                <w:kern w:val="0"/>
                <w:sz w:val="20"/>
                <w:szCs w:val="20"/>
                <w:highlight w:val="none"/>
                <w:u w:val="none" w:color="auto"/>
                <w:lang w:val="en-US" w:eastAsia="zh-CN"/>
              </w:rPr>
            </w:pPr>
            <w:r>
              <w:rPr>
                <w:rFonts w:hint="eastAsia" w:ascii="仿宋_GB2312" w:hAnsi="仿宋_GB2312" w:eastAsia="仿宋_GB2312" w:cs="仿宋_GB2312"/>
                <w:color w:val="auto"/>
                <w:spacing w:val="-6"/>
                <w:kern w:val="0"/>
                <w:sz w:val="20"/>
                <w:szCs w:val="20"/>
                <w:highlight w:val="none"/>
                <w:u w:val="none" w:color="auto"/>
                <w:lang w:val="en-US" w:eastAsia="zh-CN"/>
              </w:rPr>
              <w:t>在做出行政处罚决定前，书面告知当事人拟做出处罚决定的事实、理由、依据、处罚内容，以及当事人享有的陈述权、申辩权和听证权。</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531"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lang w:val="en-US" w:eastAsia="zh-CN"/>
              </w:rPr>
              <w:t>决定</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spacing w:val="-6"/>
                <w:kern w:val="0"/>
                <w:sz w:val="20"/>
                <w:szCs w:val="20"/>
                <w:highlight w:val="none"/>
                <w:u w:val="none" w:color="auto"/>
                <w:lang w:val="en-US" w:eastAsia="zh-CN"/>
              </w:rPr>
            </w:pPr>
            <w:r>
              <w:rPr>
                <w:rFonts w:hint="eastAsia" w:ascii="仿宋_GB2312" w:hAnsi="仿宋_GB2312" w:eastAsia="仿宋_GB2312" w:cs="仿宋_GB2312"/>
                <w:color w:val="auto"/>
                <w:spacing w:val="-6"/>
                <w:kern w:val="0"/>
                <w:sz w:val="20"/>
                <w:szCs w:val="20"/>
                <w:highlight w:val="none"/>
                <w:u w:val="none" w:color="auto"/>
                <w:lang w:val="en-US" w:eastAsia="zh-CN"/>
              </w:rPr>
              <w:t>依法需要给予行政处罚的，应制作《行政处罚决定书》，载明违法事实和证据、处罚依据和内容、申请行政复议或提起行政诉讼的途径和期限等内容。</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20"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lang w:val="en-US" w:eastAsia="zh-CN"/>
              </w:rPr>
              <w:t>送达</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spacing w:val="-6"/>
                <w:kern w:val="0"/>
                <w:sz w:val="20"/>
                <w:szCs w:val="20"/>
                <w:highlight w:val="none"/>
                <w:u w:val="none" w:color="auto"/>
                <w:lang w:val="en-US" w:eastAsia="zh-CN"/>
              </w:rPr>
            </w:pPr>
            <w:r>
              <w:rPr>
                <w:rFonts w:hint="eastAsia" w:ascii="仿宋_GB2312" w:hAnsi="仿宋_GB2312" w:eastAsia="仿宋_GB2312" w:cs="仿宋_GB2312"/>
                <w:color w:val="auto"/>
                <w:spacing w:val="-6"/>
                <w:kern w:val="0"/>
                <w:sz w:val="20"/>
                <w:szCs w:val="20"/>
                <w:highlight w:val="none"/>
                <w:u w:val="none" w:color="auto"/>
                <w:lang w:val="en-US" w:eastAsia="zh-CN"/>
              </w:rPr>
              <w:t>行政处罚决定书在7日内送达当事人。</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28"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lang w:val="en-US" w:eastAsia="zh-CN"/>
              </w:rPr>
              <w:t>执行</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spacing w:val="-6"/>
                <w:kern w:val="0"/>
                <w:sz w:val="20"/>
                <w:szCs w:val="20"/>
                <w:highlight w:val="none"/>
                <w:u w:val="none" w:color="auto"/>
                <w:lang w:val="en-US" w:eastAsia="zh-CN"/>
              </w:rPr>
            </w:pPr>
            <w:r>
              <w:rPr>
                <w:rFonts w:hint="eastAsia" w:ascii="仿宋_GB2312" w:hAnsi="仿宋_GB2312" w:eastAsia="仿宋_GB2312" w:cs="仿宋_GB2312"/>
                <w:color w:val="auto"/>
                <w:spacing w:val="-6"/>
                <w:kern w:val="0"/>
                <w:sz w:val="20"/>
                <w:szCs w:val="20"/>
                <w:highlight w:val="none"/>
                <w:u w:val="none" w:color="auto"/>
                <w:lang w:val="en-US" w:eastAsia="zh-CN"/>
              </w:rPr>
              <w:t>监</w:t>
            </w:r>
            <w:r>
              <w:rPr>
                <w:rFonts w:hint="eastAsia" w:ascii="仿宋_GB2312" w:hAnsi="仿宋_GB2312" w:eastAsia="仿宋_GB2312" w:cs="仿宋_GB2312"/>
                <w:color w:val="auto"/>
                <w:spacing w:val="-11"/>
                <w:kern w:val="0"/>
                <w:sz w:val="20"/>
                <w:szCs w:val="20"/>
                <w:highlight w:val="none"/>
                <w:u w:val="none" w:color="auto"/>
                <w:lang w:val="en-US" w:eastAsia="zh-CN"/>
              </w:rPr>
              <w:t>督当事人在决定的期限内，履行生效的行政处罚决定。当事人在法定期限内不申请行政复议或提起行政诉讼，又不履行的，可依法采取强制执行或申请人民法院强制执行。</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15"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lang w:val="en-US" w:eastAsia="zh-CN"/>
              </w:rPr>
              <w:t>其他法律法规规章文件规定应履行的责任。</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984" w:hRule="atLeast"/>
          <w:jc w:val="center"/>
        </w:trPr>
        <w:tc>
          <w:tcPr>
            <w:tcW w:w="52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lang w:val="en-US" w:eastAsia="zh-CN"/>
              </w:rPr>
              <w:t>10</w:t>
            </w:r>
          </w:p>
        </w:tc>
        <w:tc>
          <w:tcPr>
            <w:tcW w:w="1112"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制造、销售不符合国家技术标准的殡葬设备，制造、销售封建迷信殡葬用品的处罚</w:t>
            </w:r>
          </w:p>
        </w:tc>
        <w:tc>
          <w:tcPr>
            <w:tcW w:w="5765"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《殡葬管理条例》第五章罚则第二十二条</w:t>
            </w:r>
            <w:r>
              <w:rPr>
                <w:rFonts w:hint="eastAsia" w:ascii="仿宋_GB2312" w:hAnsi="仿宋_GB2312" w:eastAsia="仿宋_GB2312" w:cs="仿宋_GB2312"/>
                <w:color w:val="auto"/>
                <w:kern w:val="0"/>
                <w:sz w:val="20"/>
                <w:szCs w:val="20"/>
                <w:highlight w:val="none"/>
                <w:u w:val="none" w:color="auto"/>
                <w:lang w:val="en-US" w:eastAsia="zh-CN"/>
              </w:rPr>
              <w:t>：</w:t>
            </w:r>
            <w:r>
              <w:rPr>
                <w:rFonts w:hint="eastAsia" w:ascii="仿宋_GB2312" w:hAnsi="仿宋_GB2312" w:eastAsia="仿宋_GB2312" w:cs="仿宋_GB2312"/>
                <w:color w:val="auto"/>
                <w:kern w:val="0"/>
                <w:sz w:val="20"/>
                <w:szCs w:val="20"/>
                <w:highlight w:val="none"/>
                <w:u w:val="none" w:color="auto"/>
              </w:rPr>
              <w:t>制造、销售不符合国家技术标准的殡葬设备的，由民政部门会同工商行政管理部门责令停止制造、销售，可以并处制造、销售金额1倍以上3倍以下的罚款。制造、销售封建迷信殡葬用品的，由民政部门会同工商行政管理部门予以没收，可以并处制造、销售金额1倍以上3倍以下的罚款。</w:t>
            </w:r>
          </w:p>
        </w:tc>
        <w:tc>
          <w:tcPr>
            <w:tcW w:w="440"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行政处罚</w:t>
            </w: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立案</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2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检查中发现制造、销售不符合国家技术标准的殡葬设备的，予以审查，决定是否立案。</w:t>
            </w:r>
          </w:p>
        </w:tc>
        <w:tc>
          <w:tcPr>
            <w:tcW w:w="253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《河南省殡葬管理办法》（1999年7月30日河南省第九届人民代表大会常务委员会第十次会议通过）第六章第四十四条：</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殡葬管理人员玩忽职守、滥用职权、徇私舞弊、索贿受贿的，由其主管部门追究行政责任；构成犯罪的，依法追究刑事责任。</w:t>
            </w:r>
          </w:p>
        </w:tc>
        <w:tc>
          <w:tcPr>
            <w:tcW w:w="934"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社会事务科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984"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调查</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2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会同市场监督管理部门对案件进行现场检查，查明事实。</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984" w:hRule="atLeast"/>
          <w:jc w:val="center"/>
        </w:trPr>
        <w:tc>
          <w:tcPr>
            <w:tcW w:w="523" w:type="dxa"/>
            <w:vMerge w:val="continue"/>
            <w:noWrap w:val="0"/>
            <w:tcMar>
              <w:top w:w="15" w:type="dxa"/>
              <w:left w:w="15" w:type="dxa"/>
              <w:right w:w="15" w:type="dxa"/>
            </w:tcMar>
            <w:vAlign w:val="center"/>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审查</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2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会同市场监督管理部门对案件违法事实、证据、调查取证程序、法律适用、处罚幅度，提出处罚意见。</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984"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2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备注：依据《河南省殡葬管理办法》第六章第四十条，制止无效的予以没收，并由工商行政管理部门依法予以处罚。</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c>
          <w:tcPr>
            <w:tcW w:w="93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20" w:hRule="atLeast"/>
          <w:jc w:val="center"/>
        </w:trPr>
        <w:tc>
          <w:tcPr>
            <w:tcW w:w="523" w:type="dxa"/>
            <w:vMerge w:val="restart"/>
            <w:noWrap w:val="0"/>
            <w:vAlign w:val="center"/>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r>
              <w:rPr>
                <w:rFonts w:hint="eastAsia" w:ascii="仿宋_GB2312" w:hAnsi="仿宋_GB2312" w:eastAsia="仿宋_GB2312" w:cs="仿宋_GB2312"/>
                <w:color w:val="auto"/>
                <w:sz w:val="20"/>
                <w:szCs w:val="20"/>
                <w:highlight w:val="none"/>
                <w:u w:val="none" w:color="auto"/>
                <w:lang w:val="en-US" w:eastAsia="zh-CN"/>
              </w:rPr>
              <w:t>11</w:t>
            </w:r>
          </w:p>
        </w:tc>
        <w:tc>
          <w:tcPr>
            <w:tcW w:w="1112"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故意损毁或者擅自移动界桩或者其他行政区域界线标志物的处罚</w:t>
            </w:r>
          </w:p>
        </w:tc>
        <w:tc>
          <w:tcPr>
            <w:tcW w:w="5765"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《行政区域界线管理条例》</w:t>
            </w:r>
            <w:r>
              <w:rPr>
                <w:rFonts w:hint="eastAsia" w:ascii="仿宋_GB2312" w:hAnsi="仿宋_GB2312" w:eastAsia="仿宋_GB2312" w:cs="仿宋_GB2312"/>
                <w:color w:val="auto"/>
                <w:kern w:val="0"/>
                <w:sz w:val="20"/>
                <w:szCs w:val="20"/>
                <w:highlight w:val="none"/>
                <w:u w:val="none" w:color="auto"/>
                <w:lang w:val="en-US" w:eastAsia="zh-CN"/>
              </w:rPr>
              <w:t>（</w:t>
            </w:r>
            <w:r>
              <w:rPr>
                <w:rFonts w:hint="eastAsia" w:ascii="仿宋_GB2312" w:hAnsi="仿宋_GB2312" w:eastAsia="仿宋_GB2312" w:cs="仿宋_GB2312"/>
                <w:color w:val="auto"/>
                <w:kern w:val="0"/>
                <w:sz w:val="20"/>
                <w:szCs w:val="20"/>
                <w:highlight w:val="none"/>
                <w:u w:val="none" w:color="auto"/>
              </w:rPr>
              <w:t>国务院令第353号）第十七条：违反本条例的规定，故意损毁或者擅自移动界桩或者其他行政区域界线标志物的，应当支付修复标志物的费用，并由所在地负责管理该行政区域界线标志物的人民政府民政部门处1000元以下的罚款；构成违法治安管理行为的，并依法给予治安管理处罚。</w:t>
            </w:r>
          </w:p>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河南省行政区域界线管理办法》（省政府令第123号）第十九条：违反本办法的规定，故意损毁或者擅自移动界桩或者其他行政区域界线标志物的，应当支付修复标志物的费用，并由所在地负责管理该行政区域界线标志物的人民政府民政部门处1000元以下的罚款；构成违法治安管理行为的，并依法给予治安管理处罚。</w:t>
            </w:r>
          </w:p>
        </w:tc>
        <w:tc>
          <w:tcPr>
            <w:tcW w:w="440"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行政处罚</w:t>
            </w: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立案</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20" w:lineRule="exact"/>
              <w:ind w:firstLine="0" w:firstLineChars="0"/>
              <w:jc w:val="both"/>
              <w:textAlignment w:val="top"/>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立案责任：对检查中发现、接到举报投诉故意损毁或者擅自移动界桩或者其他行政区域界线标志物或有关部门移送的此类违法案件予以审查，决定是否立案。</w:t>
            </w:r>
          </w:p>
        </w:tc>
        <w:tc>
          <w:tcPr>
            <w:tcW w:w="253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不履行或不正确履行职责，有下列情形的行政机关及相关工作人员应承担相应的责任：</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1</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不按照《地名管理条例》和本办法规定的地名命名、更名与销名的程序和权限作出审核意见的</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2</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不按照规定设置地名标志的</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3</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其他滥用职权、玩忽职守、徇私舞弊的行为。</w:t>
            </w:r>
          </w:p>
        </w:tc>
        <w:tc>
          <w:tcPr>
            <w:tcW w:w="934"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区划地名科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20" w:hRule="atLeast"/>
          <w:jc w:val="center"/>
        </w:trPr>
        <w:tc>
          <w:tcPr>
            <w:tcW w:w="523" w:type="dxa"/>
            <w:vMerge w:val="continue"/>
            <w:noWrap w:val="0"/>
            <w:vAlign w:val="center"/>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调查</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20"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调查责任：对立案的案件，案件承办人员及时、全面、客观、公正地调查收集与案件有关的证据，查明事实，必要时可进行现场检查。与当事人有直接</w:t>
            </w:r>
            <w:r>
              <w:rPr>
                <w:rFonts w:hint="eastAsia" w:ascii="仿宋_GB2312" w:hAnsi="仿宋_GB2312" w:eastAsia="仿宋_GB2312" w:cs="仿宋_GB2312"/>
                <w:color w:val="auto"/>
                <w:spacing w:val="-6"/>
                <w:kern w:val="0"/>
                <w:sz w:val="20"/>
                <w:szCs w:val="20"/>
                <w:highlight w:val="none"/>
                <w:u w:val="none" w:color="auto"/>
                <w:lang w:val="en-US" w:eastAsia="zh-CN"/>
              </w:rPr>
              <w:t>利害</w:t>
            </w:r>
            <w:r>
              <w:rPr>
                <w:rFonts w:hint="eastAsia" w:ascii="仿宋_GB2312" w:hAnsi="仿宋_GB2312" w:eastAsia="仿宋_GB2312" w:cs="仿宋_GB2312"/>
                <w:color w:val="auto"/>
                <w:spacing w:val="-6"/>
                <w:kern w:val="0"/>
                <w:sz w:val="20"/>
                <w:szCs w:val="20"/>
                <w:highlight w:val="none"/>
                <w:u w:val="none" w:color="auto"/>
              </w:rPr>
              <w:t>关系的应当回避；执法人员不得少于两人；调查取证时应出示执法证件；允许当事人辩解</w:t>
            </w:r>
            <w:r>
              <w:rPr>
                <w:rFonts w:hint="eastAsia" w:ascii="仿宋_GB2312" w:hAnsi="仿宋_GB2312" w:eastAsia="仿宋_GB2312" w:cs="仿宋_GB2312"/>
                <w:color w:val="auto"/>
                <w:spacing w:val="-6"/>
                <w:kern w:val="0"/>
                <w:sz w:val="20"/>
                <w:szCs w:val="20"/>
                <w:highlight w:val="none"/>
                <w:u w:val="none" w:color="auto"/>
                <w:lang w:eastAsia="zh-CN"/>
              </w:rPr>
              <w:t>陈述</w:t>
            </w:r>
            <w:r>
              <w:rPr>
                <w:rFonts w:hint="eastAsia" w:ascii="仿宋_GB2312" w:hAnsi="仿宋_GB2312" w:eastAsia="仿宋_GB2312" w:cs="仿宋_GB2312"/>
                <w:color w:val="auto"/>
                <w:spacing w:val="-6"/>
                <w:kern w:val="0"/>
                <w:sz w:val="20"/>
                <w:szCs w:val="20"/>
                <w:highlight w:val="none"/>
                <w:u w:val="none" w:color="auto"/>
              </w:rPr>
              <w:t>。</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c>
          <w:tcPr>
            <w:tcW w:w="934"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20" w:hRule="atLeast"/>
          <w:jc w:val="center"/>
        </w:trPr>
        <w:tc>
          <w:tcPr>
            <w:tcW w:w="523" w:type="dxa"/>
            <w:vMerge w:val="continue"/>
            <w:noWrap w:val="0"/>
            <w:vAlign w:val="center"/>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审查</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20"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审查责任：对案件违法事实、证据、调查取证程序、法律适用、处罚种类和幅度、当事人</w:t>
            </w:r>
            <w:r>
              <w:rPr>
                <w:rFonts w:hint="eastAsia" w:ascii="仿宋_GB2312" w:hAnsi="仿宋_GB2312" w:eastAsia="仿宋_GB2312" w:cs="仿宋_GB2312"/>
                <w:color w:val="auto"/>
                <w:spacing w:val="-6"/>
                <w:kern w:val="0"/>
                <w:sz w:val="20"/>
                <w:szCs w:val="20"/>
                <w:highlight w:val="none"/>
                <w:u w:val="none" w:color="auto"/>
                <w:lang w:eastAsia="zh-CN"/>
              </w:rPr>
              <w:t>陈述</w:t>
            </w:r>
            <w:r>
              <w:rPr>
                <w:rFonts w:hint="eastAsia" w:ascii="仿宋_GB2312" w:hAnsi="仿宋_GB2312" w:eastAsia="仿宋_GB2312" w:cs="仿宋_GB2312"/>
                <w:color w:val="auto"/>
                <w:spacing w:val="-6"/>
                <w:kern w:val="0"/>
                <w:sz w:val="20"/>
                <w:szCs w:val="20"/>
                <w:highlight w:val="none"/>
                <w:u w:val="none" w:color="auto"/>
              </w:rPr>
              <w:t>和申辩理由等方面进行审查，提出处理意见。</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c>
          <w:tcPr>
            <w:tcW w:w="934"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20"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告知</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告知责任：在做出行政处罚决定前，书面告知当事人拟做出处罚决定的事实、理由、依据、处罚内容，以及当事人享有的</w:t>
            </w:r>
            <w:r>
              <w:rPr>
                <w:rFonts w:hint="eastAsia" w:ascii="仿宋_GB2312" w:hAnsi="仿宋_GB2312" w:eastAsia="仿宋_GB2312" w:cs="仿宋_GB2312"/>
                <w:color w:val="auto"/>
                <w:spacing w:val="-6"/>
                <w:kern w:val="0"/>
                <w:sz w:val="20"/>
                <w:szCs w:val="20"/>
                <w:highlight w:val="none"/>
                <w:u w:val="none" w:color="auto"/>
                <w:lang w:eastAsia="zh-CN"/>
              </w:rPr>
              <w:t>陈述权</w:t>
            </w:r>
            <w:r>
              <w:rPr>
                <w:rFonts w:hint="eastAsia" w:ascii="仿宋_GB2312" w:hAnsi="仿宋_GB2312" w:eastAsia="仿宋_GB2312" w:cs="仿宋_GB2312"/>
                <w:color w:val="auto"/>
                <w:spacing w:val="-6"/>
                <w:kern w:val="0"/>
                <w:sz w:val="20"/>
                <w:szCs w:val="20"/>
                <w:highlight w:val="none"/>
                <w:u w:val="none" w:color="auto"/>
              </w:rPr>
              <w:t>、申辩权和听证权</w:t>
            </w:r>
            <w:r>
              <w:rPr>
                <w:rFonts w:hint="eastAsia" w:ascii="仿宋_GB2312" w:hAnsi="仿宋_GB2312" w:eastAsia="仿宋_GB2312" w:cs="仿宋_GB2312"/>
                <w:color w:val="auto"/>
                <w:spacing w:val="-6"/>
                <w:kern w:val="0"/>
                <w:sz w:val="20"/>
                <w:szCs w:val="20"/>
                <w:highlight w:val="none"/>
                <w:u w:val="none" w:color="auto"/>
                <w:lang w:eastAsia="zh-CN"/>
              </w:rPr>
              <w:t>。</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c>
          <w:tcPr>
            <w:tcW w:w="934"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20" w:hRule="atLeast"/>
          <w:jc w:val="center"/>
        </w:trPr>
        <w:tc>
          <w:tcPr>
            <w:tcW w:w="523" w:type="dxa"/>
            <w:vMerge w:val="continue"/>
            <w:noWrap w:val="0"/>
            <w:vAlign w:val="center"/>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5765"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决定责任：依法需要给予行政处罚的，应制作《行政处罚决定书》，载明违法事实和证据、处罚依据和内容、申请行政复议或提起行政诉讼的途径和期限等内容。</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20"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送达</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送达责任：行政处罚决定书应当在宣告后当场交付当事人；当事人不在场的，行政机关应当在七日内依照民事诉讼法的有关规定，将行政处罚决定书送达当事人。</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c>
          <w:tcPr>
            <w:tcW w:w="934"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20"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执行</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执行责任：监督当事人在决定的期限内，履行生效的行政处罚决定。当事人在法定期限内没有申请行政复议或提起行政诉讼，又不履行的，可申请人民法院强制执行</w:t>
            </w:r>
            <w:r>
              <w:rPr>
                <w:rFonts w:hint="eastAsia" w:ascii="仿宋_GB2312" w:hAnsi="仿宋_GB2312" w:eastAsia="仿宋_GB2312" w:cs="仿宋_GB2312"/>
                <w:color w:val="auto"/>
                <w:spacing w:val="-6"/>
                <w:kern w:val="0"/>
                <w:sz w:val="20"/>
                <w:szCs w:val="20"/>
                <w:highlight w:val="none"/>
                <w:u w:val="none" w:color="auto"/>
                <w:lang w:eastAsia="zh-CN"/>
              </w:rPr>
              <w:t>。</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c>
          <w:tcPr>
            <w:tcW w:w="934"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4"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其他法律法规规章文件规定应履行的责任。</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c>
          <w:tcPr>
            <w:tcW w:w="934"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83" w:hRule="atLeast"/>
          <w:jc w:val="center"/>
        </w:trPr>
        <w:tc>
          <w:tcPr>
            <w:tcW w:w="52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rPr>
              <w:t>1</w:t>
            </w:r>
            <w:r>
              <w:rPr>
                <w:rFonts w:hint="eastAsia" w:ascii="仿宋_GB2312" w:hAnsi="仿宋_GB2312" w:eastAsia="仿宋_GB2312" w:cs="仿宋_GB2312"/>
                <w:color w:val="auto"/>
                <w:kern w:val="0"/>
                <w:sz w:val="20"/>
                <w:szCs w:val="20"/>
                <w:highlight w:val="none"/>
                <w:u w:val="none" w:color="auto"/>
                <w:lang w:val="en-US" w:eastAsia="zh-CN"/>
              </w:rPr>
              <w:t>2</w:t>
            </w:r>
          </w:p>
        </w:tc>
        <w:tc>
          <w:tcPr>
            <w:tcW w:w="1112"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擅自对地名进行命名、更名与销名</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公开使用未经批准的地名</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擅自设置、移动、涂改、遮盖、损毁地名标志的处罚</w:t>
            </w:r>
          </w:p>
        </w:tc>
        <w:tc>
          <w:tcPr>
            <w:tcW w:w="5765"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firstLine="0" w:firstLineChars="0"/>
              <w:jc w:val="left"/>
              <w:textAlignment w:val="center"/>
              <w:outlineLvl w:val="9"/>
              <w:rPr>
                <w:rFonts w:hint="eastAsia" w:ascii="仿宋_GB2312" w:hAnsi="仿宋_GB2312" w:eastAsia="仿宋_GB2312" w:cs="仿宋_GB2312"/>
                <w:color w:val="auto"/>
                <w:kern w:val="0"/>
                <w:sz w:val="20"/>
                <w:szCs w:val="20"/>
                <w:highlight w:val="none"/>
                <w:u w:val="none" w:color="auto"/>
                <w:lang w:eastAsia="zh-CN"/>
              </w:rPr>
            </w:pPr>
            <w:r>
              <w:rPr>
                <w:rFonts w:hint="eastAsia" w:ascii="仿宋_GB2312" w:hAnsi="仿宋_GB2312" w:eastAsia="仿宋_GB2312" w:cs="仿宋_GB2312"/>
                <w:color w:val="auto"/>
                <w:kern w:val="0"/>
                <w:sz w:val="20"/>
                <w:szCs w:val="20"/>
                <w:highlight w:val="none"/>
                <w:u w:val="none" w:color="auto"/>
                <w:lang w:eastAsia="zh-CN"/>
              </w:rPr>
              <w:t>《地名管理条例</w:t>
            </w:r>
            <w:r>
              <w:rPr>
                <w:rFonts w:hint="eastAsia" w:ascii="仿宋_GB2312" w:hAnsi="仿宋_GB2312" w:eastAsia="仿宋_GB2312" w:cs="仿宋_GB2312"/>
                <w:color w:val="auto"/>
                <w:kern w:val="0"/>
                <w:sz w:val="20"/>
                <w:szCs w:val="20"/>
                <w:highlight w:val="none"/>
                <w:u w:val="none" w:color="auto"/>
              </w:rPr>
              <w:t>》</w:t>
            </w:r>
          </w:p>
          <w:p>
            <w:pPr>
              <w:keepNext w:val="0"/>
              <w:keepLines w:val="0"/>
              <w:pageBreakBefore w:val="0"/>
              <w:widowControl w:val="0"/>
              <w:kinsoku/>
              <w:wordWrap/>
              <w:overflowPunct w:val="0"/>
              <w:topLinePunct w:val="0"/>
              <w:autoSpaceDE/>
              <w:autoSpaceDN/>
              <w:bidi w:val="0"/>
              <w:adjustRightInd/>
              <w:snapToGrid/>
              <w:spacing w:line="240" w:lineRule="exact"/>
              <w:ind w:left="0" w:leftChars="0" w:right="0" w:firstLine="0" w:firstLineChars="0"/>
              <w:jc w:val="left"/>
              <w:textAlignment w:val="center"/>
              <w:outlineLvl w:val="9"/>
              <w:rPr>
                <w:rFonts w:hint="eastAsia" w:ascii="仿宋_GB2312" w:hAnsi="仿宋_GB2312" w:eastAsia="仿宋_GB2312" w:cs="仿宋_GB2312"/>
                <w:color w:val="auto"/>
                <w:kern w:val="0"/>
                <w:sz w:val="20"/>
                <w:szCs w:val="20"/>
                <w:highlight w:val="none"/>
                <w:u w:val="none" w:color="auto"/>
                <w:lang w:eastAsia="zh-CN"/>
              </w:rPr>
            </w:pPr>
            <w:r>
              <w:rPr>
                <w:rFonts w:hint="eastAsia" w:ascii="仿宋_GB2312" w:hAnsi="仿宋_GB2312" w:eastAsia="仿宋_GB2312" w:cs="仿宋_GB2312"/>
                <w:color w:val="auto"/>
                <w:kern w:val="0"/>
                <w:sz w:val="20"/>
                <w:szCs w:val="20"/>
                <w:highlight w:val="none"/>
                <w:u w:val="none" w:color="auto"/>
                <w:lang w:eastAsia="zh-CN"/>
              </w:rPr>
              <w:t>第三十六条 违反本条例第四条、第九条、第十条、第十二条规定，擅自进行地名命名、更名的，由有审批权的行政机关责令限期改正；逾期不改正的，予以取缔，并对违法单位通报批评。</w:t>
            </w:r>
          </w:p>
          <w:p>
            <w:pPr>
              <w:keepNext w:val="0"/>
              <w:keepLines w:val="0"/>
              <w:pageBreakBefore w:val="0"/>
              <w:widowControl w:val="0"/>
              <w:kinsoku/>
              <w:wordWrap/>
              <w:overflowPunct w:val="0"/>
              <w:topLinePunct w:val="0"/>
              <w:autoSpaceDE/>
              <w:autoSpaceDN/>
              <w:bidi w:val="0"/>
              <w:adjustRightInd/>
              <w:snapToGrid/>
              <w:spacing w:line="240" w:lineRule="exact"/>
              <w:ind w:left="0" w:leftChars="0" w:right="0" w:firstLine="0" w:firstLineChars="0"/>
              <w:jc w:val="left"/>
              <w:textAlignment w:val="center"/>
              <w:outlineLvl w:val="9"/>
              <w:rPr>
                <w:rFonts w:hint="eastAsia" w:ascii="仿宋_GB2312" w:hAnsi="仿宋_GB2312" w:eastAsia="仿宋_GB2312" w:cs="仿宋_GB2312"/>
                <w:color w:val="auto"/>
                <w:kern w:val="0"/>
                <w:sz w:val="20"/>
                <w:szCs w:val="20"/>
                <w:highlight w:val="none"/>
                <w:u w:val="none" w:color="auto"/>
                <w:lang w:eastAsia="zh-CN"/>
              </w:rPr>
            </w:pPr>
            <w:r>
              <w:rPr>
                <w:rFonts w:hint="eastAsia" w:ascii="仿宋_GB2312" w:hAnsi="仿宋_GB2312" w:eastAsia="仿宋_GB2312" w:cs="仿宋_GB2312"/>
                <w:color w:val="auto"/>
                <w:kern w:val="0"/>
                <w:sz w:val="20"/>
                <w:szCs w:val="20"/>
                <w:highlight w:val="none"/>
                <w:u w:val="none" w:color="auto"/>
                <w:lang w:eastAsia="zh-CN"/>
              </w:rPr>
              <w:t>第三十七条 违反本条例第十八条规定，未使用或者未规范使用标准地名的，由县级以上地方人民政府地名行政主管部门或者其他有关部门责令限期改正；逾期不改正的，对违法单位通报批评，并通知有关主管部门依法处理；对违法单位的法定代表人或者主要负责人、直接负责的主管人员和其他直接责任人员，处2000元以上1万元以下罚款。</w:t>
            </w:r>
          </w:p>
          <w:p>
            <w:pPr>
              <w:keepNext w:val="0"/>
              <w:keepLines w:val="0"/>
              <w:pageBreakBefore w:val="0"/>
              <w:widowControl w:val="0"/>
              <w:kinsoku/>
              <w:wordWrap/>
              <w:overflowPunct w:val="0"/>
              <w:topLinePunct w:val="0"/>
              <w:autoSpaceDE/>
              <w:autoSpaceDN/>
              <w:bidi w:val="0"/>
              <w:adjustRightInd/>
              <w:snapToGrid/>
              <w:spacing w:line="240" w:lineRule="exact"/>
              <w:ind w:left="0" w:leftChars="0" w:right="0" w:firstLine="0" w:firstLineChars="0"/>
              <w:jc w:val="left"/>
              <w:textAlignment w:val="center"/>
              <w:outlineLvl w:val="9"/>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lang w:eastAsia="zh-CN"/>
              </w:rPr>
              <w:t>第三十八条 擅自设置、拆除、移动、涂改、遮挡、损毁地名标志的，由地名标志设置、维护和管理部门责令改正并对责任人员处1000元以上5000元以下罚款。</w:t>
            </w:r>
          </w:p>
        </w:tc>
        <w:tc>
          <w:tcPr>
            <w:tcW w:w="440"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行政处罚</w:t>
            </w: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立案</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30" w:lineRule="exact"/>
              <w:ind w:firstLine="0" w:firstLineChars="0"/>
              <w:jc w:val="both"/>
              <w:textAlignment w:val="top"/>
              <w:rPr>
                <w:rFonts w:hint="eastAsia" w:ascii="仿宋_GB2312" w:hAnsi="仿宋_GB2312" w:eastAsia="仿宋_GB2312" w:cs="仿宋_GB2312"/>
                <w:color w:val="auto"/>
                <w:spacing w:val="0"/>
                <w:sz w:val="20"/>
                <w:szCs w:val="20"/>
                <w:highlight w:val="none"/>
                <w:u w:val="none" w:color="auto"/>
              </w:rPr>
            </w:pPr>
            <w:r>
              <w:rPr>
                <w:rFonts w:hint="eastAsia" w:ascii="仿宋_GB2312" w:hAnsi="仿宋_GB2312" w:eastAsia="仿宋_GB2312" w:cs="仿宋_GB2312"/>
                <w:color w:val="auto"/>
                <w:spacing w:val="0"/>
                <w:kern w:val="0"/>
                <w:sz w:val="20"/>
                <w:szCs w:val="20"/>
                <w:highlight w:val="none"/>
                <w:u w:val="none" w:color="auto"/>
              </w:rPr>
              <w:t>立案责任：对检查或接到举报违反《河南省地名管理办法》案件予以审查，决定是否立案。</w:t>
            </w:r>
          </w:p>
        </w:tc>
        <w:tc>
          <w:tcPr>
            <w:tcW w:w="253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不履行或不正确履行职责，有下列情形的行政机关及相关工作人员应承担相应的责任：</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1</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不按照《地名管理条例》和本办法规定的地名命名、更名与销名的程序和权限作出审核意见的</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2</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不按照规定设置地名标志的</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3</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其他滥用职权、玩忽职守、徇私舞弊的行为。</w:t>
            </w:r>
          </w:p>
        </w:tc>
        <w:tc>
          <w:tcPr>
            <w:tcW w:w="934"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区划地名科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20"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0"/>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0"/>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调查</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30" w:lineRule="exact"/>
              <w:ind w:firstLine="0" w:firstLineChars="0"/>
              <w:jc w:val="left"/>
              <w:textAlignment w:val="center"/>
              <w:rPr>
                <w:rFonts w:hint="eastAsia" w:ascii="仿宋_GB2312" w:hAnsi="仿宋_GB2312" w:eastAsia="仿宋_GB2312" w:cs="仿宋_GB2312"/>
                <w:color w:val="auto"/>
                <w:spacing w:val="0"/>
                <w:sz w:val="20"/>
                <w:szCs w:val="20"/>
                <w:highlight w:val="none"/>
                <w:u w:val="none" w:color="auto"/>
              </w:rPr>
            </w:pPr>
            <w:r>
              <w:rPr>
                <w:rFonts w:hint="eastAsia" w:ascii="仿宋_GB2312" w:hAnsi="仿宋_GB2312" w:eastAsia="仿宋_GB2312" w:cs="仿宋_GB2312"/>
                <w:color w:val="auto"/>
                <w:spacing w:val="0"/>
                <w:kern w:val="0"/>
                <w:sz w:val="20"/>
                <w:szCs w:val="20"/>
                <w:highlight w:val="none"/>
                <w:u w:val="none" w:color="auto"/>
              </w:rPr>
              <w:t>调查责任：对立案的案件，案件承办人员及时、全面、客观、公正地调查收集与案件有关的证据，查明事实，执法人员不得少于两人；调查取证时应出示执法证件；允许当事人辩解</w:t>
            </w:r>
            <w:r>
              <w:rPr>
                <w:rFonts w:hint="eastAsia" w:ascii="仿宋_GB2312" w:hAnsi="仿宋_GB2312" w:eastAsia="仿宋_GB2312" w:cs="仿宋_GB2312"/>
                <w:color w:val="auto"/>
                <w:spacing w:val="0"/>
                <w:kern w:val="0"/>
                <w:sz w:val="20"/>
                <w:szCs w:val="20"/>
                <w:highlight w:val="none"/>
                <w:u w:val="none" w:color="auto"/>
                <w:lang w:eastAsia="zh-CN"/>
              </w:rPr>
              <w:t>陈述</w:t>
            </w:r>
            <w:r>
              <w:rPr>
                <w:rFonts w:hint="eastAsia" w:ascii="仿宋_GB2312" w:hAnsi="仿宋_GB2312" w:eastAsia="仿宋_GB2312" w:cs="仿宋_GB2312"/>
                <w:color w:val="auto"/>
                <w:spacing w:val="0"/>
                <w:kern w:val="0"/>
                <w:sz w:val="20"/>
                <w:szCs w:val="20"/>
                <w:highlight w:val="none"/>
                <w:u w:val="none" w:color="auto"/>
              </w:rPr>
              <w:t>。</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sz w:val="20"/>
                <w:szCs w:val="20"/>
                <w:highlight w:val="none"/>
                <w:u w:val="none" w:color="auto"/>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87"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审查</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30" w:lineRule="exact"/>
              <w:ind w:firstLine="0" w:firstLineChars="0"/>
              <w:jc w:val="left"/>
              <w:textAlignment w:val="center"/>
              <w:rPr>
                <w:rFonts w:hint="eastAsia" w:ascii="仿宋_GB2312" w:hAnsi="仿宋_GB2312" w:eastAsia="仿宋_GB2312" w:cs="仿宋_GB2312"/>
                <w:color w:val="auto"/>
                <w:spacing w:val="0"/>
                <w:sz w:val="20"/>
                <w:szCs w:val="20"/>
                <w:highlight w:val="none"/>
                <w:u w:val="none" w:color="auto"/>
              </w:rPr>
            </w:pPr>
            <w:r>
              <w:rPr>
                <w:rFonts w:hint="eastAsia" w:ascii="仿宋_GB2312" w:hAnsi="仿宋_GB2312" w:eastAsia="仿宋_GB2312" w:cs="仿宋_GB2312"/>
                <w:color w:val="auto"/>
                <w:spacing w:val="0"/>
                <w:kern w:val="0"/>
                <w:sz w:val="20"/>
                <w:szCs w:val="20"/>
                <w:highlight w:val="none"/>
                <w:u w:val="none" w:color="auto"/>
              </w:rPr>
              <w:t>审查责任：对案件违法事实、证据、调查取证程序、法律适用、处罚种类和幅度、当事人</w:t>
            </w:r>
            <w:r>
              <w:rPr>
                <w:rFonts w:hint="eastAsia" w:ascii="仿宋_GB2312" w:hAnsi="仿宋_GB2312" w:eastAsia="仿宋_GB2312" w:cs="仿宋_GB2312"/>
                <w:color w:val="auto"/>
                <w:spacing w:val="0"/>
                <w:kern w:val="0"/>
                <w:sz w:val="20"/>
                <w:szCs w:val="20"/>
                <w:highlight w:val="none"/>
                <w:u w:val="none" w:color="auto"/>
                <w:lang w:eastAsia="zh-CN"/>
              </w:rPr>
              <w:t>陈述</w:t>
            </w:r>
            <w:r>
              <w:rPr>
                <w:rFonts w:hint="eastAsia" w:ascii="仿宋_GB2312" w:hAnsi="仿宋_GB2312" w:eastAsia="仿宋_GB2312" w:cs="仿宋_GB2312"/>
                <w:color w:val="auto"/>
                <w:spacing w:val="0"/>
                <w:kern w:val="0"/>
                <w:sz w:val="20"/>
                <w:szCs w:val="20"/>
                <w:highlight w:val="none"/>
                <w:u w:val="none" w:color="auto"/>
              </w:rPr>
              <w:t>和申辩理由等方面进行审查，提出处理意见。</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sz w:val="20"/>
                <w:szCs w:val="20"/>
                <w:highlight w:val="none"/>
                <w:u w:val="none" w:color="auto"/>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90"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告知</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30" w:lineRule="exact"/>
              <w:ind w:firstLine="0" w:firstLineChars="0"/>
              <w:jc w:val="left"/>
              <w:textAlignment w:val="center"/>
              <w:rPr>
                <w:rFonts w:hint="eastAsia" w:ascii="仿宋_GB2312" w:hAnsi="仿宋_GB2312" w:eastAsia="仿宋_GB2312" w:cs="仿宋_GB2312"/>
                <w:color w:val="auto"/>
                <w:spacing w:val="0"/>
                <w:sz w:val="20"/>
                <w:szCs w:val="20"/>
                <w:highlight w:val="none"/>
                <w:u w:val="none" w:color="auto"/>
              </w:rPr>
            </w:pPr>
            <w:r>
              <w:rPr>
                <w:rFonts w:hint="eastAsia" w:ascii="仿宋_GB2312" w:hAnsi="仿宋_GB2312" w:eastAsia="仿宋_GB2312" w:cs="仿宋_GB2312"/>
                <w:color w:val="auto"/>
                <w:spacing w:val="0"/>
                <w:kern w:val="0"/>
                <w:sz w:val="20"/>
                <w:szCs w:val="20"/>
                <w:highlight w:val="none"/>
                <w:u w:val="none" w:color="auto"/>
              </w:rPr>
              <w:t>告知责任：在做出行政处罚决定前，书面告知当事人拟做出处罚决定的事实、理由、依据、处罚内容，以及当事人享有的</w:t>
            </w:r>
            <w:r>
              <w:rPr>
                <w:rFonts w:hint="eastAsia" w:ascii="仿宋_GB2312" w:hAnsi="仿宋_GB2312" w:eastAsia="仿宋_GB2312" w:cs="仿宋_GB2312"/>
                <w:color w:val="auto"/>
                <w:spacing w:val="0"/>
                <w:kern w:val="0"/>
                <w:sz w:val="20"/>
                <w:szCs w:val="20"/>
                <w:highlight w:val="none"/>
                <w:u w:val="none" w:color="auto"/>
                <w:lang w:eastAsia="zh-CN"/>
              </w:rPr>
              <w:t>陈述权</w:t>
            </w:r>
            <w:r>
              <w:rPr>
                <w:rFonts w:hint="eastAsia" w:ascii="仿宋_GB2312" w:hAnsi="仿宋_GB2312" w:eastAsia="仿宋_GB2312" w:cs="仿宋_GB2312"/>
                <w:color w:val="auto"/>
                <w:spacing w:val="0"/>
                <w:kern w:val="0"/>
                <w:sz w:val="20"/>
                <w:szCs w:val="20"/>
                <w:highlight w:val="none"/>
                <w:u w:val="none" w:color="auto"/>
              </w:rPr>
              <w:t>、申辩权和听证权。</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sz w:val="20"/>
                <w:szCs w:val="20"/>
                <w:highlight w:val="none"/>
                <w:u w:val="none" w:color="auto"/>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51"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决定</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30" w:lineRule="exact"/>
              <w:ind w:firstLine="0" w:firstLineChars="0"/>
              <w:jc w:val="left"/>
              <w:textAlignment w:val="center"/>
              <w:rPr>
                <w:rFonts w:hint="eastAsia" w:ascii="仿宋_GB2312" w:hAnsi="仿宋_GB2312" w:eastAsia="仿宋_GB2312" w:cs="仿宋_GB2312"/>
                <w:color w:val="auto"/>
                <w:spacing w:val="0"/>
                <w:sz w:val="20"/>
                <w:szCs w:val="20"/>
                <w:highlight w:val="none"/>
                <w:u w:val="none" w:color="auto"/>
              </w:rPr>
            </w:pPr>
            <w:r>
              <w:rPr>
                <w:rFonts w:hint="eastAsia" w:ascii="仿宋_GB2312" w:hAnsi="仿宋_GB2312" w:eastAsia="仿宋_GB2312" w:cs="仿宋_GB2312"/>
                <w:color w:val="auto"/>
                <w:spacing w:val="0"/>
                <w:kern w:val="0"/>
                <w:sz w:val="20"/>
                <w:szCs w:val="20"/>
                <w:highlight w:val="none"/>
                <w:u w:val="none" w:color="auto"/>
              </w:rPr>
              <w:t>决定责任：依法需要给予行政处罚的，应制作《行政处罚决定书》，载明违法事实和依据、处罚依据和内容、申请行政复议或提起行政诉讼的途径和期限等内容。</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sz w:val="20"/>
                <w:szCs w:val="20"/>
                <w:highlight w:val="none"/>
                <w:u w:val="none" w:color="auto"/>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140"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送达</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30" w:lineRule="exact"/>
              <w:ind w:firstLine="0" w:firstLineChars="0"/>
              <w:jc w:val="left"/>
              <w:textAlignment w:val="center"/>
              <w:rPr>
                <w:rFonts w:hint="eastAsia" w:ascii="仿宋_GB2312" w:hAnsi="仿宋_GB2312" w:eastAsia="仿宋_GB2312" w:cs="仿宋_GB2312"/>
                <w:color w:val="auto"/>
                <w:spacing w:val="0"/>
                <w:sz w:val="20"/>
                <w:szCs w:val="20"/>
                <w:highlight w:val="none"/>
                <w:u w:val="none" w:color="auto"/>
              </w:rPr>
            </w:pPr>
            <w:r>
              <w:rPr>
                <w:rFonts w:hint="eastAsia" w:ascii="仿宋_GB2312" w:hAnsi="仿宋_GB2312" w:eastAsia="仿宋_GB2312" w:cs="仿宋_GB2312"/>
                <w:color w:val="auto"/>
                <w:spacing w:val="0"/>
                <w:kern w:val="0"/>
                <w:sz w:val="20"/>
                <w:szCs w:val="20"/>
                <w:highlight w:val="none"/>
                <w:u w:val="none" w:color="auto"/>
              </w:rPr>
              <w:t>送达责任：行政处罚决定书应当在宣告当场交付当事人；当事人不在场时，行政机关应当在七日内依照民事诉讼法的有关规定，将行政处罚决定书送达当事人。</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sz w:val="20"/>
                <w:szCs w:val="20"/>
                <w:highlight w:val="none"/>
                <w:u w:val="none" w:color="auto"/>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247"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执行</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30" w:lineRule="exact"/>
              <w:ind w:firstLine="0" w:firstLineChars="0"/>
              <w:jc w:val="left"/>
              <w:textAlignment w:val="center"/>
              <w:rPr>
                <w:rFonts w:hint="eastAsia" w:ascii="仿宋_GB2312" w:hAnsi="仿宋_GB2312" w:eastAsia="仿宋_GB2312" w:cs="仿宋_GB2312"/>
                <w:color w:val="auto"/>
                <w:spacing w:val="0"/>
                <w:sz w:val="20"/>
                <w:szCs w:val="20"/>
                <w:highlight w:val="none"/>
                <w:u w:val="none" w:color="auto"/>
                <w:lang w:eastAsia="zh-CN"/>
              </w:rPr>
            </w:pPr>
            <w:r>
              <w:rPr>
                <w:rFonts w:hint="eastAsia" w:ascii="仿宋_GB2312" w:hAnsi="仿宋_GB2312" w:eastAsia="仿宋_GB2312" w:cs="仿宋_GB2312"/>
                <w:color w:val="auto"/>
                <w:spacing w:val="0"/>
                <w:kern w:val="0"/>
                <w:sz w:val="20"/>
                <w:szCs w:val="20"/>
                <w:highlight w:val="none"/>
                <w:u w:val="none" w:color="auto"/>
              </w:rPr>
              <w:t>执行责任：监督当事人在决定的期限内（15日内），履行生效的行政处罚决定。当事人在法定期限内没有申请行政复议或提起行政诉讼，又不履行的，可申请人民法院强制执行</w:t>
            </w:r>
            <w:r>
              <w:rPr>
                <w:rFonts w:hint="eastAsia" w:ascii="仿宋_GB2312" w:hAnsi="仿宋_GB2312" w:eastAsia="仿宋_GB2312" w:cs="仿宋_GB2312"/>
                <w:color w:val="auto"/>
                <w:spacing w:val="0"/>
                <w:kern w:val="0"/>
                <w:sz w:val="20"/>
                <w:szCs w:val="20"/>
                <w:highlight w:val="none"/>
                <w:u w:val="none" w:color="auto"/>
                <w:lang w:eastAsia="zh-CN"/>
              </w:rPr>
              <w:t>。</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sz w:val="20"/>
                <w:szCs w:val="20"/>
                <w:highlight w:val="none"/>
                <w:u w:val="none" w:color="auto"/>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134" w:hRule="atLeast"/>
          <w:jc w:val="center"/>
        </w:trPr>
        <w:tc>
          <w:tcPr>
            <w:tcW w:w="52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sz w:val="20"/>
                <w:szCs w:val="20"/>
                <w:highlight w:val="none"/>
                <w:u w:val="none" w:color="auto"/>
                <w:lang w:val="en-US" w:eastAsia="zh-CN"/>
              </w:rPr>
              <w:t>13</w:t>
            </w:r>
          </w:p>
        </w:tc>
        <w:tc>
          <w:tcPr>
            <w:tcW w:w="1112"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擅自编制行政区域界线详图，或者绘制的地图的行政区域界线的画法与行政区域界线详图的画法不一致的处罚</w:t>
            </w:r>
          </w:p>
        </w:tc>
        <w:tc>
          <w:tcPr>
            <w:tcW w:w="5765"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行政区域界线管理条例》（国务院令第353号）第十八条：违反本条例的规定，擅自编制行政区域界线详图，或者绘制的地图的行政区域界线的画法与行政区域界线详图的画法不一致的，由有关人民政府民政部门责令停止违法行为，没收违法编制的行政区域界线详图和违法所得，并处10000元以下的罚款。</w:t>
            </w:r>
          </w:p>
        </w:tc>
        <w:tc>
          <w:tcPr>
            <w:tcW w:w="440"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行政处罚</w:t>
            </w: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立案</w:t>
            </w:r>
          </w:p>
        </w:tc>
        <w:tc>
          <w:tcPr>
            <w:tcW w:w="3644" w:type="dxa"/>
            <w:noWrap w:val="0"/>
            <w:vAlign w:val="top"/>
          </w:tcPr>
          <w:p>
            <w:pPr>
              <w:keepNext w:val="0"/>
              <w:keepLines w:val="0"/>
              <w:pageBreakBefore w:val="0"/>
              <w:widowControl w:val="0"/>
              <w:kinsoku/>
              <w:wordWrap/>
              <w:overflowPunct w:val="0"/>
              <w:topLinePunct w:val="0"/>
              <w:autoSpaceDE/>
              <w:autoSpaceDN/>
              <w:bidi w:val="0"/>
              <w:adjustRightInd/>
              <w:snapToGrid/>
              <w:spacing w:line="220" w:lineRule="exact"/>
              <w:ind w:firstLine="0" w:firstLineChars="0"/>
              <w:jc w:val="both"/>
              <w:textAlignment w:val="top"/>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立案责任：对检查中发现、接到举报投诉擅自编制行政区域界线详图，或者绘制的地图的行政区域界线的画法与行政区域界线详图的画法不一致或有关部门移送的此类违法案件予以审查，决定是否立案。</w:t>
            </w:r>
          </w:p>
        </w:tc>
        <w:tc>
          <w:tcPr>
            <w:tcW w:w="253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不履行或不正确履行职责，有下列情形的行政机关及相关工作人员应承担相应的责任：</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1</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违反本条例的规定，有关国家机关工作人员在行政区域界线管理中有下列行为之一的，根据不同情节，依法给予记大过、降级或者撤职的行政处分；致使公共财产、国家和人民利益遭受重大损失的，依照刑法关于滥用职权罪、玩忽职守罪的规定，依法追究刑事责任</w:t>
            </w:r>
          </w:p>
        </w:tc>
        <w:tc>
          <w:tcPr>
            <w:tcW w:w="934"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区划地名科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455"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调查</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20"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调</w:t>
            </w:r>
            <w:r>
              <w:rPr>
                <w:rFonts w:hint="eastAsia" w:ascii="仿宋_GB2312" w:hAnsi="仿宋_GB2312" w:eastAsia="仿宋_GB2312" w:cs="仿宋_GB2312"/>
                <w:color w:val="auto"/>
                <w:spacing w:val="-11"/>
                <w:kern w:val="0"/>
                <w:sz w:val="20"/>
                <w:szCs w:val="20"/>
                <w:highlight w:val="none"/>
                <w:u w:val="none" w:color="auto"/>
              </w:rPr>
              <w:t>查责任：对立案的案件，案件承办人员及时、全面、客观、公正地调查收集与案件有关的证据，查明事实，必要时可进行现场检查。与当事人有直接</w:t>
            </w:r>
            <w:r>
              <w:rPr>
                <w:rFonts w:hint="eastAsia" w:ascii="仿宋_GB2312" w:hAnsi="仿宋_GB2312" w:eastAsia="仿宋_GB2312" w:cs="仿宋_GB2312"/>
                <w:color w:val="auto"/>
                <w:spacing w:val="-11"/>
                <w:kern w:val="0"/>
                <w:sz w:val="20"/>
                <w:szCs w:val="20"/>
                <w:highlight w:val="none"/>
                <w:u w:val="none" w:color="auto"/>
                <w:lang w:val="en-US" w:eastAsia="zh-CN"/>
              </w:rPr>
              <w:t>利害</w:t>
            </w:r>
            <w:r>
              <w:rPr>
                <w:rFonts w:hint="eastAsia" w:ascii="仿宋_GB2312" w:hAnsi="仿宋_GB2312" w:eastAsia="仿宋_GB2312" w:cs="仿宋_GB2312"/>
                <w:color w:val="auto"/>
                <w:spacing w:val="-11"/>
                <w:kern w:val="0"/>
                <w:sz w:val="20"/>
                <w:szCs w:val="20"/>
                <w:highlight w:val="none"/>
                <w:u w:val="none" w:color="auto"/>
              </w:rPr>
              <w:t>关系的应当回避；执法人员不得少于两人；调查取证时应出示执法证件；允许当事人辩解</w:t>
            </w:r>
            <w:r>
              <w:rPr>
                <w:rFonts w:hint="eastAsia" w:ascii="仿宋_GB2312" w:hAnsi="仿宋_GB2312" w:eastAsia="仿宋_GB2312" w:cs="仿宋_GB2312"/>
                <w:color w:val="auto"/>
                <w:spacing w:val="-11"/>
                <w:kern w:val="0"/>
                <w:sz w:val="20"/>
                <w:szCs w:val="20"/>
                <w:highlight w:val="none"/>
                <w:u w:val="none" w:color="auto"/>
                <w:lang w:eastAsia="zh-CN"/>
              </w:rPr>
              <w:t>陈述</w:t>
            </w:r>
            <w:r>
              <w:rPr>
                <w:rFonts w:hint="eastAsia" w:ascii="仿宋_GB2312" w:hAnsi="仿宋_GB2312" w:eastAsia="仿宋_GB2312" w:cs="仿宋_GB2312"/>
                <w:color w:val="auto"/>
                <w:spacing w:val="-11"/>
                <w:kern w:val="0"/>
                <w:sz w:val="20"/>
                <w:szCs w:val="20"/>
                <w:highlight w:val="none"/>
                <w:u w:val="none" w:color="auto"/>
              </w:rPr>
              <w:t>。</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c>
          <w:tcPr>
            <w:tcW w:w="934"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20"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审查</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20"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审查责任：对案件违法事实、证据、调查取证程序、法律适用、处罚种类和幅度、当事人</w:t>
            </w:r>
            <w:r>
              <w:rPr>
                <w:rFonts w:hint="eastAsia" w:ascii="仿宋_GB2312" w:hAnsi="仿宋_GB2312" w:eastAsia="仿宋_GB2312" w:cs="仿宋_GB2312"/>
                <w:color w:val="auto"/>
                <w:spacing w:val="-6"/>
                <w:kern w:val="0"/>
                <w:sz w:val="20"/>
                <w:szCs w:val="20"/>
                <w:highlight w:val="none"/>
                <w:u w:val="none" w:color="auto"/>
                <w:lang w:eastAsia="zh-CN"/>
              </w:rPr>
              <w:t>陈述</w:t>
            </w:r>
            <w:r>
              <w:rPr>
                <w:rFonts w:hint="eastAsia" w:ascii="仿宋_GB2312" w:hAnsi="仿宋_GB2312" w:eastAsia="仿宋_GB2312" w:cs="仿宋_GB2312"/>
                <w:color w:val="auto"/>
                <w:spacing w:val="-6"/>
                <w:kern w:val="0"/>
                <w:sz w:val="20"/>
                <w:szCs w:val="20"/>
                <w:highlight w:val="none"/>
                <w:u w:val="none" w:color="auto"/>
              </w:rPr>
              <w:t>和申辩理由等方面进行审查，提出处理意见。</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c>
          <w:tcPr>
            <w:tcW w:w="934"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20"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告知</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20"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告知责任：在做出行政处罚决定前，书面告知当事人拟做出处罚决定的事实、理由、依据、处罚内容，以及当事人享有的</w:t>
            </w:r>
            <w:r>
              <w:rPr>
                <w:rFonts w:hint="eastAsia" w:ascii="仿宋_GB2312" w:hAnsi="仿宋_GB2312" w:eastAsia="仿宋_GB2312" w:cs="仿宋_GB2312"/>
                <w:color w:val="auto"/>
                <w:spacing w:val="-6"/>
                <w:kern w:val="0"/>
                <w:sz w:val="20"/>
                <w:szCs w:val="20"/>
                <w:highlight w:val="none"/>
                <w:u w:val="none" w:color="auto"/>
                <w:lang w:eastAsia="zh-CN"/>
              </w:rPr>
              <w:t>陈述权</w:t>
            </w:r>
            <w:r>
              <w:rPr>
                <w:rFonts w:hint="eastAsia" w:ascii="仿宋_GB2312" w:hAnsi="仿宋_GB2312" w:eastAsia="仿宋_GB2312" w:cs="仿宋_GB2312"/>
                <w:color w:val="auto"/>
                <w:spacing w:val="-6"/>
                <w:kern w:val="0"/>
                <w:sz w:val="20"/>
                <w:szCs w:val="20"/>
                <w:highlight w:val="none"/>
                <w:u w:val="none" w:color="auto"/>
              </w:rPr>
              <w:t>、申辩权和听证权。</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c>
          <w:tcPr>
            <w:tcW w:w="934"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20"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20"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决定责任：依法需要给予行政处罚的，应制作《行政处罚决定书》，载明违法事实和证据、处罚依据和内容、申请行政复议或提起行政诉讼的途径和期限等内容。</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20"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送达</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20"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送达责任：行政处罚决定书应当在宣告后当场交付当事人；当事人不在场的，行政机关应当在七日内依照民事诉讼法的有关规定，将行政处罚决定书送达当事人。</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c>
          <w:tcPr>
            <w:tcW w:w="934"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40" w:hRule="atLeast"/>
          <w:jc w:val="center"/>
        </w:trPr>
        <w:tc>
          <w:tcPr>
            <w:tcW w:w="52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1112"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5765"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执行</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2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执行责任：监督当事人在决定的期限内（15日内），履行生效的行政处罚决定。当事人在法定期限内没有申请行政复议或提起行政诉讼，又不履行的，可申请人民法院强制执行。</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sz w:val="20"/>
                <w:szCs w:val="20"/>
                <w:highlight w:val="none"/>
                <w:u w:val="none" w:color="auto"/>
                <w:lang w:val="en-US" w:eastAsia="zh-CN"/>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50"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其他法律法规规章文件规定应履行的</w:t>
            </w:r>
            <w:r>
              <w:rPr>
                <w:rFonts w:hint="eastAsia" w:ascii="仿宋_GB2312" w:hAnsi="仿宋_GB2312" w:eastAsia="仿宋_GB2312" w:cs="仿宋_GB2312"/>
                <w:color w:val="auto"/>
                <w:spacing w:val="-6"/>
                <w:kern w:val="0"/>
                <w:sz w:val="20"/>
                <w:szCs w:val="20"/>
                <w:highlight w:val="none"/>
                <w:u w:val="none" w:color="auto"/>
                <w:lang w:eastAsia="zh-CN"/>
              </w:rPr>
              <w:t>责</w:t>
            </w:r>
            <w:r>
              <w:rPr>
                <w:rFonts w:hint="eastAsia" w:ascii="仿宋_GB2312" w:hAnsi="仿宋_GB2312" w:eastAsia="仿宋_GB2312" w:cs="仿宋_GB2312"/>
                <w:color w:val="auto"/>
                <w:spacing w:val="-6"/>
                <w:kern w:val="0"/>
                <w:sz w:val="20"/>
                <w:szCs w:val="20"/>
                <w:highlight w:val="none"/>
                <w:u w:val="none" w:color="auto"/>
              </w:rPr>
              <w:t>任</w:t>
            </w:r>
            <w:r>
              <w:rPr>
                <w:rFonts w:hint="eastAsia" w:ascii="仿宋_GB2312" w:hAnsi="仿宋_GB2312" w:eastAsia="仿宋_GB2312" w:cs="仿宋_GB2312"/>
                <w:color w:val="auto"/>
                <w:spacing w:val="-6"/>
                <w:kern w:val="0"/>
                <w:sz w:val="20"/>
                <w:szCs w:val="20"/>
                <w:highlight w:val="none"/>
                <w:u w:val="none" w:color="auto"/>
                <w:lang w:eastAsia="zh-CN"/>
              </w:rPr>
              <w:t>。</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52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lang w:val="en-US" w:eastAsia="zh-CN"/>
              </w:rPr>
              <w:t>14</w:t>
            </w:r>
          </w:p>
        </w:tc>
        <w:tc>
          <w:tcPr>
            <w:tcW w:w="1112"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社会团体在申请登记时弄虚作假，骗取登记的，或者自取得社会团体法人登记证书之日起1年未开展活动的处罚</w:t>
            </w:r>
          </w:p>
        </w:tc>
        <w:tc>
          <w:tcPr>
            <w:tcW w:w="5765"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《社会团体登记管理条例》（国务院令第250号）第二十九条：社会团体在申请登记时弄虚作假，骗取登记的，或者自取得《社会团体法人登记证书》之日起1年未开展活动的，由登记管理机关予以撤销登记。</w:t>
            </w:r>
          </w:p>
        </w:tc>
        <w:tc>
          <w:tcPr>
            <w:tcW w:w="440"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行政处罚</w:t>
            </w: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立案</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32"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立案责任：检查中发现或者接到举报社会团体在申请登记时弄虚作假，骗取登记，或者自取得《社会团体法人登记证书》之日起1年未开展活动的违法行为或有关部门移送的此类违法案件，予以审查，决定是否立案。</w:t>
            </w:r>
          </w:p>
        </w:tc>
        <w:tc>
          <w:tcPr>
            <w:tcW w:w="253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不履行或不正确履行职责，有下列情形的行政机关及相关工作人员应承担相应的责任：</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1</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对检查中发现或收到举报社会团体不按照规定办理变更登记的，不履行或不正确履行职责，行政机关及相关工作人员应承担相应的责任。</w:t>
            </w:r>
          </w:p>
        </w:tc>
        <w:tc>
          <w:tcPr>
            <w:tcW w:w="934"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社会组织管理局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调查</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32"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调查责任：对立案的案件，案件承办人员及时、全面、客观、公正地调查收集与案件有关的证据，查明事实，必要时可进行现场检查。与当事人有直接利害关系的予以回避。执法人员不得少于两人，调查时应出示执法证件，允许当事人辩解陈述。</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审查</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32"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审查责任：对案件违法事实、证据、调查取证程序、法律适用、处罚种类和幅度、当事人陈述和申辩理由等方面进行审查，提出处理意见。</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38" w:hRule="atLeast"/>
          <w:jc w:val="center"/>
        </w:trPr>
        <w:tc>
          <w:tcPr>
            <w:tcW w:w="523" w:type="dxa"/>
            <w:vMerge w:val="continue"/>
            <w:noWrap w:val="0"/>
            <w:vAlign w:val="center"/>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5765"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告知</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32"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告知责任：在做出行政处罚决定前，书面告知当事人拟作出处罚决定的事实、理由、依据、处罚内容，以及当事人享有的陈述权、申辩权或听证权。</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67"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32"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决定责任：依法需要给予行政处罚的，应制作《行政处罚决定书》，载明违法事实和证据、处罚依据和内容、申请行政复议或提起行政诉讼的途径和期限等内容。</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15" w:hRule="atLeast"/>
          <w:jc w:val="center"/>
        </w:trPr>
        <w:tc>
          <w:tcPr>
            <w:tcW w:w="52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1112"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5765"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送达</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32"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送达责任：行政处罚决定书在7日内送达当事人。</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199"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执行</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32"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执行责任：监督当事人在决定的期限内，履行生效的行政处罚决定。当事人在法定期限内不申请行政复议或提起行政诉讼，又不履行的，可依法采取强制执行或者申请人民法院强制执行。</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89"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32"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其他法律法规规章文件规定应履行的责任。</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125" w:hRule="atLeast"/>
          <w:jc w:val="center"/>
        </w:trPr>
        <w:tc>
          <w:tcPr>
            <w:tcW w:w="52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lang w:val="en-US" w:eastAsia="zh-CN"/>
              </w:rPr>
              <w:t>15</w:t>
            </w:r>
          </w:p>
        </w:tc>
        <w:tc>
          <w:tcPr>
            <w:tcW w:w="1112"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18"/>
                <w:szCs w:val="18"/>
                <w:highlight w:val="none"/>
                <w:u w:val="none" w:color="auto"/>
              </w:rPr>
              <w:t>社会团体涂改、出租、出借社会团体法人证书，或者出租、出借社会团体印章；超出章程规定的宗旨和业务范围进行活动；拒不接受或者不按照规定接受监督检查；不按照规定办理变更登记；违反规定设立分支机构、代表机构，或者对分支机构、代表机构疏于管理，造成严重后果的；从事营利性的经营活动的；侵占、私分、挪用社会团体资产或者所接受的捐赠、资助的；违反国家有关规定收取费用、筹集资金或者接受、使用捐赠、资助的处罚</w:t>
            </w:r>
          </w:p>
        </w:tc>
        <w:tc>
          <w:tcPr>
            <w:tcW w:w="5765"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社会团体登记管理条例》（国务院令第250号）第三十条：社会团体有下列情形之一的，由登记管理机关给予警告，责令改正，可以限期停止活动，并可以责令撤换直接负责的主管人员；情节严重的，予以撤销登记；构成犯罪的，依法追究刑事责任。（一）涂改、出租、出借《社会团体法人登记证书》，或者出租、出借社会团体印章的；（二）超出章程规定的宗旨和业务范围进行活动的；（三）拒不接受或者不按照规定接受监督检查的；（四）不按照规定办理变更登记的；（五）违反规定设立分支机构、代表机构，或者对分支机构、代表机构疏于管理，造成严重后果的；（六）从事营利性的经营活动的；（七）侵占、私分、挪用社会团体资产或者所接受的捐赠、资助的；（八）违反国家有关规定收取费用、筹集资金或者接受、使用捐赠、资助的。前款规定的行为有违法经营额或者违法所得的，予以没收，可以并处违法经营额1倍以上3倍以下或者违法所得3倍以上5倍以下的罚款。</w:t>
            </w:r>
          </w:p>
        </w:tc>
        <w:tc>
          <w:tcPr>
            <w:tcW w:w="440"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行政处罚</w:t>
            </w: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立案</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立案责任：检查中发现或者接到举报社会团体存在违反社会团体登记管理规定的行为或有关部门移送的此类违法案件，予以审查，决定是否立案。</w:t>
            </w:r>
          </w:p>
        </w:tc>
        <w:tc>
          <w:tcPr>
            <w:tcW w:w="253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不履行或不正确履行职责，有下列情形的行政机关及相关工作人员应承担相应的责任：</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1</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对检查中发现或收到举报社会团体不按照规定办理变更登记的，不履行或不正确履行职责，行政机关及相关工作人员应承担相应的责任。</w:t>
            </w:r>
          </w:p>
        </w:tc>
        <w:tc>
          <w:tcPr>
            <w:tcW w:w="934"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社会组织管理局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620" w:hRule="atLeast"/>
          <w:jc w:val="center"/>
        </w:trPr>
        <w:tc>
          <w:tcPr>
            <w:tcW w:w="523" w:type="dxa"/>
            <w:vMerge w:val="continue"/>
            <w:noWrap w:val="0"/>
            <w:vAlign w:val="center"/>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调查</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调查责任：对立案的案件，案件承办人员及时、全面、客观、公正地调查收集与案件有关的证据，查明事实，必要时可进行现场检查。与当事人有直接利害关系的予以回避。执法人员不得少于两人，调查时应出示执法证件，允许当事人辩解陈述。</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00" w:hRule="atLeast"/>
          <w:jc w:val="center"/>
        </w:trPr>
        <w:tc>
          <w:tcPr>
            <w:tcW w:w="52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审查</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审查责任：对案件违法事实、证据、调查取证程序、法律适用、处罚种类和幅度、当事人陈述和申辩理由等方面进行审查，提出处理意见。</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48"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告知</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告知责任：在做出行政处罚决定前，书面告知当事人拟作出处罚决定的事实、理由、依据、处罚内容，以及当事人享有的陈述权、申辩权或听证权。</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81"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决定责任：依法需要给予行政处罚的，应制作《行政处罚决定书》，载明违法事实和证据、处罚依据和内容、申请行政复议或提起行政诉讼的途径和期限等内容。</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35"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送到</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送达责任：行政处罚决定书在7日内送达当事人。</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168"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执行</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执行责任：监督当事人在决定的期限内，履行生效的行政处罚决定。当事人在法定期限内不申请行政复议或提起行政诉讼，又不履行的，可依法采取强制执行或者申请人民法院强制执行。</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48"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其他法律法规规章文件规定应履行的责任。</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06" w:hRule="atLeast"/>
          <w:jc w:val="center"/>
        </w:trPr>
        <w:tc>
          <w:tcPr>
            <w:tcW w:w="523" w:type="dxa"/>
            <w:vMerge w:val="restart"/>
            <w:noWrap w:val="0"/>
            <w:vAlign w:val="center"/>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r>
              <w:rPr>
                <w:rFonts w:hint="eastAsia" w:ascii="仿宋_GB2312" w:hAnsi="仿宋_GB2312" w:eastAsia="仿宋_GB2312" w:cs="仿宋_GB2312"/>
                <w:color w:val="auto"/>
                <w:sz w:val="20"/>
                <w:szCs w:val="20"/>
                <w:highlight w:val="none"/>
                <w:u w:val="none" w:color="auto"/>
                <w:lang w:val="en-US" w:eastAsia="zh-CN"/>
              </w:rPr>
              <w:t>16</w:t>
            </w:r>
          </w:p>
        </w:tc>
        <w:tc>
          <w:tcPr>
            <w:tcW w:w="1112"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rPr>
              <w:t>社会团体的活动违反其他法律、法规的，有关国家机关认为应当撤销登记的处罚</w:t>
            </w:r>
          </w:p>
        </w:tc>
        <w:tc>
          <w:tcPr>
            <w:tcW w:w="5765"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rPr>
              <w:t>《社会团体登记管理条例》</w:t>
            </w:r>
            <w:r>
              <w:rPr>
                <w:rFonts w:hint="eastAsia" w:ascii="仿宋_GB2312" w:hAnsi="仿宋_GB2312" w:eastAsia="仿宋_GB2312" w:cs="仿宋_GB2312"/>
                <w:color w:val="auto"/>
                <w:kern w:val="0"/>
                <w:sz w:val="20"/>
                <w:szCs w:val="20"/>
                <w:highlight w:val="none"/>
                <w:u w:val="none" w:color="auto"/>
                <w:lang w:val="en-US" w:eastAsia="zh-CN"/>
              </w:rPr>
              <w:t>（</w:t>
            </w:r>
            <w:r>
              <w:rPr>
                <w:rFonts w:hint="eastAsia" w:ascii="仿宋_GB2312" w:hAnsi="仿宋_GB2312" w:eastAsia="仿宋_GB2312" w:cs="仿宋_GB2312"/>
                <w:color w:val="auto"/>
                <w:kern w:val="0"/>
                <w:sz w:val="20"/>
                <w:szCs w:val="20"/>
                <w:highlight w:val="none"/>
                <w:u w:val="none" w:color="auto"/>
              </w:rPr>
              <w:t>国务院令第250号）第三十一条：社会团体的活动违反其他法律、法规的，由有关国家机关依法处理；有关国家机关认为应当撤销登记的，由登记管理机关撤销登记。</w:t>
            </w:r>
          </w:p>
        </w:tc>
        <w:tc>
          <w:tcPr>
            <w:tcW w:w="440"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rPr>
              <w:t>行政处罚</w:t>
            </w: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rPr>
              <w:t>立案</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2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rPr>
              <w:t>立案责任：有关部门移送的国家机关认为应当撤销登记的案件，予以审查，决定是否立案。</w:t>
            </w:r>
          </w:p>
        </w:tc>
        <w:tc>
          <w:tcPr>
            <w:tcW w:w="253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不履行或不正确履行职责，有下列情形的行政机关及相关工作人员应承担相应的责任：</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1</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对检查中发现或收到举报社会团体不按照规定办理变更登记的，不履行或不正确履行职责，行政机关及相关工作人员应承担相应的责任。</w:t>
            </w:r>
          </w:p>
        </w:tc>
        <w:tc>
          <w:tcPr>
            <w:tcW w:w="934"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rPr>
              <w:t>社会组织管理局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636"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rPr>
              <w:t>调查</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2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rPr>
              <w:t>调查责任：对立案的案件，案件承办人员及时、全面、客观、公正地调查收集与案件有关的证据，查明事实，必要时可进行现场检查。与当事人有直接利害关系的予以回避。执法人员不得少于两人，调查时应出示执法证件，允许当事人辩解陈述。</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64"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rPr>
              <w:t>审查</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2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rPr>
              <w:t>审查责任：对案件违法事实、证据、调查取证程序、法律适用、处罚种类和幅度、当事人陈述和申辩理由等方面进行审查，提出处理意见。</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42"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rPr>
              <w:t>告知</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2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rPr>
              <w:t>告知责任：在做出行政处罚决定前，书面告知当事人拟作出处罚决定的事实、理由、依据、处罚内容，以及当事人享有的陈述权、申辩权或听证权。</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49"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rPr>
              <w:t>决定</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2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rPr>
              <w:t>决定责任：依法需要给予行政处罚的，应制作《行政处罚决定书》，载明违法事实和证据、处罚依据和内容、申请行政复议或提起行政诉讼的途径和期限等内容。</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0"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rPr>
              <w:t>送到</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2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rPr>
              <w:t>送达责任：行政处罚决定书在7日内送达当事人。</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285"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5765"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rPr>
              <w:t>执行</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2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rPr>
              <w:t>执行责任：监督当事人在决定的期限内，履行生效的行政处罚决定。当事人在法定期限内不申请行政复议或提起行政诉讼，又不履行的，可依法采取强制执行或者申请人民法院强制执行。</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85"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rPr>
              <w:t>其他法律法规规章文件规定应履行的责任。</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86" w:hRule="atLeast"/>
          <w:jc w:val="center"/>
        </w:trPr>
        <w:tc>
          <w:tcPr>
            <w:tcW w:w="52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lang w:val="en-US" w:eastAsia="zh-CN"/>
              </w:rPr>
              <w:t>17</w:t>
            </w:r>
          </w:p>
        </w:tc>
        <w:tc>
          <w:tcPr>
            <w:tcW w:w="1112"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筹备期间开展筹备以外的活动，或者未经登记，擅自以社会团体名义进行活动，以及被撤销登记的社会团体继续以社会团体的名义进行活动的处罚</w:t>
            </w:r>
          </w:p>
        </w:tc>
        <w:tc>
          <w:tcPr>
            <w:tcW w:w="5765"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社会团体登记管理条例》（国务院令第250号）第三十二条：筹备期间开展筹备以外的活动，或者未经登记，擅自以社会团体名义进行活动，以及被撤销登记的社会团体继续以社会团体名义进行活动的，由登记管理机关予以取缔，没收非法财产；构成犯罪的，依法追究刑事责任；尚不构成犯罪的，依法给予治安管理处罚。</w:t>
            </w:r>
          </w:p>
        </w:tc>
        <w:tc>
          <w:tcPr>
            <w:tcW w:w="440"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行政处罚</w:t>
            </w: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立案</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36"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立</w:t>
            </w:r>
            <w:r>
              <w:rPr>
                <w:rFonts w:hint="eastAsia" w:ascii="仿宋_GB2312" w:hAnsi="仿宋_GB2312" w:eastAsia="仿宋_GB2312" w:cs="仿宋_GB2312"/>
                <w:color w:val="auto"/>
                <w:spacing w:val="-11"/>
                <w:kern w:val="0"/>
                <w:sz w:val="20"/>
                <w:szCs w:val="20"/>
                <w:highlight w:val="none"/>
                <w:u w:val="none" w:color="auto"/>
              </w:rPr>
              <w:t>案责任：检查中发现或者接到举报未经批准，擅自开展社会团体筹备活动，或者未经登记，擅自以社会团体名义进行活动，以及被撤销登记的社会团体继续以社会团体的名义进行活动的行为或有关部门移送的此类违法案件，予以审查，决定是否立案</w:t>
            </w:r>
            <w:r>
              <w:rPr>
                <w:rFonts w:hint="eastAsia" w:ascii="仿宋_GB2312" w:hAnsi="仿宋_GB2312" w:eastAsia="仿宋_GB2312" w:cs="仿宋_GB2312"/>
                <w:color w:val="auto"/>
                <w:spacing w:val="-6"/>
                <w:kern w:val="0"/>
                <w:sz w:val="20"/>
                <w:szCs w:val="20"/>
                <w:highlight w:val="none"/>
                <w:u w:val="none" w:color="auto"/>
              </w:rPr>
              <w:t>。</w:t>
            </w:r>
          </w:p>
        </w:tc>
        <w:tc>
          <w:tcPr>
            <w:tcW w:w="253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不履行或不正确履行职责，有下列情形的行政机关及相关工作人员应承担相应的责任：</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1</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对检查中发现或收到举报社会团体不按照规定办理变更登记的，不履行或不正确履行职责，行政机关及相关工作人员应承担相应的责任。</w:t>
            </w:r>
          </w:p>
        </w:tc>
        <w:tc>
          <w:tcPr>
            <w:tcW w:w="934"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社会组织管理局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417"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调查</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36"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调查责任：对立案的案件，案件承办人员及时、全面、客观、公正地调查收集与案件有关的证据，查明事实，必要时可进行现场检查。与当事人有直接利害关系的予以回避。执法人员不得少于两人，调查时应出示执法证件，允许当事人辩解陈述。</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54" w:hRule="atLeast"/>
          <w:jc w:val="center"/>
        </w:trPr>
        <w:tc>
          <w:tcPr>
            <w:tcW w:w="52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1112"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5765"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审查</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36"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审查责任：对案件违法事实、证据、调查取证程序、法律适用、处罚种类和幅度、当事人陈述和申辩理由等方面进行审查，提出处理意见。</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52"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告知</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36"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告知责任：在做出行政处罚决定前，书面告知当事人拟作出处罚决定的事实、理由、依据、处罚内容，以及当事人享有的陈述权、申辩权或听证权。</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60"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36"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决定责任：依法需要给予行政处罚的，应制作《行政处罚决定书》，载明违法事实和证据、处罚依据和内容、申请行政复议或提起行政诉讼的途径和期限等内容。</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52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1112"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5765"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送到</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36"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送达责任：行政处罚决定书在7日内送达当事人。</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141"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kern w:val="2"/>
                <w:sz w:val="20"/>
                <w:szCs w:val="20"/>
                <w:highlight w:val="none"/>
                <w:u w:val="none" w:color="auto"/>
                <w:lang w:val="en-US" w:eastAsia="zh-CN" w:bidi="ar-SA"/>
              </w:rPr>
            </w:pPr>
          </w:p>
        </w:tc>
        <w:tc>
          <w:tcPr>
            <w:tcW w:w="5765"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执行</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36"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执行责任：监督当事人在决定的期限内，履行生效的行政处罚决定。当事人在法定期限内不申请行政复议或提起行政诉讼，又不履行的，可依法采取强制执行或者申请人民法院强制执行。</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41"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kern w:val="2"/>
                <w:sz w:val="20"/>
                <w:szCs w:val="20"/>
                <w:highlight w:val="none"/>
                <w:u w:val="none" w:color="auto"/>
                <w:lang w:val="en-US" w:eastAsia="zh-CN" w:bidi="ar-SA"/>
              </w:rPr>
            </w:pPr>
          </w:p>
        </w:tc>
        <w:tc>
          <w:tcPr>
            <w:tcW w:w="5765"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11"/>
                <w:kern w:val="0"/>
                <w:sz w:val="20"/>
                <w:szCs w:val="20"/>
                <w:highlight w:val="none"/>
                <w:u w:val="none" w:color="auto"/>
              </w:rPr>
              <w:t>其他法律法规规章文件规定应履行的责任。</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150" w:hRule="atLeast"/>
          <w:jc w:val="center"/>
        </w:trPr>
        <w:tc>
          <w:tcPr>
            <w:tcW w:w="52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lang w:val="en-US" w:eastAsia="zh-CN"/>
              </w:rPr>
              <w:t>18</w:t>
            </w:r>
          </w:p>
        </w:tc>
        <w:tc>
          <w:tcPr>
            <w:tcW w:w="1112"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民办非企业单位在申请登记时弄虚作假，骗取登记的，或者业务主管单位撤销批准的处罚</w:t>
            </w:r>
          </w:p>
        </w:tc>
        <w:tc>
          <w:tcPr>
            <w:tcW w:w="5765"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《民办非企业单位登记管理暂行条例》（国务院令第251号）第二十四条：民办非企业单位在申请登记时弄虚作假，骗取登记的或者业务主管单位撤销批准的由登记管理机关予以撤销登记。</w:t>
            </w:r>
          </w:p>
        </w:tc>
        <w:tc>
          <w:tcPr>
            <w:tcW w:w="440"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行政处罚</w:t>
            </w: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立案</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36"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立案责任：检查中发现或者接到举报民办非企业单位在申请登记时弄虚作假，骗取登记的，或者业务主管单位撤销批准的行为或有关部门移送的此类违法案件，予以审查，决定是否立案。</w:t>
            </w:r>
          </w:p>
        </w:tc>
        <w:tc>
          <w:tcPr>
            <w:tcW w:w="253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不履行或不正确履行职责，有下列情形的行政机关及相关工作人员应承担相应的责任：</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1</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对检查中发现或收到举报民办非企业单位在申请登记时弄虚作假，骗取登记的，或者业务主管单位撤销批准的，不履行或不正确履行职责，行政机关及相关工作人员应承担相应的责任。</w:t>
            </w:r>
          </w:p>
        </w:tc>
        <w:tc>
          <w:tcPr>
            <w:tcW w:w="934"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社会组织管理局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51"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kern w:val="2"/>
                <w:sz w:val="20"/>
                <w:szCs w:val="20"/>
                <w:highlight w:val="none"/>
                <w:u w:val="none" w:color="auto"/>
                <w:lang w:val="en-US" w:eastAsia="zh-CN" w:bidi="ar-SA"/>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调查</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36" w:lineRule="exact"/>
              <w:ind w:firstLine="0" w:firstLineChars="0"/>
              <w:jc w:val="left"/>
              <w:textAlignment w:val="center"/>
              <w:rPr>
                <w:rFonts w:hint="eastAsia" w:ascii="仿宋_GB2312" w:hAnsi="仿宋_GB2312" w:eastAsia="仿宋_GB2312" w:cs="仿宋_GB2312"/>
                <w:color w:val="auto"/>
                <w:spacing w:val="-6"/>
                <w:kern w:val="0"/>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调查责任：对立案的案件，案件承办人员及时、全面、客观、公正地调查收集与案件有关的证据，查明事实，必要时可进行现场检查。与当事人有直接利害关系的予以回避。执法人员不得少于两人，调查时应出示执法证件，允许当事人辩解陈述。</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35"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kern w:val="2"/>
                <w:sz w:val="20"/>
                <w:szCs w:val="20"/>
                <w:highlight w:val="none"/>
                <w:u w:val="none" w:color="auto"/>
                <w:lang w:val="en-US" w:eastAsia="zh-CN" w:bidi="ar-SA"/>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审查</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36" w:lineRule="exact"/>
              <w:ind w:firstLine="0" w:firstLineChars="0"/>
              <w:jc w:val="left"/>
              <w:textAlignment w:val="center"/>
              <w:rPr>
                <w:rFonts w:hint="eastAsia" w:ascii="仿宋_GB2312" w:hAnsi="仿宋_GB2312" w:eastAsia="仿宋_GB2312" w:cs="仿宋_GB2312"/>
                <w:color w:val="auto"/>
                <w:spacing w:val="-6"/>
                <w:kern w:val="0"/>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审查责任：对案件违法事实、证据、调查取证程序、法律适用、处罚种类和幅度、当事人陈述和申辩理由等方面进行审查，提出处理意见。</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74"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kern w:val="2"/>
                <w:sz w:val="20"/>
                <w:szCs w:val="20"/>
                <w:highlight w:val="none"/>
                <w:u w:val="none" w:color="auto"/>
                <w:lang w:val="en-US" w:eastAsia="zh-CN" w:bidi="ar-SA"/>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告知</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36" w:lineRule="exact"/>
              <w:ind w:firstLine="0" w:firstLineChars="0"/>
              <w:jc w:val="left"/>
              <w:textAlignment w:val="center"/>
              <w:rPr>
                <w:rFonts w:hint="eastAsia" w:ascii="仿宋_GB2312" w:hAnsi="仿宋_GB2312" w:eastAsia="仿宋_GB2312" w:cs="仿宋_GB2312"/>
                <w:color w:val="auto"/>
                <w:spacing w:val="-6"/>
                <w:kern w:val="0"/>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告知责任：在做出行政处罚决定前，书面告知当事人拟作出处罚决定的事实、理由、依据、处罚内容，以及当事人享有的陈述权、申辩权或听证权。</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48" w:hRule="atLeast"/>
          <w:jc w:val="center"/>
        </w:trPr>
        <w:tc>
          <w:tcPr>
            <w:tcW w:w="523" w:type="dxa"/>
            <w:vMerge w:val="continue"/>
            <w:noWrap w:val="0"/>
            <w:vAlign w:val="center"/>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5765"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36"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决定责任：依法需要给予行政处罚的，应制作《行政处罚决定书》，载明违法事实和证据、处罚依据和内容、申请行政复议或提起行政诉讼的途径和期限等内容。</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kern w:val="2"/>
                <w:sz w:val="20"/>
                <w:szCs w:val="20"/>
                <w:highlight w:val="none"/>
                <w:u w:val="none" w:color="auto"/>
                <w:lang w:val="en-US" w:eastAsia="zh-CN" w:bidi="ar-SA"/>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送到</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36"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送达责任：行政处罚决定书在7日内送达当事人。</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213" w:hRule="atLeast"/>
          <w:jc w:val="center"/>
        </w:trPr>
        <w:tc>
          <w:tcPr>
            <w:tcW w:w="52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1112"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5765"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执行</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36"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执行责任：监督当事人在决定的期限内，履行生效的行政处罚决定。当事人在法定期限内不申请行政复议或提起行政诉讼，又不履行的，可依法采取强制执行或者申请人民法院强制执行。</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83"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kern w:val="2"/>
                <w:sz w:val="20"/>
                <w:szCs w:val="20"/>
                <w:highlight w:val="none"/>
                <w:u w:val="none" w:color="auto"/>
                <w:lang w:val="en-US" w:eastAsia="zh-CN" w:bidi="ar-SA"/>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36"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其他法律法规规章文件规定应履行的责任。</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213" w:hRule="atLeast"/>
          <w:jc w:val="center"/>
        </w:trPr>
        <w:tc>
          <w:tcPr>
            <w:tcW w:w="52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lang w:val="en-US" w:eastAsia="zh-CN"/>
              </w:rPr>
              <w:t>19</w:t>
            </w:r>
          </w:p>
        </w:tc>
        <w:tc>
          <w:tcPr>
            <w:tcW w:w="1112"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19"/>
                <w:szCs w:val="19"/>
                <w:highlight w:val="none"/>
                <w:u w:val="none" w:color="auto"/>
              </w:rPr>
              <w:t>涂改、出租、出借民办非企业单位登记证书，或者出租、出借民办非企业单位印章的；民办非企业单位超出章程规定的宗旨和业务范围进行活动的；拒不接受或者不按照规定接受监督检查的；不按照规定办理变更登记的；设立分支机构的；从事营利性的经营活动的；侵占、私分、挪用民办非企业单位的资产或者所接受的捐赠、资助的；违反国家有关规定收取费用、筹集资金或者接受、使用捐赠、资助的处罚</w:t>
            </w:r>
          </w:p>
        </w:tc>
        <w:tc>
          <w:tcPr>
            <w:tcW w:w="5765"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民办非企业单位登记管理暂行条例》（国务院令第251号）第二十五条：民办非企业单位有下列情形之一的，由登记管理机关予以警告，责令改正，可以限期停止活动；情节严重的，予以撤销登记；构成犯罪的，依法追究刑事责任：（一）涂改、出租、出借民办非企业单位登记证书，或者出租、出借民办非企业单位印章的；（二）超出其章程规定的宗旨和业务范围进行活动的；（三）拒不接受或者不按照规定接受监督检查的；（四）不按照规定办理变更登记的；（五）设立分支机构的；（六）从事营利性的经营活动的；（七）侵占、私分、挪用民办非企业单位的资产或者所接受的捐赠、资助的；（八）违反国家有关规定收取费用、筹集资金或者接受使用捐赠、资助的。前款规定的行为有违法经营额或者违法所得的，予以没收，可以并处违法经营额1倍以上3倍以下或者违法所得3倍以上5倍以下的罚款。</w:t>
            </w:r>
          </w:p>
        </w:tc>
        <w:tc>
          <w:tcPr>
            <w:tcW w:w="440"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行政处罚</w:t>
            </w: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立案</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立案责任：检查中发现或者接到举报民办非企业单位存在违反民办非企业单位登记管理规定的行为或有关部门移送的此类违法案件，予以审查，决定是否立案。</w:t>
            </w:r>
          </w:p>
        </w:tc>
        <w:tc>
          <w:tcPr>
            <w:tcW w:w="253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不履行或不正确履行职责，有下列情形的行政机关及相关工作人员应承担相应的责任：</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1</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对检查中发现或收到举报民办非企业单位在申请登记时弄虚作假，骗取登记的，或者业务主管单位撤销批准的，不履行或不正确履行职责，行政机关及相关工作人员应承担相应的责任。</w:t>
            </w:r>
          </w:p>
        </w:tc>
        <w:tc>
          <w:tcPr>
            <w:tcW w:w="934"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社会组织管理局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710"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kern w:val="2"/>
                <w:sz w:val="20"/>
                <w:szCs w:val="20"/>
                <w:highlight w:val="none"/>
                <w:u w:val="none" w:color="auto"/>
                <w:lang w:val="en-US" w:eastAsia="zh-CN" w:bidi="ar-SA"/>
              </w:rPr>
            </w:pPr>
          </w:p>
        </w:tc>
        <w:tc>
          <w:tcPr>
            <w:tcW w:w="5765"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调查</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调查责任：对立案的案件，案件承办人员及时、全面、客观、公正地调查收集与案件有关的证据，查明事实，必要时可进行现场检查。与当事人有直接利害关系的予以回避。执法人员不得少于两人，调查时应出示执法证件，允许当事人辩解陈述。</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15" w:hRule="atLeast"/>
          <w:jc w:val="center"/>
        </w:trPr>
        <w:tc>
          <w:tcPr>
            <w:tcW w:w="52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kern w:val="2"/>
                <w:sz w:val="20"/>
                <w:szCs w:val="20"/>
                <w:highlight w:val="none"/>
                <w:u w:val="none" w:color="auto"/>
                <w:lang w:val="en-US" w:eastAsia="zh-CN" w:bidi="ar-SA"/>
              </w:rPr>
            </w:pPr>
          </w:p>
        </w:tc>
        <w:tc>
          <w:tcPr>
            <w:tcW w:w="5765"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审查</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审查责任：对案件违法事实、证据、调查取证程序、法律适用、处罚种类和幅度、当事人陈述和申辩理由等方面进行审查，提出处理意见。</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95"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kern w:val="2"/>
                <w:sz w:val="20"/>
                <w:szCs w:val="20"/>
                <w:highlight w:val="none"/>
                <w:u w:val="none" w:color="auto"/>
                <w:lang w:val="en-US" w:eastAsia="zh-CN" w:bidi="ar-SA"/>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告知</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告知责任：在做出行政处罚决定前，书面告知当事人拟作出处罚决定的事实、理由、依据、处罚内容，以及当事人享有的陈述权、申辩权或听证权。</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31"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kern w:val="2"/>
                <w:sz w:val="20"/>
                <w:szCs w:val="20"/>
                <w:highlight w:val="none"/>
                <w:u w:val="none" w:color="auto"/>
                <w:lang w:val="en-US" w:eastAsia="zh-CN" w:bidi="ar-SA"/>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决定责任：依法需要给予行政处罚的，应制作《行政处罚决定书》，载明违法事实和证据、处罚依据和内容、申请行政复议或提起行政诉讼的途径和期限等内容。</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kern w:val="2"/>
                <w:sz w:val="20"/>
                <w:szCs w:val="20"/>
                <w:highlight w:val="none"/>
                <w:u w:val="none" w:color="auto"/>
                <w:lang w:val="en-US" w:eastAsia="zh-CN" w:bidi="ar-SA"/>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送达</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送达责任：行政处罚决定书在7日内送达当事人。</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50"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kern w:val="2"/>
                <w:sz w:val="20"/>
                <w:szCs w:val="20"/>
                <w:highlight w:val="none"/>
                <w:u w:val="none" w:color="auto"/>
                <w:lang w:val="en-US" w:eastAsia="zh-CN" w:bidi="ar-SA"/>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执行</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执行责任：监督当事人在决定的期限内，履行生效的行政处罚决定。当事人在法定期限内不申请行政复议或提起行政诉讼，又不履行的，可依法采取强制执行或者申请人民法院强制执行。</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0"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kern w:val="2"/>
                <w:sz w:val="20"/>
                <w:szCs w:val="20"/>
                <w:highlight w:val="none"/>
                <w:u w:val="none" w:color="auto"/>
                <w:lang w:val="en-US" w:eastAsia="zh-CN" w:bidi="ar-SA"/>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其他法律法规规章文件规定应履行的责任。</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531" w:hRule="atLeast"/>
          <w:jc w:val="center"/>
        </w:trPr>
        <w:tc>
          <w:tcPr>
            <w:tcW w:w="52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sz w:val="20"/>
                <w:szCs w:val="20"/>
                <w:highlight w:val="none"/>
                <w:u w:val="none" w:color="auto"/>
                <w:lang w:val="en-US" w:eastAsia="zh-CN"/>
              </w:rPr>
              <w:t>20</w:t>
            </w:r>
          </w:p>
        </w:tc>
        <w:tc>
          <w:tcPr>
            <w:tcW w:w="1112"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未经登记，擅自以民办非企业单位的名义进行活动的，或者被撤销登记的民办非企业单位继续以民办非企业单位的名义进行活动的处罚</w:t>
            </w:r>
          </w:p>
        </w:tc>
        <w:tc>
          <w:tcPr>
            <w:tcW w:w="5765"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民办非企业单位登记管理暂行条例》（国务院令第251号）第二十七条：未经登记，擅自以民办非企业单位名义进行活动的，或者被撤销登记的民办非企业单位继续以民办非企业单位名义进行活动的，由登记管理机关予以取缔，没收非法财产；构成犯罪的，依法追究刑事责任；尚不构成犯罪的，依法给予治安管理处罚。</w:t>
            </w:r>
          </w:p>
        </w:tc>
        <w:tc>
          <w:tcPr>
            <w:tcW w:w="440"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行政处罚</w:t>
            </w: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立案</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立案责任：检查中发现或者接到举报未经登记，擅自以民办非企业单位的名义进行活动的，或者被撤销登记的民办非企业单位继续以民办非企业单位的名义进行活动的行为或有关部门移送的此类违法案件，予以审查，决定是否立案。</w:t>
            </w:r>
          </w:p>
        </w:tc>
        <w:tc>
          <w:tcPr>
            <w:tcW w:w="253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不履行或不正确履行职责，有下列情形的行政机关及相关工作人员应承担相应的责任：</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1</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对检查中发现或收到举报民办非企业单位在申请登记时弄虚作假，骗取登记的，或者业务主管单位撤销批准的，不履行或不正确履行职责，行政机关及相关工作人员应承担相应的责任。</w:t>
            </w:r>
          </w:p>
        </w:tc>
        <w:tc>
          <w:tcPr>
            <w:tcW w:w="934"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社会组织管理局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449"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kern w:val="2"/>
                <w:sz w:val="20"/>
                <w:szCs w:val="20"/>
                <w:highlight w:val="none"/>
                <w:u w:val="none" w:color="auto"/>
                <w:lang w:val="en-US" w:eastAsia="zh-CN" w:bidi="ar-SA"/>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调查</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调查责任：对立案的案件，案件承办人员及时、全面、客观、公正地调查收集与案件有关的证据，查明事实，必要时可进行现场检查。与当事人有直接利害关系的予以回避。执法人员不得少于两人，调查时应出示执法证件，允许当事人辩解陈述。</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77"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kern w:val="2"/>
                <w:sz w:val="20"/>
                <w:szCs w:val="20"/>
                <w:highlight w:val="none"/>
                <w:u w:val="none" w:color="auto"/>
                <w:lang w:val="en-US" w:eastAsia="zh-CN" w:bidi="ar-SA"/>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审查</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审查责任：对案件违法事实、证据、调查取证程序、法律适用、处罚种类和幅度、当事人陈述和申辩理由等方面进行审查，提出处理意见。</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62"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kern w:val="2"/>
                <w:sz w:val="20"/>
                <w:szCs w:val="20"/>
                <w:highlight w:val="none"/>
                <w:u w:val="none" w:color="auto"/>
                <w:lang w:val="en-US" w:eastAsia="zh-CN" w:bidi="ar-SA"/>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告知</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告知责任：在做出行政处罚决定前，书面告知当事人拟作出处罚决定的事实、理由、依据、处罚内容，以及当事人享有的陈述权、申辩权或听证权。</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77"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kern w:val="2"/>
                <w:sz w:val="20"/>
                <w:szCs w:val="20"/>
                <w:highlight w:val="none"/>
                <w:u w:val="none" w:color="auto"/>
                <w:lang w:val="en-US" w:eastAsia="zh-CN" w:bidi="ar-SA"/>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决定责任：依法需要给予行政处罚的，应制作《行政处罚决定书》，载明违法事实和证据、处罚依据和内容、申请行政复议或提起行政诉讼的途径和期限等内容。</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70" w:hRule="atLeast"/>
          <w:jc w:val="center"/>
        </w:trPr>
        <w:tc>
          <w:tcPr>
            <w:tcW w:w="52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1112"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5765"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送达</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送达责任：行政处罚决定书在7日内送达当事人。</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61"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kern w:val="2"/>
                <w:sz w:val="20"/>
                <w:szCs w:val="20"/>
                <w:highlight w:val="none"/>
                <w:u w:val="none" w:color="auto"/>
                <w:lang w:val="en-US" w:eastAsia="zh-CN" w:bidi="ar-SA"/>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执行</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执行责任：监督当事人在决定的期限内，履行生效的行政处罚决定。当事人在法定期限内不申请行政复议或提起行政诉讼，又不履行的，可依法采取强制执行或者申请人民法院强制执行。</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45"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kern w:val="2"/>
                <w:sz w:val="20"/>
                <w:szCs w:val="20"/>
                <w:highlight w:val="none"/>
                <w:u w:val="none" w:color="auto"/>
                <w:lang w:val="en-US" w:eastAsia="zh-CN" w:bidi="ar-SA"/>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pacing w:val="-6"/>
                <w:kern w:val="2"/>
                <w:sz w:val="20"/>
                <w:szCs w:val="20"/>
                <w:highlight w:val="none"/>
                <w:u w:val="none" w:color="auto"/>
                <w:lang w:val="en-US" w:eastAsia="zh-CN" w:bidi="ar-SA"/>
              </w:rPr>
            </w:pPr>
            <w:r>
              <w:rPr>
                <w:rFonts w:hint="eastAsia" w:ascii="仿宋_GB2312" w:hAnsi="仿宋_GB2312" w:eastAsia="仿宋_GB2312" w:cs="仿宋_GB2312"/>
                <w:color w:val="auto"/>
                <w:spacing w:val="-11"/>
                <w:kern w:val="0"/>
                <w:sz w:val="20"/>
                <w:szCs w:val="20"/>
                <w:highlight w:val="none"/>
                <w:u w:val="none" w:color="auto"/>
              </w:rPr>
              <w:t>其他法律法规规章文件规定应履行的责任。</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94" w:hRule="atLeast"/>
          <w:jc w:val="center"/>
        </w:trPr>
        <w:tc>
          <w:tcPr>
            <w:tcW w:w="52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lang w:val="en-US" w:eastAsia="zh-CN"/>
              </w:rPr>
              <w:t>21</w:t>
            </w:r>
          </w:p>
        </w:tc>
        <w:tc>
          <w:tcPr>
            <w:tcW w:w="1112"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民办非企业单位的活动违反其他法律、法规，有关国家机关认为应当撤销登记的处罚</w:t>
            </w:r>
          </w:p>
        </w:tc>
        <w:tc>
          <w:tcPr>
            <w:tcW w:w="5765"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民办非企业单位登记管理暂行条例》（国务院令第251号）第五条：国务院民政部门和县级以上地方各级人民政府民政部门是本级人民政府的民办非企业单位登记管理机关（以下简称登记管理机关）。国务院有关部门和县级以上地方各级人民政府的有关部门、国务院或者县级以上地方各级人民政府授权的组织，是有关行业、业务范围内民办非企业单位的业务主管单位（以下简称业务主管单位）。第二十六条：民办非企业单位的活动违反其他法律、法规的，由有关国家机关依法处理；有关国家机关认为应当撤销登记的，由登记管理机关撤销登记。</w:t>
            </w:r>
          </w:p>
        </w:tc>
        <w:tc>
          <w:tcPr>
            <w:tcW w:w="440"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行政处罚</w:t>
            </w: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立案</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立案责任：有关部门移送的国家机关认为应当撤销登记的违法案件，予以审查，决定是否立案。</w:t>
            </w:r>
          </w:p>
        </w:tc>
        <w:tc>
          <w:tcPr>
            <w:tcW w:w="253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不履行或不正确履行职责，有下列情形的行政机关及相关工作人员应承担相应的责任：</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1</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对检查中发现或收到举报民办非企业单位在申请登记时弄虚作假，骗取登记的，或者业务主管单位撤销批准的，不履行或不正确履行职责，行政机关及相关工作人员应承担相应的责任。</w:t>
            </w:r>
          </w:p>
        </w:tc>
        <w:tc>
          <w:tcPr>
            <w:tcW w:w="934"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社会组织管理局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520"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kern w:val="2"/>
                <w:sz w:val="20"/>
                <w:szCs w:val="20"/>
                <w:highlight w:val="none"/>
                <w:u w:val="none" w:color="auto"/>
                <w:lang w:val="en-US" w:eastAsia="zh-CN" w:bidi="ar-SA"/>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调查</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调查责任：对立案的案件，案件承办人员及时、全面、客观、公正地调查收集与案件有关的证据，查明事实，必要时可进行现场检查。与当事人有直接利害关系的予以回避。执法人员不得少于两人，调查时应出示执法证件，允许当事人辩解陈述。</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64"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kern w:val="2"/>
                <w:sz w:val="20"/>
                <w:szCs w:val="20"/>
                <w:highlight w:val="none"/>
                <w:u w:val="none" w:color="auto"/>
                <w:lang w:val="en-US" w:eastAsia="zh-CN" w:bidi="ar-SA"/>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审查</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审查责任：对案件违法事实、证据、调查取证程序、法律适用、处罚种类和幅度、当事人陈述和申辩理由等方面进行审查，提出处理意见。</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12" w:hRule="atLeast"/>
          <w:jc w:val="center"/>
        </w:trPr>
        <w:tc>
          <w:tcPr>
            <w:tcW w:w="52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1112"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5765"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告知</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告知责任：在做出行政处罚决定前，书面告知当事人拟作出处罚决定的事实、理由、依据、处罚内容，以及当事人享有的陈述权、申辩权或听证权。</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79"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kern w:val="2"/>
                <w:sz w:val="20"/>
                <w:szCs w:val="20"/>
                <w:highlight w:val="none"/>
                <w:u w:val="none" w:color="auto"/>
                <w:lang w:val="en-US" w:eastAsia="zh-CN" w:bidi="ar-SA"/>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决定责任：依法需要给予行政处罚的，应制作《行政处罚决定书》，载明违法事实和证据、处罚依据和内容、申请行政复议或提起行政诉讼的途径和期限等内容。</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kern w:val="2"/>
                <w:sz w:val="20"/>
                <w:szCs w:val="20"/>
                <w:highlight w:val="none"/>
                <w:u w:val="none" w:color="auto"/>
                <w:lang w:val="en-US" w:eastAsia="zh-CN" w:bidi="ar-SA"/>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送达</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送达责任：行政处罚决定书在7日内送达当事人。</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50"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kern w:val="2"/>
                <w:sz w:val="20"/>
                <w:szCs w:val="20"/>
                <w:highlight w:val="none"/>
                <w:u w:val="none" w:color="auto"/>
                <w:lang w:val="en-US" w:eastAsia="zh-CN" w:bidi="ar-SA"/>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执行</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执行责任：监督当事人在决定的期限内，履行生效的行政处罚决定。当事人在法定期限内不申请行政复议或提起行政诉讼，又不履行的，可依法采取强制执行或者申请人民法院强制执行。</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38" w:hRule="atLeast"/>
          <w:jc w:val="center"/>
        </w:trPr>
        <w:tc>
          <w:tcPr>
            <w:tcW w:w="523" w:type="dxa"/>
            <w:vMerge w:val="continue"/>
            <w:noWrap w:val="0"/>
            <w:vAlign w:val="top"/>
          </w:tcPr>
          <w:p>
            <w:pPr>
              <w:pStyle w:val="2"/>
              <w:keepNext w:val="0"/>
              <w:keepLines w:val="0"/>
              <w:pageBreakBefore w:val="0"/>
              <w:widowControl w:val="0"/>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kern w:val="2"/>
                <w:sz w:val="20"/>
                <w:szCs w:val="20"/>
                <w:highlight w:val="none"/>
                <w:u w:val="none" w:color="auto"/>
                <w:lang w:val="en-US" w:eastAsia="zh-CN" w:bidi="ar-SA"/>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spacing w:val="-11"/>
                <w:kern w:val="0"/>
                <w:sz w:val="20"/>
                <w:szCs w:val="20"/>
                <w:highlight w:val="none"/>
                <w:u w:val="none" w:color="auto"/>
              </w:rPr>
              <w:t>其他法律法规规章文件规定应履行的责任。</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814" w:hRule="atLeast"/>
          <w:jc w:val="center"/>
        </w:trPr>
        <w:tc>
          <w:tcPr>
            <w:tcW w:w="52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lang w:val="en-US" w:eastAsia="zh-CN"/>
              </w:rPr>
              <w:t>22</w:t>
            </w:r>
          </w:p>
        </w:tc>
        <w:tc>
          <w:tcPr>
            <w:tcW w:w="1112"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对违规养老机构的行政处罚</w:t>
            </w:r>
          </w:p>
        </w:tc>
        <w:tc>
          <w:tcPr>
            <w:tcW w:w="5765" w:type="dxa"/>
            <w:vMerge w:val="restart"/>
            <w:noWrap w:val="0"/>
            <w:tcMar>
              <w:top w:w="15" w:type="dxa"/>
              <w:left w:w="15" w:type="dxa"/>
              <w:right w:w="15" w:type="dxa"/>
            </w:tcMar>
            <w:vAlign w:val="center"/>
          </w:tcPr>
          <w:p>
            <w:pPr>
              <w:keepNext w:val="0"/>
              <w:keepLines w:val="0"/>
              <w:pageBreakBefore w:val="0"/>
              <w:widowControl w:val="0"/>
              <w:shd w:val="clear" w:color="050000" w:fill="FFFFFF"/>
              <w:kinsoku/>
              <w:wordWrap/>
              <w:overflowPunct w:val="0"/>
              <w:topLinePunct w:val="0"/>
              <w:autoSpaceDE/>
              <w:autoSpaceDN/>
              <w:bidi w:val="0"/>
              <w:adjustRightInd/>
              <w:snapToGrid/>
              <w:spacing w:afterAutospacing="0" w:line="260" w:lineRule="exact"/>
              <w:ind w:firstLine="0" w:firstLineChars="0"/>
              <w:jc w:val="both"/>
              <w:textAlignment w:val="auto"/>
              <w:rPr>
                <w:rFonts w:hint="eastAsia" w:ascii="仿宋_GB2312" w:hAnsi="仿宋_GB2312" w:eastAsia="仿宋_GB2312" w:cs="仿宋_GB2312"/>
                <w:color w:val="auto"/>
                <w:sz w:val="20"/>
                <w:szCs w:val="20"/>
                <w:highlight w:val="none"/>
                <w:u w:val="none" w:color="auto"/>
                <w:lang w:val="en-US" w:eastAsia="zh-CN"/>
              </w:rPr>
            </w:pPr>
            <w:r>
              <w:rPr>
                <w:rFonts w:hint="eastAsia" w:ascii="仿宋_GB2312" w:hAnsi="仿宋_GB2312" w:eastAsia="仿宋_GB2312" w:cs="仿宋_GB2312"/>
                <w:b w:val="0"/>
                <w:bCs w:val="0"/>
                <w:color w:val="auto"/>
                <w:spacing w:val="-6"/>
                <w:kern w:val="0"/>
                <w:sz w:val="20"/>
                <w:szCs w:val="20"/>
                <w:highlight w:val="none"/>
                <w:u w:val="none" w:color="auto"/>
              </w:rPr>
              <w:t>《中华人民共和国老年人权益保障法》第八章第七十九条</w:t>
            </w:r>
            <w:r>
              <w:rPr>
                <w:rFonts w:hint="eastAsia" w:ascii="仿宋_GB2312" w:hAnsi="仿宋_GB2312" w:eastAsia="仿宋_GB2312" w:cs="仿宋_GB2312"/>
                <w:b w:val="0"/>
                <w:bCs w:val="0"/>
                <w:color w:val="auto"/>
                <w:spacing w:val="-6"/>
                <w:kern w:val="0"/>
                <w:sz w:val="20"/>
                <w:szCs w:val="20"/>
                <w:highlight w:val="none"/>
                <w:u w:val="none" w:color="auto"/>
                <w:lang w:eastAsia="zh-CN"/>
              </w:rPr>
              <w:t>：</w:t>
            </w:r>
            <w:r>
              <w:rPr>
                <w:rFonts w:hint="eastAsia" w:ascii="仿宋_GB2312" w:hAnsi="仿宋_GB2312" w:eastAsia="仿宋_GB2312" w:cs="仿宋_GB2312"/>
                <w:color w:val="auto"/>
                <w:spacing w:val="-6"/>
                <w:sz w:val="20"/>
                <w:szCs w:val="20"/>
                <w:highlight w:val="none"/>
                <w:u w:val="none" w:color="auto"/>
                <w:shd w:val="clear" w:color="auto" w:fill="FFFFFF"/>
              </w:rPr>
              <w:t>养老机构及其工作人员侵害老年人人身和财产权益，或者未按照约定提供服务的，依法承担民事责任；有关主管部门依法给予行政处罚；构成犯罪的，依法追究刑事责任</w:t>
            </w:r>
            <w:r>
              <w:rPr>
                <w:rFonts w:hint="eastAsia" w:ascii="仿宋_GB2312" w:hAnsi="仿宋_GB2312" w:eastAsia="仿宋_GB2312" w:cs="仿宋_GB2312"/>
                <w:color w:val="auto"/>
                <w:spacing w:val="-6"/>
                <w:sz w:val="20"/>
                <w:szCs w:val="20"/>
                <w:highlight w:val="none"/>
                <w:u w:val="none" w:color="auto"/>
                <w:shd w:val="clear" w:color="auto" w:fill="FFFFFF"/>
                <w:lang w:eastAsia="zh-CN"/>
              </w:rPr>
              <w:t>。</w:t>
            </w:r>
            <w:r>
              <w:rPr>
                <w:rFonts w:hint="eastAsia" w:ascii="仿宋_GB2312" w:hAnsi="仿宋_GB2312" w:eastAsia="仿宋_GB2312" w:cs="仿宋_GB2312"/>
                <w:b w:val="0"/>
                <w:bCs w:val="0"/>
                <w:color w:val="auto"/>
                <w:spacing w:val="-6"/>
                <w:kern w:val="0"/>
                <w:sz w:val="20"/>
                <w:szCs w:val="20"/>
                <w:highlight w:val="none"/>
                <w:u w:val="none" w:color="auto"/>
              </w:rPr>
              <w:t>《养老机构管理办法》第四十六条</w:t>
            </w:r>
            <w:r>
              <w:rPr>
                <w:rFonts w:hint="eastAsia" w:ascii="仿宋_GB2312" w:hAnsi="仿宋_GB2312" w:eastAsia="仿宋_GB2312" w:cs="仿宋_GB2312"/>
                <w:b w:val="0"/>
                <w:bCs w:val="0"/>
                <w:color w:val="auto"/>
                <w:spacing w:val="-6"/>
                <w:kern w:val="0"/>
                <w:sz w:val="20"/>
                <w:szCs w:val="20"/>
                <w:highlight w:val="none"/>
                <w:u w:val="none" w:color="auto"/>
                <w:lang w:eastAsia="zh-CN"/>
              </w:rPr>
              <w:t>：</w:t>
            </w:r>
            <w:r>
              <w:rPr>
                <w:rFonts w:hint="eastAsia" w:ascii="仿宋_GB2312" w:hAnsi="仿宋_GB2312" w:eastAsia="仿宋_GB2312" w:cs="仿宋_GB2312"/>
                <w:color w:val="auto"/>
                <w:spacing w:val="-6"/>
                <w:kern w:val="0"/>
                <w:sz w:val="20"/>
                <w:szCs w:val="20"/>
                <w:highlight w:val="none"/>
                <w:u w:val="none" w:color="auto"/>
              </w:rPr>
              <w:t>养老机构有下列行为之一的，由民政部门责令改正，给予警告；情节严重的，处以3万元以下的罚款：（一）未建立入院评估制度或者未按照规定开展评估活动的；（二）未与老年人或者其代理人签订服务协议，或者未按照协议约定提供服务的；（三）未按照有关强制性国家标准提供服务的；（四）工作人员的资格不符合规定的；（五）利用养老机构的房屋、场地、设施开展与养老服务宗旨无关的活动的；（六）未依照本办法规定预防和处置突发事件的；（七）歧视、侮辱、虐待老年人以及其他侵害老年人人身和财产权益行为的；（八）向负责监督检查的民政部门隐瞒有关情况、提供虚假材料或者拒绝提供反映其活动情况真实材料的；（九）法律、法规、规章规定的其他违法行为。养老机构及其工作人员违反本办法有关规定，构成违反治安管理行为的，依法给予治安管理处罚；构成犯罪的，依法追究刑事责任。</w:t>
            </w:r>
            <w:r>
              <w:rPr>
                <w:rFonts w:hint="eastAsia" w:ascii="仿宋_GB2312" w:hAnsi="仿宋_GB2312" w:eastAsia="仿宋_GB2312" w:cs="仿宋_GB2312"/>
                <w:b w:val="0"/>
                <w:bCs w:val="0"/>
                <w:color w:val="auto"/>
                <w:spacing w:val="-6"/>
                <w:kern w:val="0"/>
                <w:sz w:val="20"/>
                <w:szCs w:val="20"/>
                <w:highlight w:val="none"/>
                <w:u w:val="none" w:color="auto"/>
              </w:rPr>
              <w:t>《中华人民共和国行政处罚法》</w:t>
            </w:r>
            <w:r>
              <w:rPr>
                <w:rFonts w:hint="eastAsia" w:ascii="仿宋_GB2312" w:hAnsi="仿宋_GB2312" w:eastAsia="仿宋_GB2312" w:cs="仿宋_GB2312"/>
                <w:color w:val="auto"/>
                <w:spacing w:val="-6"/>
                <w:kern w:val="0"/>
                <w:sz w:val="20"/>
                <w:szCs w:val="20"/>
                <w:highlight w:val="none"/>
                <w:u w:val="none" w:color="auto"/>
              </w:rPr>
              <w:t>第四十四条</w:t>
            </w:r>
            <w:r>
              <w:rPr>
                <w:rFonts w:hint="eastAsia" w:ascii="仿宋_GB2312" w:hAnsi="仿宋_GB2312" w:eastAsia="仿宋_GB2312" w:cs="仿宋_GB2312"/>
                <w:color w:val="auto"/>
                <w:spacing w:val="-6"/>
                <w:kern w:val="0"/>
                <w:sz w:val="20"/>
                <w:szCs w:val="20"/>
                <w:highlight w:val="none"/>
                <w:u w:val="none" w:color="auto"/>
                <w:lang w:eastAsia="zh-CN"/>
              </w:rPr>
              <w:t>：</w:t>
            </w:r>
            <w:r>
              <w:rPr>
                <w:rFonts w:hint="eastAsia" w:ascii="仿宋_GB2312" w:hAnsi="仿宋_GB2312" w:eastAsia="仿宋_GB2312" w:cs="仿宋_GB2312"/>
                <w:color w:val="auto"/>
                <w:spacing w:val="-6"/>
                <w:kern w:val="0"/>
                <w:sz w:val="20"/>
                <w:szCs w:val="20"/>
                <w:highlight w:val="none"/>
                <w:u w:val="none" w:color="auto"/>
              </w:rPr>
              <w:t>行政机关在作出行政处罚决定之前，应当告知当事人拟作出的行政处罚内容及事实、理由、依据，并告知当事人依法享有的陈述、申辩、要求听证等权利</w:t>
            </w:r>
            <w:r>
              <w:rPr>
                <w:rFonts w:hint="eastAsia" w:ascii="仿宋_GB2312" w:hAnsi="仿宋_GB2312" w:eastAsia="仿宋_GB2312" w:cs="仿宋_GB2312"/>
                <w:color w:val="auto"/>
                <w:spacing w:val="-6"/>
                <w:kern w:val="0"/>
                <w:sz w:val="20"/>
                <w:szCs w:val="20"/>
                <w:highlight w:val="none"/>
                <w:u w:val="none" w:color="auto"/>
                <w:lang w:eastAsia="zh-CN"/>
              </w:rPr>
              <w:t>。第四十五条：当事人有权进行陈述和申辩。行政机关必须充分听取当事人的意见，对当事人提出的事实、理由和证据，应当进行复核；当事人提出的事实、理由或者证据成立的，行政机关应当采纳。行政机关不得因当事人陈述、申辩而给予更重的处罚。 第五十一条 违法事实确凿并有法定依据，对公民处以二百元以下、对法人或者其他组织处以三千元以下罚款或者警告的行政处罚的，可以当场作出行政处罚决定。法律另有规定的，从其规定。第五十二条 执法人员当场作出行政处罚决定的，应当向当事人出示执法证件，填写预定格式、编有号码的行政处罚决定书，并当场交付当事人。当事人拒绝签收的，应当在行政处罚决定书上注明。前款规定的行政处罚决定书应当载明当事人的违法行为，行政处罚的种类和依据、罚款数额、时间、地点，申请行政复议、提起行政诉讼的途径和期限以及行政机关名称，并由执法人员签名或者盖章。执法人员当场作出的行政处罚决定，应当报所属行政机关备案。</w:t>
            </w:r>
          </w:p>
        </w:tc>
        <w:tc>
          <w:tcPr>
            <w:tcW w:w="440"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行政处罚</w:t>
            </w: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eastAsia="zh-CN"/>
              </w:rPr>
            </w:pPr>
            <w:r>
              <w:rPr>
                <w:rFonts w:hint="eastAsia" w:ascii="仿宋_GB2312" w:hAnsi="仿宋_GB2312" w:eastAsia="仿宋_GB2312" w:cs="仿宋_GB2312"/>
                <w:color w:val="auto"/>
                <w:kern w:val="0"/>
                <w:sz w:val="20"/>
                <w:szCs w:val="20"/>
                <w:highlight w:val="none"/>
                <w:u w:val="none" w:color="auto"/>
                <w:lang w:val="en-US" w:eastAsia="zh-CN"/>
              </w:rPr>
              <w:t>告知</w:t>
            </w:r>
          </w:p>
        </w:tc>
        <w:tc>
          <w:tcPr>
            <w:tcW w:w="3644" w:type="dxa"/>
            <w:noWrap w:val="0"/>
            <w:tcMar>
              <w:top w:w="15" w:type="dxa"/>
              <w:left w:w="15" w:type="dxa"/>
              <w:right w:w="15" w:type="dxa"/>
            </w:tcMar>
            <w:vAlign w:val="center"/>
          </w:tcPr>
          <w:p>
            <w:pPr>
              <w:keepNext w:val="0"/>
              <w:keepLines w:val="0"/>
              <w:pageBreakBefore w:val="0"/>
              <w:widowControl w:val="0"/>
              <w:shd w:val="clear" w:color="050000" w:fill="FFFFFF"/>
              <w:kinsoku/>
              <w:wordWrap/>
              <w:overflowPunct w:val="0"/>
              <w:topLinePunct w:val="0"/>
              <w:autoSpaceDE/>
              <w:autoSpaceDN/>
              <w:bidi w:val="0"/>
              <w:adjustRightInd/>
              <w:snapToGrid/>
              <w:spacing w:afterAutospacing="0" w:line="240" w:lineRule="exact"/>
              <w:ind w:firstLine="0" w:firstLineChars="0"/>
              <w:jc w:val="left"/>
              <w:textAlignment w:val="auto"/>
              <w:rPr>
                <w:rFonts w:hint="eastAsia" w:ascii="仿宋_GB2312" w:hAnsi="仿宋_GB2312" w:eastAsia="仿宋_GB2312" w:cs="仿宋_GB2312"/>
                <w:color w:val="auto"/>
                <w:kern w:val="0"/>
                <w:sz w:val="20"/>
                <w:szCs w:val="20"/>
                <w:highlight w:val="none"/>
                <w:u w:val="none" w:color="auto"/>
                <w:lang w:eastAsia="zh-CN"/>
              </w:rPr>
            </w:pPr>
            <w:r>
              <w:rPr>
                <w:rFonts w:hint="eastAsia" w:ascii="仿宋_GB2312" w:hAnsi="仿宋_GB2312" w:eastAsia="仿宋_GB2312" w:cs="仿宋_GB2312"/>
                <w:color w:val="auto"/>
                <w:kern w:val="0"/>
                <w:sz w:val="20"/>
                <w:szCs w:val="20"/>
                <w:highlight w:val="none"/>
                <w:u w:val="none" w:color="auto"/>
              </w:rPr>
              <w:t>在</w:t>
            </w:r>
            <w:r>
              <w:rPr>
                <w:rFonts w:hint="eastAsia" w:ascii="仿宋_GB2312" w:hAnsi="仿宋_GB2312" w:eastAsia="仿宋_GB2312" w:cs="仿宋_GB2312"/>
                <w:color w:val="auto"/>
                <w:kern w:val="0"/>
                <w:sz w:val="20"/>
                <w:szCs w:val="20"/>
                <w:highlight w:val="none"/>
                <w:u w:val="none" w:color="auto"/>
                <w:lang w:val="en-US" w:eastAsia="zh-CN"/>
              </w:rPr>
              <w:t>对违规养老机构</w:t>
            </w:r>
            <w:r>
              <w:rPr>
                <w:rFonts w:hint="eastAsia" w:ascii="仿宋_GB2312" w:hAnsi="仿宋_GB2312" w:eastAsia="仿宋_GB2312" w:cs="仿宋_GB2312"/>
                <w:color w:val="auto"/>
                <w:kern w:val="0"/>
                <w:sz w:val="20"/>
                <w:szCs w:val="20"/>
                <w:highlight w:val="none"/>
                <w:u w:val="none" w:color="auto"/>
              </w:rPr>
              <w:t>作出行政处罚决定之前，应当告知当事人拟作出的行政处罚内容及事实、理由、依据，并告知当事人依法享有的陈述、申辩、要求听证等权利</w:t>
            </w:r>
            <w:r>
              <w:rPr>
                <w:rFonts w:hint="eastAsia" w:ascii="仿宋_GB2312" w:hAnsi="仿宋_GB2312" w:eastAsia="仿宋_GB2312" w:cs="仿宋_GB2312"/>
                <w:color w:val="auto"/>
                <w:kern w:val="0"/>
                <w:sz w:val="20"/>
                <w:szCs w:val="20"/>
                <w:highlight w:val="none"/>
                <w:u w:val="none" w:color="auto"/>
                <w:lang w:eastAsia="zh-CN"/>
              </w:rPr>
              <w:t>。</w:t>
            </w:r>
          </w:p>
        </w:tc>
        <w:tc>
          <w:tcPr>
            <w:tcW w:w="253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pacing w:line="240" w:lineRule="exact"/>
              <w:ind w:firstLine="0" w:firstLineChars="0"/>
              <w:jc w:val="both"/>
              <w:rPr>
                <w:rFonts w:hint="eastAsia" w:ascii="仿宋_GB2312" w:hAnsi="仿宋_GB2312" w:eastAsia="仿宋_GB2312" w:cs="仿宋_GB2312"/>
                <w:b w:val="0"/>
                <w:bCs w:val="0"/>
                <w:color w:val="auto"/>
                <w:kern w:val="0"/>
                <w:sz w:val="20"/>
                <w:szCs w:val="20"/>
                <w:highlight w:val="none"/>
                <w:u w:val="none" w:color="auto"/>
              </w:rPr>
            </w:pPr>
            <w:r>
              <w:rPr>
                <w:rFonts w:hint="eastAsia" w:ascii="仿宋_GB2312" w:hAnsi="仿宋_GB2312" w:eastAsia="仿宋_GB2312" w:cs="仿宋_GB2312"/>
                <w:b w:val="0"/>
                <w:bCs w:val="0"/>
                <w:color w:val="auto"/>
                <w:kern w:val="0"/>
                <w:sz w:val="20"/>
                <w:szCs w:val="20"/>
                <w:highlight w:val="none"/>
                <w:u w:val="none" w:color="auto"/>
                <w:lang w:val="en-US" w:eastAsia="zh-CN"/>
              </w:rPr>
              <w:t>根据《养老机构管理办法》（中华人民共和国民政部令第66号）第四十七条：民政部门及其工作人员在监督管理工作中滥 用职权、玩忽职守、徇私舞弊的，对直接负责的主管人员和其他 责任人员依法依规给予处分；构成犯罪的，依法追究刑事责任。</w:t>
            </w:r>
          </w:p>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934"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养老服务科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693"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shd w:val="clear" w:color="050000" w:fill="FFFFFF"/>
              <w:kinsoku/>
              <w:wordWrap/>
              <w:overflowPunct w:val="0"/>
              <w:topLinePunct w:val="0"/>
              <w:autoSpaceDE/>
              <w:autoSpaceDN/>
              <w:bidi w:val="0"/>
              <w:adjustRightInd/>
              <w:snapToGrid/>
              <w:spacing w:afterAutospacing="0" w:line="240" w:lineRule="exact"/>
              <w:ind w:left="0" w:firstLine="0" w:firstLineChars="0"/>
              <w:jc w:val="left"/>
              <w:textAlignment w:val="auto"/>
              <w:rPr>
                <w:rFonts w:hint="eastAsia" w:ascii="仿宋_GB2312" w:hAnsi="仿宋_GB2312" w:eastAsia="仿宋_GB2312" w:cs="仿宋_GB2312"/>
                <w:color w:val="auto"/>
                <w:sz w:val="20"/>
                <w:szCs w:val="20"/>
                <w:highlight w:val="none"/>
                <w:u w:val="none" w:color="auto"/>
                <w:lang w:val="en-US" w:eastAsia="zh-CN"/>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决定</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决定责任：依法需要给予行政处罚的，应制作《行政处罚决定书》，载明违法事实和证据、处罚依据和内容、申请行政复议或提起行政诉讼的途径和期限等内容。</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sz w:val="20"/>
                <w:szCs w:val="20"/>
                <w:highlight w:val="none"/>
                <w:u w:val="none" w:color="auto"/>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814"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送达</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lang w:eastAsia="zh-CN"/>
              </w:rPr>
            </w:pPr>
            <w:r>
              <w:rPr>
                <w:rFonts w:hint="eastAsia" w:ascii="仿宋_GB2312" w:hAnsi="仿宋_GB2312" w:eastAsia="仿宋_GB2312" w:cs="仿宋_GB2312"/>
                <w:color w:val="auto"/>
                <w:kern w:val="0"/>
                <w:sz w:val="20"/>
                <w:szCs w:val="20"/>
                <w:highlight w:val="none"/>
                <w:u w:val="none" w:color="auto"/>
              </w:rPr>
              <w:t>送达责任：行政处罚决定书在</w:t>
            </w:r>
            <w:r>
              <w:rPr>
                <w:rFonts w:hint="eastAsia" w:ascii="仿宋_GB2312" w:hAnsi="仿宋_GB2312" w:eastAsia="仿宋_GB2312" w:cs="仿宋_GB2312"/>
                <w:color w:val="auto"/>
                <w:kern w:val="0"/>
                <w:sz w:val="20"/>
                <w:szCs w:val="20"/>
                <w:highlight w:val="none"/>
                <w:u w:val="none" w:color="auto"/>
                <w:lang w:val="en-US" w:eastAsia="zh-CN"/>
              </w:rPr>
              <w:t>规定时间</w:t>
            </w:r>
            <w:r>
              <w:rPr>
                <w:rFonts w:hint="eastAsia" w:ascii="仿宋_GB2312" w:hAnsi="仿宋_GB2312" w:eastAsia="仿宋_GB2312" w:cs="仿宋_GB2312"/>
                <w:color w:val="auto"/>
                <w:kern w:val="0"/>
                <w:sz w:val="20"/>
                <w:szCs w:val="20"/>
                <w:highlight w:val="none"/>
                <w:u w:val="none" w:color="auto"/>
              </w:rPr>
              <w:t>内送达当事人。</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sz w:val="20"/>
                <w:szCs w:val="20"/>
                <w:highlight w:val="none"/>
                <w:u w:val="none" w:color="auto"/>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907"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执行</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执行责任：监督当事人在决定的期限内，履行生效的行政处罚决定。当事人在法定期限内不申请行政复议或提起行政诉讼，又不履行的，可依法采取强制执行或者申请人民法院强制执行。</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sz w:val="20"/>
                <w:szCs w:val="20"/>
                <w:highlight w:val="none"/>
                <w:u w:val="none" w:color="auto"/>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474" w:hRule="atLeast"/>
          <w:jc w:val="center"/>
        </w:trPr>
        <w:tc>
          <w:tcPr>
            <w:tcW w:w="52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lang w:val="en-US" w:eastAsia="zh-CN"/>
              </w:rPr>
              <w:t>23</w:t>
            </w:r>
          </w:p>
        </w:tc>
        <w:tc>
          <w:tcPr>
            <w:tcW w:w="1112"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收缴民办非企业单位登记证书、印章</w:t>
            </w:r>
          </w:p>
        </w:tc>
        <w:tc>
          <w:tcPr>
            <w:tcW w:w="5765"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《民办非企业单位登记管理暂行条例》</w:t>
            </w:r>
            <w:r>
              <w:rPr>
                <w:rFonts w:hint="eastAsia" w:ascii="仿宋_GB2312" w:hAnsi="仿宋_GB2312" w:eastAsia="仿宋_GB2312" w:cs="仿宋_GB2312"/>
                <w:color w:val="auto"/>
                <w:kern w:val="0"/>
                <w:sz w:val="20"/>
                <w:szCs w:val="20"/>
                <w:highlight w:val="none"/>
                <w:u w:val="none" w:color="auto"/>
                <w:lang w:val="en-US" w:eastAsia="zh-CN"/>
              </w:rPr>
              <w:t>（</w:t>
            </w:r>
            <w:r>
              <w:rPr>
                <w:rFonts w:hint="eastAsia" w:ascii="仿宋_GB2312" w:hAnsi="仿宋_GB2312" w:eastAsia="仿宋_GB2312" w:cs="仿宋_GB2312"/>
                <w:color w:val="auto"/>
                <w:kern w:val="0"/>
                <w:sz w:val="20"/>
                <w:szCs w:val="20"/>
                <w:highlight w:val="none"/>
                <w:u w:val="none" w:color="auto"/>
              </w:rPr>
              <w:t>国务院令第251号）第二十八条第二款：民办非企业单位被撤销登记的，由登记管理机关收缴登记证书和印章。</w:t>
            </w:r>
          </w:p>
        </w:tc>
        <w:tc>
          <w:tcPr>
            <w:tcW w:w="440"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行政强制</w:t>
            </w: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催告</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催</w:t>
            </w:r>
            <w:r>
              <w:rPr>
                <w:rFonts w:hint="eastAsia" w:ascii="仿宋_GB2312" w:hAnsi="仿宋_GB2312" w:eastAsia="仿宋_GB2312" w:cs="仿宋_GB2312"/>
                <w:color w:val="auto"/>
                <w:spacing w:val="-6"/>
                <w:kern w:val="0"/>
                <w:sz w:val="20"/>
                <w:szCs w:val="20"/>
                <w:highlight w:val="none"/>
                <w:u w:val="none" w:color="auto"/>
              </w:rPr>
              <w:t>告责任：对被撤销登记的民办非企业单位，以下达催告书等方式履行告知义务，催告相对人履行义务的期限、方式，告知当事人依法享有的陈述权和申辩权。</w:t>
            </w:r>
          </w:p>
        </w:tc>
        <w:tc>
          <w:tcPr>
            <w:tcW w:w="253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不履行或不正确履行职责，有下列情形的行政机关及相关工作人员应承担相应的责任：</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1</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登记管理机关、业务主管单位的工作人员滥用职权、徇私舞弊、玩忽职守构成犯罪的，依法追究刑事责任；尚不构成犯罪的，依法给予行政处分。</w:t>
            </w:r>
          </w:p>
        </w:tc>
        <w:tc>
          <w:tcPr>
            <w:tcW w:w="934"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社会组织管理局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474"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决定责任：充分听取当事人的陈述，对当事人提出的事实、理由和证据，应当进行记录、复核。以事实为依据，经批准作出收缴登记证书和印章的决定。送达行政强制执行决定书。</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531" w:hRule="atLeast"/>
          <w:jc w:val="center"/>
        </w:trPr>
        <w:tc>
          <w:tcPr>
            <w:tcW w:w="52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lang w:val="en-US" w:eastAsia="zh-CN"/>
              </w:rPr>
              <w:t>24</w:t>
            </w:r>
          </w:p>
        </w:tc>
        <w:tc>
          <w:tcPr>
            <w:tcW w:w="1112"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封存民办非企业单位登记证书、印章、财务凭证</w:t>
            </w:r>
          </w:p>
        </w:tc>
        <w:tc>
          <w:tcPr>
            <w:tcW w:w="5765"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《民办非企业单位登记管理暂行条例》（国务院令第251号）第二十八条第一款：民办非企业单位被限期停止活动的，由登记管理机关封存其登记证书、印章和财务凭证。</w:t>
            </w:r>
          </w:p>
        </w:tc>
        <w:tc>
          <w:tcPr>
            <w:tcW w:w="440"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行政强制</w:t>
            </w: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催告</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催告责任：对被限期停止活动的民办非企业单位，以下达催告书等方式履行告知义务，催告相对人履行义务的期限、方式，告知当事人依法享有的陈述权和申辩权。</w:t>
            </w:r>
          </w:p>
        </w:tc>
        <w:tc>
          <w:tcPr>
            <w:tcW w:w="253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不履行或不正确履行职责，有下列情形的行政机关及相关工作人员应承担相应的责任：</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1</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登记管理机关、业务主管单位的工作人员滥用职权、徇私舞弊、玩忽职守构成犯罪的，依法追究刑事责任；尚不构成犯罪的，依法给予行政处分。</w:t>
            </w:r>
          </w:p>
        </w:tc>
        <w:tc>
          <w:tcPr>
            <w:tcW w:w="934"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社会组织管理局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531"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决定责任：充分听取当事人的陈述，对当事人提出的事实、理由和证据，应当进行记录、复核。以事实为依据，经批准作出封存登记证书、印章和财务凭证的决定。送达行政强制执行决定书。</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47" w:hRule="atLeast"/>
          <w:jc w:val="center"/>
        </w:trPr>
        <w:tc>
          <w:tcPr>
            <w:tcW w:w="52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1112"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5765"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执行</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执行责任：由民办非企业单位登记管理机构组织实施民办非企业单位违法行为行政强制。</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92"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事后监管</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事后监管责任：通过监督检查防止民办非企业单位违法行为发生。</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87"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其他法律法规规章文件规定的应履行的责任。</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97" w:hRule="atLeast"/>
          <w:jc w:val="center"/>
        </w:trPr>
        <w:tc>
          <w:tcPr>
            <w:tcW w:w="52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lang w:val="en-US" w:eastAsia="zh-CN"/>
              </w:rPr>
              <w:t>25</w:t>
            </w:r>
          </w:p>
        </w:tc>
        <w:tc>
          <w:tcPr>
            <w:tcW w:w="1112"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收缴社会团体法人登记证书和印章</w:t>
            </w:r>
          </w:p>
        </w:tc>
        <w:tc>
          <w:tcPr>
            <w:tcW w:w="5765"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《社会团体登记管理条例》（国务院令第250号）第三十三条：社会团体被撤销登记的，由登记管理机关收缴《社会团体法人登记证书》和印章。</w:t>
            </w:r>
          </w:p>
        </w:tc>
        <w:tc>
          <w:tcPr>
            <w:tcW w:w="440"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行政强制</w:t>
            </w: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催告</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3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催告责任：对被撤销登记的社会团体，以下达催告书等方式履行告知义务，催告相对人履行义务的期限、方式，告知当事人依法享有的陈述权和申辩权。</w:t>
            </w:r>
          </w:p>
        </w:tc>
        <w:tc>
          <w:tcPr>
            <w:tcW w:w="253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不履行或不正确履行职责，有下列情形的行政机关及相关工作人员应承担相应的责任：</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1</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登记管理机关、业务主管单位的工作人员滥用职权、徇私舞弊、玩忽职守构成犯罪的，依法追究刑事责任；尚不构成犯罪的，依法给予行政处分。</w:t>
            </w:r>
          </w:p>
        </w:tc>
        <w:tc>
          <w:tcPr>
            <w:tcW w:w="934"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社会组织管理局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67"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3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spacing w:val="0"/>
                <w:w w:val="100"/>
                <w:kern w:val="0"/>
                <w:sz w:val="20"/>
                <w:szCs w:val="20"/>
                <w:highlight w:val="none"/>
                <w:u w:val="none" w:color="auto"/>
              </w:rPr>
              <w:t>决定责任：充分听取当事人的陈述，对当事人提出的事实、理由和证据，应当进行记录、复核。以事实为依据，经批准作出收缴《社会团体法人登记证书》和印章的决定。送达行政强制执行决定书。</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24"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执行</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3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执行责任：由社会团体登记管理机关组织实施社会团体违法行为行政强制。</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24" w:hRule="atLeast"/>
          <w:jc w:val="center"/>
        </w:trPr>
        <w:tc>
          <w:tcPr>
            <w:tcW w:w="52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1112"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5765"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事后监管</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3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事后监管责任：通过监督检查防止社会团体违法行为发生。</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07"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3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其他法律法规规章文件规定的应履行的责任。</w:t>
            </w:r>
          </w:p>
        </w:tc>
        <w:tc>
          <w:tcPr>
            <w:tcW w:w="2533" w:type="dxa"/>
            <w:vMerge w:val="continue"/>
            <w:tcBorders>
              <w:bottom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tcBorders>
              <w:bottom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95" w:hRule="atLeast"/>
          <w:jc w:val="center"/>
        </w:trPr>
        <w:tc>
          <w:tcPr>
            <w:tcW w:w="52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lang w:val="en-US" w:eastAsia="zh-CN"/>
              </w:rPr>
              <w:t>26</w:t>
            </w:r>
          </w:p>
        </w:tc>
        <w:tc>
          <w:tcPr>
            <w:tcW w:w="1112"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封存社会团体法人登记证书、印章、财务凭证</w:t>
            </w:r>
          </w:p>
        </w:tc>
        <w:tc>
          <w:tcPr>
            <w:tcW w:w="5765"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《社会团体登记管理条例》（国务院令第250号）第三十三条：社会团体被责令限期停止活动的，由登记管理机关封存《社会团体法人登记证书》、印章和财务凭证。</w:t>
            </w:r>
          </w:p>
        </w:tc>
        <w:tc>
          <w:tcPr>
            <w:tcW w:w="440"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行政强制</w:t>
            </w: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催告</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3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催告责任：对被责令限期停止活动的社会团体，以下达催告书等方式履行告知义务，催告相对人履行义务的期限、方式，告知当事人依法享有的陈述权和申辩权。</w:t>
            </w:r>
          </w:p>
        </w:tc>
        <w:tc>
          <w:tcPr>
            <w:tcW w:w="2533" w:type="dxa"/>
            <w:vMerge w:val="restart"/>
            <w:tcBorders>
              <w:top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不履行或不正确履行职责，有下列情形的行政机关及相关工作人员应承担相应的责任：</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1</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登记管理机关、业务主管单位的工作人员滥用职权、徇私舞弊、玩忽职守构成犯罪的，依法追究刑事责任；尚不构成犯罪的，依法给予行政处分。</w:t>
            </w:r>
          </w:p>
        </w:tc>
        <w:tc>
          <w:tcPr>
            <w:tcW w:w="934" w:type="dxa"/>
            <w:vMerge w:val="restart"/>
            <w:tcBorders>
              <w:top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社会组织管理局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452"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3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决定责任：充分听取当事人的陈述，对当事人提出的事实、理由和证据，应当进行记录、复核。以事实为依据，经批准作出封存《社会团体法人登记证书》、印章和财务凭证的决定。送达行政强制执行决定书。</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59"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执行</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3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执行责任：由社会团体登记管理机关组织实施社会团体违法行为行政强制。</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10"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事后监管</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3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事后监管责任：通过监督检查防止社会团体违法行为发生。</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39"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3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其他法律法规规章文件规定的应履行的责任。</w:t>
            </w:r>
          </w:p>
        </w:tc>
        <w:tc>
          <w:tcPr>
            <w:tcW w:w="2533" w:type="dxa"/>
            <w:vMerge w:val="continue"/>
            <w:tcBorders>
              <w:bottom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tcBorders>
              <w:bottom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61" w:hRule="atLeast"/>
          <w:jc w:val="center"/>
        </w:trPr>
        <w:tc>
          <w:tcPr>
            <w:tcW w:w="52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lang w:val="en-US" w:eastAsia="zh-CN"/>
              </w:rPr>
            </w:pPr>
            <w:r>
              <w:rPr>
                <w:rFonts w:hint="eastAsia" w:ascii="仿宋_GB2312" w:hAnsi="仿宋_GB2312" w:eastAsia="仿宋_GB2312" w:cs="仿宋_GB2312"/>
                <w:color w:val="auto"/>
                <w:sz w:val="20"/>
                <w:szCs w:val="20"/>
                <w:highlight w:val="none"/>
                <w:u w:val="none" w:color="auto"/>
                <w:lang w:val="en-US" w:eastAsia="zh-CN"/>
              </w:rPr>
              <w:t>27</w:t>
            </w:r>
          </w:p>
        </w:tc>
        <w:tc>
          <w:tcPr>
            <w:tcW w:w="1112"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城市生活无着的流浪乞讨人员救助</w:t>
            </w:r>
          </w:p>
        </w:tc>
        <w:tc>
          <w:tcPr>
            <w:tcW w:w="5765"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《城市生活无着的流浪乞讨人员救助管理办法》</w:t>
            </w:r>
            <w:r>
              <w:rPr>
                <w:rFonts w:hint="eastAsia" w:ascii="仿宋_GB2312" w:hAnsi="仿宋_GB2312" w:eastAsia="仿宋_GB2312" w:cs="仿宋_GB2312"/>
                <w:color w:val="auto"/>
                <w:kern w:val="0"/>
                <w:sz w:val="20"/>
                <w:szCs w:val="20"/>
                <w:highlight w:val="none"/>
                <w:u w:val="none" w:color="auto"/>
                <w:lang w:val="en-US" w:eastAsia="zh-CN"/>
              </w:rPr>
              <w:t>（</w:t>
            </w:r>
            <w:r>
              <w:rPr>
                <w:rFonts w:hint="eastAsia" w:ascii="仿宋_GB2312" w:hAnsi="仿宋_GB2312" w:eastAsia="仿宋_GB2312" w:cs="仿宋_GB2312"/>
                <w:color w:val="auto"/>
                <w:kern w:val="0"/>
                <w:sz w:val="20"/>
                <w:szCs w:val="20"/>
                <w:highlight w:val="none"/>
                <w:u w:val="none" w:color="auto"/>
              </w:rPr>
              <w:t>国务院令第381号</w:t>
            </w:r>
            <w:r>
              <w:rPr>
                <w:rFonts w:hint="eastAsia" w:ascii="仿宋_GB2312" w:hAnsi="仿宋_GB2312" w:eastAsia="仿宋_GB2312" w:cs="仿宋_GB2312"/>
                <w:color w:val="auto"/>
                <w:kern w:val="0"/>
                <w:sz w:val="20"/>
                <w:szCs w:val="20"/>
                <w:highlight w:val="none"/>
                <w:u w:val="none" w:color="auto"/>
                <w:lang w:val="en-US" w:eastAsia="zh-CN"/>
              </w:rPr>
              <w:t>）</w:t>
            </w:r>
            <w:r>
              <w:rPr>
                <w:rFonts w:hint="eastAsia" w:ascii="仿宋_GB2312" w:hAnsi="仿宋_GB2312" w:eastAsia="仿宋_GB2312" w:cs="仿宋_GB2312"/>
                <w:color w:val="auto"/>
                <w:kern w:val="0"/>
                <w:sz w:val="20"/>
                <w:szCs w:val="20"/>
                <w:highlight w:val="none"/>
                <w:u w:val="none" w:color="auto"/>
              </w:rPr>
              <w:t>第四条：县级以上人民政府民政部门负责流浪乞讨的救助工作，并对救助站进行指导、监督。</w:t>
            </w:r>
          </w:p>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b/>
                <w:bCs/>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《中华人民共</w:t>
            </w:r>
            <w:r>
              <w:rPr>
                <w:rFonts w:hint="eastAsia" w:ascii="仿宋_GB2312" w:hAnsi="仿宋_GB2312" w:eastAsia="仿宋_GB2312" w:cs="仿宋_GB2312"/>
                <w:b w:val="0"/>
                <w:bCs w:val="0"/>
                <w:color w:val="auto"/>
                <w:kern w:val="0"/>
                <w:sz w:val="20"/>
                <w:szCs w:val="20"/>
                <w:highlight w:val="none"/>
                <w:u w:val="none" w:color="auto"/>
              </w:rPr>
              <w:t>和国未成年人保护法》第四十三条</w:t>
            </w:r>
            <w:r>
              <w:rPr>
                <w:rFonts w:hint="eastAsia" w:ascii="仿宋_GB2312" w:hAnsi="仿宋_GB2312" w:eastAsia="仿宋_GB2312" w:cs="仿宋_GB2312"/>
                <w:b w:val="0"/>
                <w:bCs w:val="0"/>
                <w:color w:val="auto"/>
                <w:kern w:val="0"/>
                <w:sz w:val="20"/>
                <w:szCs w:val="20"/>
                <w:highlight w:val="none"/>
                <w:u w:val="none" w:color="auto"/>
                <w:lang w:val="en-US" w:eastAsia="zh-CN"/>
              </w:rPr>
              <w:t>：</w:t>
            </w:r>
            <w:r>
              <w:rPr>
                <w:rFonts w:hint="eastAsia" w:ascii="仿宋_GB2312" w:hAnsi="仿宋_GB2312" w:eastAsia="仿宋_GB2312" w:cs="仿宋_GB2312"/>
                <w:b w:val="0"/>
                <w:bCs w:val="0"/>
                <w:color w:val="auto"/>
                <w:kern w:val="0"/>
                <w:sz w:val="20"/>
                <w:szCs w:val="20"/>
                <w:highlight w:val="none"/>
                <w:u w:val="none" w:color="auto"/>
              </w:rPr>
              <w:t>县级以上人民政府及其民政部门应当根据需要设立救助场所，对流浪乞讨等生活无着未成年人实施救助，承担临时监护责任</w:t>
            </w:r>
            <w:r>
              <w:rPr>
                <w:rFonts w:hint="eastAsia" w:ascii="仿宋_GB2312" w:hAnsi="仿宋_GB2312" w:eastAsia="仿宋_GB2312" w:cs="仿宋_GB2312"/>
                <w:b w:val="0"/>
                <w:bCs w:val="0"/>
                <w:color w:val="auto"/>
                <w:kern w:val="0"/>
                <w:sz w:val="20"/>
                <w:szCs w:val="20"/>
                <w:highlight w:val="none"/>
                <w:u w:val="none" w:color="auto"/>
                <w:lang w:eastAsia="zh-CN"/>
              </w:rPr>
              <w:t>。</w:t>
            </w:r>
          </w:p>
        </w:tc>
        <w:tc>
          <w:tcPr>
            <w:tcW w:w="440"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行政给付</w:t>
            </w: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受理</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救助服务对象认定。</w:t>
            </w:r>
          </w:p>
        </w:tc>
        <w:tc>
          <w:tcPr>
            <w:tcW w:w="2533" w:type="dxa"/>
            <w:vMerge w:val="restart"/>
            <w:tcBorders>
              <w:top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220" w:lineRule="exact"/>
              <w:ind w:firstLine="0" w:firstLineChars="0"/>
              <w:jc w:val="both"/>
              <w:textAlignment w:val="center"/>
              <w:rPr>
                <w:rFonts w:hint="eastAsia" w:ascii="仿宋_GB2312" w:hAnsi="仿宋_GB2312" w:eastAsia="仿宋_GB2312" w:cs="仿宋_GB2312"/>
                <w:color w:val="auto"/>
                <w:spacing w:val="-1"/>
                <w:kern w:val="0"/>
                <w:sz w:val="20"/>
                <w:szCs w:val="20"/>
                <w:highlight w:val="none"/>
                <w:u w:val="none" w:color="auto"/>
              </w:rPr>
            </w:pPr>
            <w:r>
              <w:rPr>
                <w:rFonts w:hint="eastAsia" w:ascii="仿宋_GB2312" w:hAnsi="仿宋_GB2312" w:eastAsia="仿宋_GB2312" w:cs="仿宋_GB2312"/>
                <w:color w:val="auto"/>
                <w:spacing w:val="-1"/>
                <w:kern w:val="0"/>
                <w:sz w:val="20"/>
                <w:szCs w:val="20"/>
                <w:highlight w:val="none"/>
                <w:u w:val="none" w:color="auto"/>
                <w:lang w:val="en-US" w:eastAsia="zh-CN"/>
              </w:rPr>
              <w:t>《城市生活无着的流浪乞讨人员救助管理办法》 （国务院令（2003）第381号）</w:t>
            </w:r>
            <w:r>
              <w:rPr>
                <w:rFonts w:hint="eastAsia" w:ascii="仿宋_GB2312" w:hAnsi="仿宋_GB2312" w:eastAsia="仿宋_GB2312" w:cs="仿宋_GB2312"/>
                <w:color w:val="auto"/>
                <w:spacing w:val="-1"/>
                <w:kern w:val="0"/>
                <w:sz w:val="20"/>
                <w:szCs w:val="20"/>
                <w:highlight w:val="none"/>
                <w:u w:val="none" w:color="auto"/>
                <w:lang w:val="en-US" w:eastAsia="zh-CN" w:bidi="ar-SA"/>
              </w:rPr>
              <w:t>第十五条：救助站不履行救助职责的，求助人员可以向当地民政部门举报；民政部门经查证属实的，应当责令救助站及时提供救助，并对直接责任人员依法给予纪律处分。</w:t>
            </w:r>
          </w:p>
        </w:tc>
        <w:tc>
          <w:tcPr>
            <w:tcW w:w="934" w:type="dxa"/>
            <w:vMerge w:val="restart"/>
            <w:tcBorders>
              <w:top w:val="single" w:color="auto" w:sz="4" w:space="0"/>
              <w:bottom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社会事务科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61"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审核</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符合救助条件后，进行健康体检，安全检查，办理入站手续。</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20" w:lineRule="exact"/>
              <w:ind w:firstLine="0" w:firstLineChars="0"/>
              <w:jc w:val="both"/>
              <w:textAlignment w:val="center"/>
              <w:rPr>
                <w:rFonts w:hint="eastAsia" w:ascii="仿宋_GB2312" w:hAnsi="仿宋_GB2312" w:eastAsia="仿宋_GB2312" w:cs="仿宋_GB2312"/>
                <w:color w:val="auto"/>
                <w:spacing w:val="-1"/>
                <w:kern w:val="2"/>
                <w:sz w:val="20"/>
                <w:szCs w:val="20"/>
                <w:highlight w:val="none"/>
                <w:u w:val="none" w:color="auto"/>
                <w:lang w:val="en-US" w:eastAsia="zh-CN" w:bidi="ar-SA"/>
              </w:rPr>
            </w:pPr>
          </w:p>
        </w:tc>
        <w:tc>
          <w:tcPr>
            <w:tcW w:w="934" w:type="dxa"/>
            <w:vMerge w:val="continue"/>
            <w:tcBorders>
              <w:top w:val="single" w:color="auto" w:sz="4" w:space="0"/>
              <w:bottom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61"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办理离站手续，提供返乡车票离站；由其亲友接回；由工作人员护送返乡等情况安排离站。</w:t>
            </w:r>
          </w:p>
        </w:tc>
        <w:tc>
          <w:tcPr>
            <w:tcW w:w="2533" w:type="dxa"/>
            <w:vMerge w:val="continue"/>
            <w:tcBorders>
              <w:bottom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220" w:lineRule="exact"/>
              <w:ind w:firstLine="0" w:firstLineChars="0"/>
              <w:jc w:val="both"/>
              <w:textAlignment w:val="center"/>
              <w:rPr>
                <w:rFonts w:hint="eastAsia" w:ascii="仿宋_GB2312" w:hAnsi="仿宋_GB2312" w:eastAsia="仿宋_GB2312" w:cs="仿宋_GB2312"/>
                <w:color w:val="auto"/>
                <w:spacing w:val="-1"/>
                <w:kern w:val="2"/>
                <w:sz w:val="20"/>
                <w:szCs w:val="20"/>
                <w:highlight w:val="none"/>
                <w:u w:val="none" w:color="auto"/>
                <w:lang w:val="en-US" w:eastAsia="zh-CN" w:bidi="ar-SA"/>
              </w:rPr>
            </w:pPr>
          </w:p>
        </w:tc>
        <w:tc>
          <w:tcPr>
            <w:tcW w:w="934" w:type="dxa"/>
            <w:vMerge w:val="continue"/>
            <w:tcBorders>
              <w:top w:val="single" w:color="auto" w:sz="4" w:space="0"/>
              <w:bottom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61" w:hRule="exact"/>
          <w:jc w:val="center"/>
        </w:trPr>
        <w:tc>
          <w:tcPr>
            <w:tcW w:w="52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lang w:val="en-US" w:eastAsia="zh-CN"/>
              </w:rPr>
            </w:pPr>
            <w:r>
              <w:rPr>
                <w:rFonts w:hint="eastAsia" w:ascii="仿宋_GB2312" w:hAnsi="仿宋_GB2312" w:eastAsia="仿宋_GB2312" w:cs="仿宋_GB2312"/>
                <w:color w:val="auto"/>
                <w:sz w:val="20"/>
                <w:szCs w:val="20"/>
                <w:highlight w:val="none"/>
                <w:u w:val="none" w:color="auto"/>
                <w:lang w:val="en-US" w:eastAsia="zh-CN"/>
              </w:rPr>
              <w:t>28</w:t>
            </w:r>
          </w:p>
        </w:tc>
        <w:tc>
          <w:tcPr>
            <w:tcW w:w="1112"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经营性公墓检查</w:t>
            </w:r>
          </w:p>
        </w:tc>
        <w:tc>
          <w:tcPr>
            <w:tcW w:w="5765"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《河南省殡葬管理办法》</w:t>
            </w:r>
            <w:r>
              <w:rPr>
                <w:rFonts w:hint="eastAsia" w:ascii="仿宋_GB2312" w:hAnsi="仿宋_GB2312" w:eastAsia="仿宋_GB2312" w:cs="仿宋_GB2312"/>
                <w:color w:val="auto"/>
                <w:kern w:val="0"/>
                <w:sz w:val="20"/>
                <w:szCs w:val="20"/>
                <w:highlight w:val="none"/>
                <w:u w:val="none" w:color="auto"/>
                <w:lang w:val="en-US" w:eastAsia="zh-CN"/>
              </w:rPr>
              <w:t>（</w:t>
            </w:r>
            <w:r>
              <w:rPr>
                <w:rFonts w:hint="eastAsia" w:ascii="仿宋_GB2312" w:hAnsi="仿宋_GB2312" w:eastAsia="仿宋_GB2312" w:cs="仿宋_GB2312"/>
                <w:color w:val="auto"/>
                <w:kern w:val="0"/>
                <w:sz w:val="20"/>
                <w:szCs w:val="20"/>
                <w:highlight w:val="none"/>
                <w:u w:val="none" w:color="auto"/>
              </w:rPr>
              <w:t>1999年7月30日第九届人大常委会第十次会议通过</w:t>
            </w:r>
            <w:r>
              <w:rPr>
                <w:rFonts w:hint="eastAsia" w:ascii="仿宋_GB2312" w:hAnsi="仿宋_GB2312" w:eastAsia="仿宋_GB2312" w:cs="仿宋_GB2312"/>
                <w:color w:val="auto"/>
                <w:kern w:val="0"/>
                <w:sz w:val="20"/>
                <w:szCs w:val="20"/>
                <w:highlight w:val="none"/>
                <w:u w:val="none" w:color="auto"/>
                <w:lang w:val="en-US" w:eastAsia="zh-CN"/>
              </w:rPr>
              <w:t>）</w:t>
            </w:r>
            <w:r>
              <w:rPr>
                <w:rFonts w:hint="eastAsia" w:ascii="仿宋_GB2312" w:hAnsi="仿宋_GB2312" w:eastAsia="仿宋_GB2312" w:cs="仿宋_GB2312"/>
                <w:b w:val="0"/>
                <w:bCs w:val="0"/>
                <w:color w:val="auto"/>
                <w:kern w:val="0"/>
                <w:sz w:val="20"/>
                <w:szCs w:val="20"/>
                <w:highlight w:val="none"/>
                <w:u w:val="none" w:color="auto"/>
              </w:rPr>
              <w:t>第十二条</w:t>
            </w:r>
            <w:r>
              <w:rPr>
                <w:rFonts w:hint="eastAsia" w:ascii="仿宋_GB2312" w:hAnsi="仿宋_GB2312" w:eastAsia="仿宋_GB2312" w:cs="仿宋_GB2312"/>
                <w:b w:val="0"/>
                <w:bCs w:val="0"/>
                <w:color w:val="auto"/>
                <w:kern w:val="0"/>
                <w:sz w:val="20"/>
                <w:szCs w:val="20"/>
                <w:highlight w:val="none"/>
                <w:u w:val="none" w:color="auto"/>
                <w:lang w:eastAsia="zh-CN"/>
              </w:rPr>
              <w:t>：公墓不得一次性收取超过二十年的墓穴管理费。墓穴管理费用应用于公墓的管理、养护、和绿化，不得挪作他用。民政部门应当加强对公墓的管理，定期进行检查。</w:t>
            </w:r>
          </w:p>
        </w:tc>
        <w:tc>
          <w:tcPr>
            <w:tcW w:w="440"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行政检查</w:t>
            </w: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受理</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县区民政部门自查，上报年度检查材料。</w:t>
            </w:r>
          </w:p>
        </w:tc>
        <w:tc>
          <w:tcPr>
            <w:tcW w:w="2533" w:type="dxa"/>
            <w:vMerge w:val="restart"/>
            <w:tcBorders>
              <w:top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220" w:lineRule="exact"/>
              <w:ind w:firstLine="0" w:firstLineChars="0"/>
              <w:jc w:val="both"/>
              <w:textAlignment w:val="center"/>
              <w:rPr>
                <w:rFonts w:hint="eastAsia" w:ascii="仿宋_GB2312" w:hAnsi="仿宋_GB2312" w:eastAsia="仿宋_GB2312" w:cs="仿宋_GB2312"/>
                <w:color w:val="auto"/>
                <w:spacing w:val="-1"/>
                <w:kern w:val="0"/>
                <w:sz w:val="20"/>
                <w:szCs w:val="20"/>
                <w:highlight w:val="none"/>
                <w:u w:val="none" w:color="auto"/>
              </w:rPr>
            </w:pPr>
            <w:r>
              <w:rPr>
                <w:rFonts w:hint="eastAsia" w:ascii="仿宋_GB2312" w:hAnsi="仿宋_GB2312" w:eastAsia="仿宋_GB2312" w:cs="仿宋_GB2312"/>
                <w:color w:val="auto"/>
                <w:spacing w:val="-1"/>
                <w:kern w:val="0"/>
                <w:sz w:val="20"/>
                <w:szCs w:val="20"/>
                <w:highlight w:val="none"/>
                <w:u w:val="none" w:color="auto"/>
                <w:lang w:val="en-US" w:eastAsia="zh-CN" w:bidi="ar-SA"/>
              </w:rPr>
              <w:t>《河南省殡葬管理办法》（1999年7月30日河南省第九届人民代表大会常务委员会第十次会议通过，2004年修改）第四十二条：殡葬管理人员玩忽职守、滥用职权、徇私舞弊、索贿受贿的，由其主管部门追究行政责任；构成犯罪的，依法追究刑事责任。</w:t>
            </w:r>
          </w:p>
        </w:tc>
        <w:tc>
          <w:tcPr>
            <w:tcW w:w="934" w:type="dxa"/>
            <w:vMerge w:val="restart"/>
            <w:tcBorders>
              <w:top w:val="single" w:color="auto" w:sz="4" w:space="0"/>
              <w:bottom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社会事务科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61"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审核</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市级民政部门对年度检查材料进行审核，进行实地抽检，筹建比例不低于50%。</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00" w:lineRule="exact"/>
              <w:ind w:firstLine="0" w:firstLineChars="0"/>
              <w:jc w:val="both"/>
              <w:textAlignment w:val="center"/>
              <w:rPr>
                <w:rFonts w:hint="eastAsia" w:ascii="仿宋_GB2312" w:hAnsi="仿宋_GB2312" w:eastAsia="仿宋_GB2312" w:cs="仿宋_GB2312"/>
                <w:color w:val="auto"/>
                <w:spacing w:val="-1"/>
                <w:kern w:val="2"/>
                <w:sz w:val="20"/>
                <w:szCs w:val="20"/>
                <w:highlight w:val="none"/>
                <w:u w:val="none" w:color="auto"/>
                <w:lang w:val="en-US" w:eastAsia="zh-CN" w:bidi="ar-SA"/>
              </w:rPr>
            </w:pPr>
          </w:p>
        </w:tc>
        <w:tc>
          <w:tcPr>
            <w:tcW w:w="934" w:type="dxa"/>
            <w:vMerge w:val="continue"/>
            <w:tcBorders>
              <w:top w:val="single" w:color="auto" w:sz="4" w:space="0"/>
              <w:bottom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61"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将年度检查材料转报省民政厅</w:t>
            </w:r>
            <w:r>
              <w:rPr>
                <w:rFonts w:hint="eastAsia" w:ascii="仿宋_GB2312" w:hAnsi="仿宋_GB2312" w:eastAsia="仿宋_GB2312" w:cs="仿宋_GB2312"/>
                <w:color w:val="auto"/>
                <w:kern w:val="0"/>
                <w:sz w:val="20"/>
                <w:szCs w:val="20"/>
                <w:highlight w:val="none"/>
                <w:u w:val="none" w:color="auto"/>
                <w:lang w:eastAsia="zh-CN"/>
              </w:rPr>
              <w:t>。</w:t>
            </w:r>
          </w:p>
        </w:tc>
        <w:tc>
          <w:tcPr>
            <w:tcW w:w="2533" w:type="dxa"/>
            <w:vMerge w:val="continue"/>
            <w:tcBorders>
              <w:bottom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200" w:lineRule="exact"/>
              <w:ind w:firstLine="0" w:firstLineChars="0"/>
              <w:jc w:val="both"/>
              <w:textAlignment w:val="center"/>
              <w:rPr>
                <w:rFonts w:hint="eastAsia" w:ascii="仿宋_GB2312" w:hAnsi="仿宋_GB2312" w:eastAsia="仿宋_GB2312" w:cs="仿宋_GB2312"/>
                <w:color w:val="auto"/>
                <w:spacing w:val="-1"/>
                <w:kern w:val="2"/>
                <w:sz w:val="20"/>
                <w:szCs w:val="20"/>
                <w:highlight w:val="none"/>
                <w:u w:val="none" w:color="auto"/>
                <w:lang w:val="en-US" w:eastAsia="zh-CN" w:bidi="ar-SA"/>
              </w:rPr>
            </w:pPr>
          </w:p>
        </w:tc>
        <w:tc>
          <w:tcPr>
            <w:tcW w:w="934" w:type="dxa"/>
            <w:vMerge w:val="continue"/>
            <w:tcBorders>
              <w:top w:val="single" w:color="auto" w:sz="4" w:space="0"/>
              <w:bottom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025" w:hRule="atLeast"/>
          <w:jc w:val="center"/>
        </w:trPr>
        <w:tc>
          <w:tcPr>
            <w:tcW w:w="523"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lang w:val="en-US" w:eastAsia="zh-CN"/>
              </w:rPr>
            </w:pPr>
            <w:r>
              <w:rPr>
                <w:rFonts w:hint="eastAsia" w:ascii="仿宋_GB2312" w:hAnsi="仿宋_GB2312" w:eastAsia="仿宋_GB2312" w:cs="仿宋_GB2312"/>
                <w:color w:val="auto"/>
                <w:sz w:val="20"/>
                <w:szCs w:val="20"/>
                <w:highlight w:val="none"/>
                <w:u w:val="none" w:color="auto"/>
                <w:lang w:val="en-US" w:eastAsia="zh-CN"/>
              </w:rPr>
              <w:t>29</w:t>
            </w:r>
          </w:p>
        </w:tc>
        <w:tc>
          <w:tcPr>
            <w:tcW w:w="1112"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textAlignment w:val="center"/>
              <w:outlineLvl w:val="9"/>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对社会救助工作进行检查</w:t>
            </w:r>
          </w:p>
        </w:tc>
        <w:tc>
          <w:tcPr>
            <w:tcW w:w="5765"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textAlignment w:val="center"/>
              <w:outlineLvl w:val="9"/>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《社会救助暂行办法》</w:t>
            </w:r>
            <w:r>
              <w:rPr>
                <w:rFonts w:hint="eastAsia" w:ascii="仿宋_GB2312" w:hAnsi="仿宋_GB2312" w:eastAsia="仿宋_GB2312" w:cs="仿宋_GB2312"/>
                <w:color w:val="auto"/>
                <w:kern w:val="0"/>
                <w:sz w:val="20"/>
                <w:szCs w:val="20"/>
                <w:highlight w:val="none"/>
                <w:u w:val="none" w:color="auto"/>
                <w:lang w:val="en-US" w:eastAsia="zh-CN"/>
              </w:rPr>
              <w:t>（</w:t>
            </w:r>
            <w:r>
              <w:rPr>
                <w:rFonts w:hint="eastAsia" w:ascii="仿宋_GB2312" w:hAnsi="仿宋_GB2312" w:eastAsia="仿宋_GB2312" w:cs="仿宋_GB2312"/>
                <w:color w:val="auto"/>
                <w:kern w:val="0"/>
                <w:sz w:val="20"/>
                <w:szCs w:val="20"/>
                <w:highlight w:val="none"/>
                <w:u w:val="none" w:color="auto"/>
              </w:rPr>
              <w:t>国务院令第649号</w:t>
            </w:r>
            <w:r>
              <w:rPr>
                <w:rFonts w:hint="eastAsia" w:ascii="仿宋_GB2312" w:hAnsi="仿宋_GB2312" w:eastAsia="仿宋_GB2312" w:cs="仿宋_GB2312"/>
                <w:color w:val="auto"/>
                <w:kern w:val="0"/>
                <w:sz w:val="20"/>
                <w:szCs w:val="20"/>
                <w:highlight w:val="none"/>
                <w:u w:val="none" w:color="auto"/>
                <w:lang w:val="en-US" w:eastAsia="zh-CN"/>
              </w:rPr>
              <w:t>）</w:t>
            </w:r>
            <w:r>
              <w:rPr>
                <w:rFonts w:hint="eastAsia" w:ascii="仿宋_GB2312" w:hAnsi="仿宋_GB2312" w:eastAsia="仿宋_GB2312" w:cs="仿宋_GB2312"/>
                <w:color w:val="auto"/>
                <w:kern w:val="0"/>
                <w:sz w:val="20"/>
                <w:szCs w:val="20"/>
                <w:highlight w:val="none"/>
                <w:u w:val="none" w:color="auto"/>
              </w:rPr>
              <w:t>第五十七条</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县级以上人民政府及其社会救助管理部门应当加强对社会救助工作的监督检查，完善相关监督管理制度</w:t>
            </w:r>
            <w:r>
              <w:rPr>
                <w:rFonts w:hint="eastAsia" w:ascii="仿宋_GB2312" w:hAnsi="仿宋_GB2312" w:eastAsia="仿宋_GB2312" w:cs="仿宋_GB2312"/>
                <w:color w:val="auto"/>
                <w:kern w:val="0"/>
                <w:sz w:val="20"/>
                <w:szCs w:val="20"/>
                <w:highlight w:val="none"/>
                <w:u w:val="none" w:color="auto"/>
                <w:lang w:eastAsia="zh-CN"/>
              </w:rPr>
              <w:t>。</w:t>
            </w:r>
          </w:p>
        </w:tc>
        <w:tc>
          <w:tcPr>
            <w:tcW w:w="440"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行政检查</w:t>
            </w:r>
          </w:p>
        </w:tc>
        <w:tc>
          <w:tcPr>
            <w:tcW w:w="4111" w:type="dxa"/>
            <w:gridSpan w:val="2"/>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根据上级要求和群众信访情况，对县区社会救助工作进行督导检查。</w:t>
            </w:r>
          </w:p>
        </w:tc>
        <w:tc>
          <w:tcPr>
            <w:tcW w:w="2533" w:type="dxa"/>
            <w:tcBorders>
              <w:top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220" w:lineRule="exact"/>
              <w:ind w:firstLine="0" w:firstLineChars="0"/>
              <w:jc w:val="both"/>
              <w:textAlignment w:val="center"/>
              <w:rPr>
                <w:rFonts w:hint="eastAsia" w:ascii="仿宋_GB2312" w:hAnsi="仿宋_GB2312" w:eastAsia="仿宋_GB2312" w:cs="仿宋_GB2312"/>
                <w:color w:val="auto"/>
                <w:spacing w:val="-1"/>
                <w:kern w:val="0"/>
                <w:sz w:val="20"/>
                <w:szCs w:val="20"/>
                <w:highlight w:val="none"/>
                <w:u w:val="none" w:color="auto"/>
                <w:lang w:eastAsia="zh-CN"/>
              </w:rPr>
            </w:pPr>
            <w:r>
              <w:rPr>
                <w:rFonts w:hint="eastAsia" w:ascii="仿宋_GB2312" w:hAnsi="仿宋_GB2312" w:eastAsia="仿宋_GB2312" w:cs="仿宋_GB2312"/>
                <w:color w:val="auto"/>
                <w:spacing w:val="-6"/>
                <w:kern w:val="0"/>
                <w:sz w:val="20"/>
                <w:szCs w:val="20"/>
                <w:highlight w:val="none"/>
                <w:u w:val="none" w:color="auto"/>
              </w:rPr>
              <w:t>不履行或不正确履行职责，有下列情形的行政机关及相关工作人员应承担相应的责任：</w:t>
            </w:r>
            <w:r>
              <w:rPr>
                <w:rFonts w:hint="eastAsia" w:ascii="仿宋_GB2312" w:hAnsi="仿宋_GB2312" w:eastAsia="仿宋_GB2312" w:cs="仿宋_GB2312"/>
                <w:color w:val="auto"/>
                <w:spacing w:val="-6"/>
                <w:kern w:val="0"/>
                <w:sz w:val="20"/>
                <w:szCs w:val="20"/>
                <w:highlight w:val="none"/>
                <w:u w:val="none" w:color="auto"/>
              </w:rPr>
              <w:br w:type="textWrapping"/>
            </w:r>
            <w:r>
              <w:rPr>
                <w:rFonts w:hint="eastAsia" w:ascii="仿宋_GB2312" w:hAnsi="仿宋_GB2312" w:eastAsia="仿宋_GB2312" w:cs="仿宋_GB2312"/>
                <w:color w:val="auto"/>
                <w:spacing w:val="-6"/>
                <w:kern w:val="0"/>
                <w:sz w:val="20"/>
                <w:szCs w:val="20"/>
                <w:highlight w:val="none"/>
                <w:u w:val="none" w:color="auto"/>
              </w:rPr>
              <w:t>1</w:t>
            </w:r>
            <w:r>
              <w:rPr>
                <w:rFonts w:hint="eastAsia" w:ascii="仿宋_GB2312" w:hAnsi="仿宋_GB2312" w:eastAsia="仿宋_GB2312" w:cs="仿宋_GB2312"/>
                <w:color w:val="auto"/>
                <w:spacing w:val="-6"/>
                <w:kern w:val="0"/>
                <w:sz w:val="20"/>
                <w:szCs w:val="20"/>
                <w:highlight w:val="none"/>
                <w:u w:val="none" w:color="auto"/>
                <w:lang w:eastAsia="zh-CN"/>
              </w:rPr>
              <w:t>．</w:t>
            </w:r>
            <w:r>
              <w:rPr>
                <w:rFonts w:hint="eastAsia" w:ascii="仿宋_GB2312" w:hAnsi="仿宋_GB2312" w:eastAsia="仿宋_GB2312" w:cs="仿宋_GB2312"/>
                <w:color w:val="auto"/>
                <w:spacing w:val="-6"/>
                <w:kern w:val="0"/>
                <w:sz w:val="20"/>
                <w:szCs w:val="20"/>
                <w:highlight w:val="none"/>
                <w:u w:val="none" w:color="auto"/>
              </w:rPr>
              <w:t>对符合申请条件的救助申请不予受理的</w:t>
            </w:r>
            <w:r>
              <w:rPr>
                <w:rFonts w:hint="eastAsia" w:ascii="仿宋_GB2312" w:hAnsi="仿宋_GB2312" w:eastAsia="仿宋_GB2312" w:cs="仿宋_GB2312"/>
                <w:color w:val="auto"/>
                <w:spacing w:val="-6"/>
                <w:kern w:val="0"/>
                <w:sz w:val="20"/>
                <w:szCs w:val="20"/>
                <w:highlight w:val="none"/>
                <w:u w:val="none" w:color="auto"/>
                <w:lang w:eastAsia="zh-CN"/>
              </w:rPr>
              <w:t>；</w:t>
            </w:r>
            <w:r>
              <w:rPr>
                <w:rFonts w:hint="eastAsia" w:ascii="仿宋_GB2312" w:hAnsi="仿宋_GB2312" w:eastAsia="仿宋_GB2312" w:cs="仿宋_GB2312"/>
                <w:color w:val="auto"/>
                <w:spacing w:val="-6"/>
                <w:kern w:val="0"/>
                <w:sz w:val="20"/>
                <w:szCs w:val="20"/>
                <w:highlight w:val="none"/>
                <w:u w:val="none" w:color="auto"/>
              </w:rPr>
              <w:br w:type="textWrapping"/>
            </w:r>
            <w:r>
              <w:rPr>
                <w:rFonts w:hint="eastAsia" w:ascii="仿宋_GB2312" w:hAnsi="仿宋_GB2312" w:eastAsia="仿宋_GB2312" w:cs="仿宋_GB2312"/>
                <w:color w:val="auto"/>
                <w:spacing w:val="-6"/>
                <w:kern w:val="0"/>
                <w:sz w:val="20"/>
                <w:szCs w:val="20"/>
                <w:highlight w:val="none"/>
                <w:u w:val="none" w:color="auto"/>
              </w:rPr>
              <w:t>2</w:t>
            </w:r>
            <w:r>
              <w:rPr>
                <w:rFonts w:hint="eastAsia" w:ascii="仿宋_GB2312" w:hAnsi="仿宋_GB2312" w:eastAsia="仿宋_GB2312" w:cs="仿宋_GB2312"/>
                <w:color w:val="auto"/>
                <w:spacing w:val="-6"/>
                <w:kern w:val="0"/>
                <w:sz w:val="20"/>
                <w:szCs w:val="20"/>
                <w:highlight w:val="none"/>
                <w:u w:val="none" w:color="auto"/>
                <w:lang w:eastAsia="zh-CN"/>
              </w:rPr>
              <w:t>．</w:t>
            </w:r>
            <w:r>
              <w:rPr>
                <w:rFonts w:hint="eastAsia" w:ascii="仿宋_GB2312" w:hAnsi="仿宋_GB2312" w:eastAsia="仿宋_GB2312" w:cs="仿宋_GB2312"/>
                <w:color w:val="auto"/>
                <w:spacing w:val="-6"/>
                <w:kern w:val="0"/>
                <w:sz w:val="20"/>
                <w:szCs w:val="20"/>
                <w:highlight w:val="none"/>
                <w:u w:val="none" w:color="auto"/>
              </w:rPr>
              <w:t>对符合救助条件的救助申请不予批准的</w:t>
            </w:r>
            <w:r>
              <w:rPr>
                <w:rFonts w:hint="eastAsia" w:ascii="仿宋_GB2312" w:hAnsi="仿宋_GB2312" w:eastAsia="仿宋_GB2312" w:cs="仿宋_GB2312"/>
                <w:color w:val="auto"/>
                <w:spacing w:val="-6"/>
                <w:kern w:val="0"/>
                <w:sz w:val="20"/>
                <w:szCs w:val="20"/>
                <w:highlight w:val="none"/>
                <w:u w:val="none" w:color="auto"/>
                <w:lang w:eastAsia="zh-CN"/>
              </w:rPr>
              <w:t>；</w:t>
            </w:r>
            <w:r>
              <w:rPr>
                <w:rFonts w:hint="eastAsia" w:ascii="仿宋_GB2312" w:hAnsi="仿宋_GB2312" w:eastAsia="仿宋_GB2312" w:cs="仿宋_GB2312"/>
                <w:color w:val="auto"/>
                <w:spacing w:val="-6"/>
                <w:kern w:val="0"/>
                <w:sz w:val="20"/>
                <w:szCs w:val="20"/>
                <w:highlight w:val="none"/>
                <w:u w:val="none" w:color="auto"/>
              </w:rPr>
              <w:br w:type="textWrapping"/>
            </w:r>
            <w:r>
              <w:rPr>
                <w:rFonts w:hint="eastAsia" w:ascii="仿宋_GB2312" w:hAnsi="仿宋_GB2312" w:eastAsia="仿宋_GB2312" w:cs="仿宋_GB2312"/>
                <w:color w:val="auto"/>
                <w:spacing w:val="-6"/>
                <w:kern w:val="0"/>
                <w:sz w:val="20"/>
                <w:szCs w:val="20"/>
                <w:highlight w:val="none"/>
                <w:u w:val="none" w:color="auto"/>
              </w:rPr>
              <w:t>3</w:t>
            </w:r>
            <w:r>
              <w:rPr>
                <w:rFonts w:hint="eastAsia" w:ascii="仿宋_GB2312" w:hAnsi="仿宋_GB2312" w:eastAsia="仿宋_GB2312" w:cs="仿宋_GB2312"/>
                <w:color w:val="auto"/>
                <w:spacing w:val="-6"/>
                <w:kern w:val="0"/>
                <w:sz w:val="20"/>
                <w:szCs w:val="20"/>
                <w:highlight w:val="none"/>
                <w:u w:val="none" w:color="auto"/>
                <w:lang w:eastAsia="zh-CN"/>
              </w:rPr>
              <w:t>．</w:t>
            </w:r>
            <w:r>
              <w:rPr>
                <w:rFonts w:hint="eastAsia" w:ascii="仿宋_GB2312" w:hAnsi="仿宋_GB2312" w:eastAsia="仿宋_GB2312" w:cs="仿宋_GB2312"/>
                <w:color w:val="auto"/>
                <w:spacing w:val="-6"/>
                <w:kern w:val="0"/>
                <w:sz w:val="20"/>
                <w:szCs w:val="20"/>
                <w:highlight w:val="none"/>
                <w:u w:val="none" w:color="auto"/>
              </w:rPr>
              <w:t>对不符合救助条件的救助申请予以批准的</w:t>
            </w:r>
            <w:r>
              <w:rPr>
                <w:rFonts w:hint="eastAsia" w:ascii="仿宋_GB2312" w:hAnsi="仿宋_GB2312" w:eastAsia="仿宋_GB2312" w:cs="仿宋_GB2312"/>
                <w:color w:val="auto"/>
                <w:spacing w:val="-6"/>
                <w:kern w:val="0"/>
                <w:sz w:val="20"/>
                <w:szCs w:val="20"/>
                <w:highlight w:val="none"/>
                <w:u w:val="none" w:color="auto"/>
                <w:lang w:eastAsia="zh-CN"/>
              </w:rPr>
              <w:t>；</w:t>
            </w:r>
            <w:r>
              <w:rPr>
                <w:rFonts w:hint="eastAsia" w:ascii="仿宋_GB2312" w:hAnsi="仿宋_GB2312" w:eastAsia="仿宋_GB2312" w:cs="仿宋_GB2312"/>
                <w:color w:val="auto"/>
                <w:spacing w:val="-6"/>
                <w:kern w:val="0"/>
                <w:sz w:val="20"/>
                <w:szCs w:val="20"/>
                <w:highlight w:val="none"/>
                <w:u w:val="none" w:color="auto"/>
              </w:rPr>
              <w:t>4</w:t>
            </w:r>
            <w:r>
              <w:rPr>
                <w:rFonts w:hint="eastAsia" w:ascii="仿宋_GB2312" w:hAnsi="仿宋_GB2312" w:eastAsia="仿宋_GB2312" w:cs="仿宋_GB2312"/>
                <w:color w:val="auto"/>
                <w:spacing w:val="-6"/>
                <w:kern w:val="0"/>
                <w:sz w:val="20"/>
                <w:szCs w:val="20"/>
                <w:highlight w:val="none"/>
                <w:u w:val="none" w:color="auto"/>
                <w:lang w:eastAsia="zh-CN"/>
              </w:rPr>
              <w:t>．</w:t>
            </w:r>
            <w:r>
              <w:rPr>
                <w:rFonts w:hint="eastAsia" w:ascii="仿宋_GB2312" w:hAnsi="仿宋_GB2312" w:eastAsia="仿宋_GB2312" w:cs="仿宋_GB2312"/>
                <w:color w:val="auto"/>
                <w:spacing w:val="-6"/>
                <w:kern w:val="0"/>
                <w:sz w:val="20"/>
                <w:szCs w:val="20"/>
                <w:highlight w:val="none"/>
                <w:u w:val="none" w:color="auto"/>
              </w:rPr>
              <w:t>泄露在工作中知悉的公民个人信息，造成后果的</w:t>
            </w:r>
            <w:r>
              <w:rPr>
                <w:rFonts w:hint="eastAsia" w:ascii="仿宋_GB2312" w:hAnsi="仿宋_GB2312" w:eastAsia="仿宋_GB2312" w:cs="仿宋_GB2312"/>
                <w:color w:val="auto"/>
                <w:spacing w:val="-6"/>
                <w:kern w:val="0"/>
                <w:sz w:val="20"/>
                <w:szCs w:val="20"/>
                <w:highlight w:val="none"/>
                <w:u w:val="none" w:color="auto"/>
                <w:lang w:eastAsia="zh-CN"/>
              </w:rPr>
              <w:t>；</w:t>
            </w:r>
            <w:r>
              <w:rPr>
                <w:rFonts w:hint="eastAsia" w:ascii="仿宋_GB2312" w:hAnsi="仿宋_GB2312" w:eastAsia="仿宋_GB2312" w:cs="仿宋_GB2312"/>
                <w:color w:val="auto"/>
                <w:spacing w:val="-6"/>
                <w:kern w:val="0"/>
                <w:sz w:val="20"/>
                <w:szCs w:val="20"/>
                <w:highlight w:val="none"/>
                <w:u w:val="none" w:color="auto"/>
              </w:rPr>
              <w:t>5</w:t>
            </w:r>
            <w:r>
              <w:rPr>
                <w:rFonts w:hint="eastAsia" w:ascii="仿宋_GB2312" w:hAnsi="仿宋_GB2312" w:eastAsia="仿宋_GB2312" w:cs="仿宋_GB2312"/>
                <w:color w:val="auto"/>
                <w:spacing w:val="-6"/>
                <w:kern w:val="0"/>
                <w:sz w:val="20"/>
                <w:szCs w:val="20"/>
                <w:highlight w:val="none"/>
                <w:u w:val="none" w:color="auto"/>
                <w:lang w:eastAsia="zh-CN"/>
              </w:rPr>
              <w:t>．</w:t>
            </w:r>
            <w:r>
              <w:rPr>
                <w:rFonts w:hint="eastAsia" w:ascii="仿宋_GB2312" w:hAnsi="仿宋_GB2312" w:eastAsia="仿宋_GB2312" w:cs="仿宋_GB2312"/>
                <w:color w:val="auto"/>
                <w:spacing w:val="-6"/>
                <w:kern w:val="0"/>
                <w:sz w:val="20"/>
                <w:szCs w:val="20"/>
                <w:highlight w:val="none"/>
                <w:u w:val="none" w:color="auto"/>
              </w:rPr>
              <w:t>丢失、篡改接受社会救助款物、服务记录等数据的</w:t>
            </w:r>
            <w:r>
              <w:rPr>
                <w:rFonts w:hint="eastAsia" w:ascii="仿宋_GB2312" w:hAnsi="仿宋_GB2312" w:eastAsia="仿宋_GB2312" w:cs="仿宋_GB2312"/>
                <w:color w:val="auto"/>
                <w:spacing w:val="-6"/>
                <w:kern w:val="0"/>
                <w:sz w:val="20"/>
                <w:szCs w:val="20"/>
                <w:highlight w:val="none"/>
                <w:u w:val="none" w:color="auto"/>
                <w:lang w:eastAsia="zh-CN"/>
              </w:rPr>
              <w:t>；</w:t>
            </w:r>
            <w:r>
              <w:rPr>
                <w:rFonts w:hint="eastAsia" w:ascii="仿宋_GB2312" w:hAnsi="仿宋_GB2312" w:eastAsia="仿宋_GB2312" w:cs="仿宋_GB2312"/>
                <w:color w:val="auto"/>
                <w:spacing w:val="-6"/>
                <w:kern w:val="0"/>
                <w:sz w:val="20"/>
                <w:szCs w:val="20"/>
                <w:highlight w:val="none"/>
                <w:u w:val="none" w:color="auto"/>
              </w:rPr>
              <w:t>6</w:t>
            </w:r>
            <w:r>
              <w:rPr>
                <w:rFonts w:hint="eastAsia" w:ascii="仿宋_GB2312" w:hAnsi="仿宋_GB2312" w:eastAsia="仿宋_GB2312" w:cs="仿宋_GB2312"/>
                <w:color w:val="auto"/>
                <w:spacing w:val="-6"/>
                <w:kern w:val="0"/>
                <w:sz w:val="20"/>
                <w:szCs w:val="20"/>
                <w:highlight w:val="none"/>
                <w:u w:val="none" w:color="auto"/>
                <w:lang w:eastAsia="zh-CN"/>
              </w:rPr>
              <w:t>．</w:t>
            </w:r>
            <w:r>
              <w:rPr>
                <w:rFonts w:hint="eastAsia" w:ascii="仿宋_GB2312" w:hAnsi="仿宋_GB2312" w:eastAsia="仿宋_GB2312" w:cs="仿宋_GB2312"/>
                <w:color w:val="auto"/>
                <w:spacing w:val="-6"/>
                <w:kern w:val="0"/>
                <w:sz w:val="20"/>
                <w:szCs w:val="20"/>
                <w:highlight w:val="none"/>
                <w:u w:val="none" w:color="auto"/>
              </w:rPr>
              <w:t>不按照规定发放社会救助资金、物资或者提供相关服务的</w:t>
            </w:r>
            <w:r>
              <w:rPr>
                <w:rFonts w:hint="eastAsia" w:ascii="仿宋_GB2312" w:hAnsi="仿宋_GB2312" w:eastAsia="仿宋_GB2312" w:cs="仿宋_GB2312"/>
                <w:color w:val="auto"/>
                <w:spacing w:val="-6"/>
                <w:kern w:val="0"/>
                <w:sz w:val="20"/>
                <w:szCs w:val="20"/>
                <w:highlight w:val="none"/>
                <w:u w:val="none" w:color="auto"/>
                <w:lang w:eastAsia="zh-CN"/>
              </w:rPr>
              <w:t>；</w:t>
            </w:r>
            <w:r>
              <w:rPr>
                <w:rFonts w:hint="eastAsia" w:ascii="仿宋_GB2312" w:hAnsi="仿宋_GB2312" w:eastAsia="仿宋_GB2312" w:cs="仿宋_GB2312"/>
                <w:color w:val="auto"/>
                <w:spacing w:val="-6"/>
                <w:kern w:val="0"/>
                <w:sz w:val="20"/>
                <w:szCs w:val="20"/>
                <w:highlight w:val="none"/>
                <w:u w:val="none" w:color="auto"/>
              </w:rPr>
              <w:t>7</w:t>
            </w:r>
            <w:r>
              <w:rPr>
                <w:rFonts w:hint="eastAsia" w:ascii="仿宋_GB2312" w:hAnsi="仿宋_GB2312" w:eastAsia="仿宋_GB2312" w:cs="仿宋_GB2312"/>
                <w:color w:val="auto"/>
                <w:spacing w:val="-6"/>
                <w:kern w:val="0"/>
                <w:sz w:val="20"/>
                <w:szCs w:val="20"/>
                <w:highlight w:val="none"/>
                <w:u w:val="none" w:color="auto"/>
                <w:lang w:eastAsia="zh-CN"/>
              </w:rPr>
              <w:t>．</w:t>
            </w:r>
            <w:r>
              <w:rPr>
                <w:rFonts w:hint="eastAsia" w:ascii="仿宋_GB2312" w:hAnsi="仿宋_GB2312" w:eastAsia="仿宋_GB2312" w:cs="仿宋_GB2312"/>
                <w:color w:val="auto"/>
                <w:spacing w:val="-6"/>
                <w:kern w:val="0"/>
                <w:sz w:val="20"/>
                <w:szCs w:val="20"/>
                <w:highlight w:val="none"/>
                <w:u w:val="none" w:color="auto"/>
              </w:rPr>
              <w:t>在履行社会救助职责过程中有其他滥用职权、玩忽职守、徇私舞弊行为的。</w:t>
            </w:r>
          </w:p>
        </w:tc>
        <w:tc>
          <w:tcPr>
            <w:tcW w:w="934" w:type="dxa"/>
            <w:tcBorders>
              <w:top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eastAsia="zh-CN"/>
              </w:rPr>
            </w:pPr>
            <w:r>
              <w:rPr>
                <w:rFonts w:hint="eastAsia" w:ascii="仿宋_GB2312" w:hAnsi="仿宋_GB2312" w:eastAsia="仿宋_GB2312" w:cs="仿宋_GB2312"/>
                <w:color w:val="auto"/>
                <w:kern w:val="0"/>
                <w:sz w:val="20"/>
                <w:szCs w:val="20"/>
                <w:highlight w:val="none"/>
                <w:u w:val="none" w:color="auto"/>
                <w:lang w:eastAsia="zh-CN"/>
              </w:rPr>
              <w:t>社会救助科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12" w:hRule="atLeast"/>
          <w:jc w:val="center"/>
        </w:trPr>
        <w:tc>
          <w:tcPr>
            <w:tcW w:w="52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lang w:val="en-US" w:eastAsia="zh-CN"/>
              </w:rPr>
              <w:t>30</w:t>
            </w:r>
          </w:p>
        </w:tc>
        <w:tc>
          <w:tcPr>
            <w:tcW w:w="1112"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对行政区域界线进行联合检查</w:t>
            </w:r>
          </w:p>
        </w:tc>
        <w:tc>
          <w:tcPr>
            <w:tcW w:w="5765"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《行政区域界线管理条例》（中华人民共和国国务院令第353号）第十二条</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 xml:space="preserve">行政区域界线毗邻的县级以上地方各级人民政府应当建立行政区域界线联合检查制度，每5年联合检查一次。遇有影响行政区域界线实地走向的自然灾害、河流改道、道路变化等特殊情况，由行政区域界线毗邻的各有关人民政府共同对行政区域界线的特定地段随时安排联合检查。联合检查的结果，由参加检查的各地方人民政府共同报送该行政区域界线的批准机关备案。  </w:t>
            </w:r>
          </w:p>
        </w:tc>
        <w:tc>
          <w:tcPr>
            <w:tcW w:w="440"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行政检查</w:t>
            </w: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工作部署</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每5年与行政区域界线毗邻的县级以上地方人民政府部署开展行政区域界线联合检查。</w:t>
            </w:r>
          </w:p>
        </w:tc>
        <w:tc>
          <w:tcPr>
            <w:tcW w:w="253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2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spacing w:val="-11"/>
                <w:kern w:val="0"/>
                <w:sz w:val="20"/>
                <w:szCs w:val="20"/>
                <w:highlight w:val="none"/>
                <w:u w:val="none" w:color="auto"/>
                <w:lang w:val="en-US" w:eastAsia="zh-CN"/>
              </w:rPr>
              <w:t>不履行或不正确履行职责，有下列情形的行政机关及相关工作人员应承担相应的责任：1．不履行行政区域界线批准文件和行政区域界线协议书规定的义务，或者不执行行政区域界线的批准机关的决定的；2．不依法公布批准的行政区域界线的；3．擅自移动、改变行政区域界线标志，或者命令、指使他人擅自移动、改变</w:t>
            </w:r>
            <w:r>
              <w:rPr>
                <w:rFonts w:hint="eastAsia" w:ascii="仿宋_GB2312" w:hAnsi="仿宋_GB2312" w:eastAsia="仿宋_GB2312" w:cs="仿宋_GB2312"/>
                <w:i w:val="0"/>
                <w:iCs w:val="0"/>
                <w:caps w:val="0"/>
                <w:color w:val="auto"/>
                <w:spacing w:val="-11"/>
                <w:kern w:val="0"/>
                <w:sz w:val="20"/>
                <w:szCs w:val="20"/>
                <w:highlight w:val="none"/>
                <w:u w:val="none" w:color="auto"/>
                <w:shd w:val="clear" w:color="auto" w:fill="FFFFFF"/>
                <w:lang w:val="en-US" w:eastAsia="zh-CN" w:bidi="ar"/>
              </w:rPr>
              <w:t>行</w:t>
            </w:r>
            <w:r>
              <w:rPr>
                <w:rFonts w:hint="eastAsia" w:ascii="仿宋_GB2312" w:hAnsi="仿宋_GB2312" w:eastAsia="仿宋_GB2312" w:cs="仿宋_GB2312"/>
                <w:color w:val="auto"/>
                <w:spacing w:val="-11"/>
                <w:kern w:val="0"/>
                <w:sz w:val="20"/>
                <w:szCs w:val="20"/>
                <w:highlight w:val="none"/>
                <w:u w:val="none" w:color="auto"/>
                <w:lang w:val="en-US" w:eastAsia="zh-CN"/>
              </w:rPr>
              <w:t>政区域界线标志，或者发现他人擅自移动、改变行政区域界线标志不予制止的；4．毗邻方未在场时，擅自维修行政区域界线标志的。</w:t>
            </w:r>
          </w:p>
        </w:tc>
        <w:tc>
          <w:tcPr>
            <w:tcW w:w="93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相关县级以上人民政府办公室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50"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联合检查</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根据工作部署，开展行政区域界线实地查勘。</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934"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区划</w:t>
            </w:r>
          </w:p>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地名科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02"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总结上报</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根据联检情况形成平安边界报告、睦邻友好报等，并上报省民政厅。</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sz w:val="20"/>
                <w:szCs w:val="20"/>
                <w:highlight w:val="none"/>
                <w:u w:val="none" w:color="auto"/>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25"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审查</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pacing w:val="-6"/>
                <w:sz w:val="20"/>
                <w:szCs w:val="20"/>
                <w:highlight w:val="none"/>
                <w:u w:val="none" w:color="auto"/>
              </w:rPr>
            </w:pPr>
            <w:r>
              <w:rPr>
                <w:rFonts w:hint="eastAsia" w:ascii="仿宋_GB2312" w:hAnsi="仿宋_GB2312" w:eastAsia="仿宋_GB2312" w:cs="仿宋_GB2312"/>
                <w:color w:val="auto"/>
                <w:spacing w:val="-6"/>
                <w:kern w:val="0"/>
                <w:sz w:val="20"/>
                <w:szCs w:val="20"/>
                <w:highlight w:val="none"/>
                <w:u w:val="none" w:color="auto"/>
              </w:rPr>
              <w:t>提交的文件、材料进行审核。</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sz w:val="20"/>
                <w:szCs w:val="20"/>
                <w:highlight w:val="none"/>
                <w:u w:val="none" w:color="auto"/>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74"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决定</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经材料审查，符合法规要求的依法同意备案。</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sz w:val="20"/>
                <w:szCs w:val="20"/>
                <w:highlight w:val="none"/>
                <w:u w:val="none" w:color="auto"/>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65"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送达</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邮寄或现场领取。</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sz w:val="20"/>
                <w:szCs w:val="20"/>
                <w:highlight w:val="none"/>
                <w:u w:val="none" w:color="auto"/>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90" w:hRule="atLeast"/>
          <w:jc w:val="center"/>
        </w:trPr>
        <w:tc>
          <w:tcPr>
            <w:tcW w:w="52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2"/>
                <w:sz w:val="20"/>
                <w:szCs w:val="20"/>
                <w:highlight w:val="none"/>
                <w:u w:val="none" w:color="auto"/>
                <w:lang w:val="en-US" w:eastAsia="zh-CN" w:bidi="ar-SA"/>
              </w:rPr>
              <w:t>31</w:t>
            </w:r>
          </w:p>
        </w:tc>
        <w:tc>
          <w:tcPr>
            <w:tcW w:w="1112"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lang w:val="en-US" w:eastAsia="zh-CN"/>
              </w:rPr>
              <w:t>对社会团体活动行为的行政检查</w:t>
            </w:r>
          </w:p>
        </w:tc>
        <w:tc>
          <w:tcPr>
            <w:tcW w:w="5765" w:type="dxa"/>
            <w:vMerge w:val="restart"/>
            <w:noWrap w:val="0"/>
            <w:tcMar>
              <w:top w:w="15" w:type="dxa"/>
              <w:left w:w="15" w:type="dxa"/>
              <w:right w:w="15" w:type="dxa"/>
            </w:tcMar>
            <w:vAlign w:val="center"/>
          </w:tcPr>
          <w:p>
            <w:pPr>
              <w:pStyle w:val="2"/>
              <w:keepNext w:val="0"/>
              <w:keepLines w:val="0"/>
              <w:pageBreakBefore w:val="0"/>
              <w:widowControl w:val="0"/>
              <w:numPr>
                <w:ilvl w:val="0"/>
                <w:numId w:val="0"/>
              </w:numPr>
              <w:kinsoku/>
              <w:wordWrap/>
              <w:overflowPunct w:val="0"/>
              <w:topLinePunct w:val="0"/>
              <w:autoSpaceDE/>
              <w:autoSpaceDN/>
              <w:bidi w:val="0"/>
              <w:adjustRightInd/>
              <w:snapToGrid/>
              <w:spacing w:after="0" w:line="240" w:lineRule="exact"/>
              <w:ind w:firstLine="0" w:firstLineChars="0"/>
              <w:rPr>
                <w:rFonts w:hint="eastAsia" w:ascii="仿宋_GB2312" w:hAnsi="仿宋_GB2312" w:eastAsia="仿宋_GB2312" w:cs="仿宋_GB2312"/>
                <w:color w:val="auto"/>
                <w:sz w:val="20"/>
                <w:szCs w:val="20"/>
                <w:highlight w:val="none"/>
                <w:u w:val="none" w:color="auto"/>
                <w:lang w:eastAsia="zh-CN"/>
              </w:rPr>
            </w:pPr>
            <w:r>
              <w:rPr>
                <w:rFonts w:hint="eastAsia" w:ascii="仿宋_GB2312" w:hAnsi="仿宋_GB2312" w:eastAsia="仿宋_GB2312" w:cs="仿宋_GB2312"/>
                <w:color w:val="auto"/>
                <w:sz w:val="20"/>
                <w:szCs w:val="20"/>
                <w:highlight w:val="none"/>
                <w:u w:val="none" w:color="auto"/>
                <w:lang w:eastAsia="zh-CN"/>
              </w:rPr>
              <w:t>1．《社会团体登记管理条例》第二十四条：登记管理机关履行下列监督管理职责：（二）对社会团体实行年度检查；第二十八条：社会团体应当于每年3月31日前向业务主管单位报送上一年度的工作报告，经业务主管单位初审同意后，于5月31日前报送登记管理机关，接受年度检查。 《社会组织信用信息管理办法》（民政部令第60号）第十一条第一款　登记管理机关应当将有下列情形之一的社会组织列入活动异常名录：（三）登记管理机关在抽查和其他监督检查中发现问题，发放整改文书要求限期整改，社会组织未按期完成整改的。</w:t>
            </w:r>
          </w:p>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sz w:val="20"/>
                <w:szCs w:val="20"/>
                <w:highlight w:val="none"/>
                <w:u w:val="none" w:color="auto"/>
                <w:lang w:eastAsia="zh-CN"/>
              </w:rPr>
              <w:t>2．《慈善法》第十三条：“慈善组织应当每年向其登记的民政部门报送年度工作报告和财务会计报告”。第九十二条：“县级以上人民政府民政部门应当依法履行职责，对慈善活动进行监督检查，对慈善行业组织进行指导”。第九十五条：“县级以上人民政府民政部门应当建立慈善组织及其负责人信用记录制度，并向社会公布”。</w:t>
            </w:r>
          </w:p>
        </w:tc>
        <w:tc>
          <w:tcPr>
            <w:tcW w:w="440"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行政检查</w:t>
            </w: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sz w:val="20"/>
                <w:szCs w:val="20"/>
                <w:highlight w:val="none"/>
                <w:u w:val="none" w:color="auto"/>
                <w:lang w:val="en-US" w:eastAsia="zh-CN"/>
              </w:rPr>
              <w:t>受理</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受理责任：公示应当提交的材料；一次性告知补正材料；依法受理或不予受理（不予受理的告知原因）</w:t>
            </w:r>
            <w:r>
              <w:rPr>
                <w:rFonts w:hint="eastAsia" w:ascii="仿宋_GB2312" w:hAnsi="仿宋_GB2312" w:eastAsia="仿宋_GB2312" w:cs="仿宋_GB2312"/>
                <w:color w:val="auto"/>
                <w:kern w:val="0"/>
                <w:sz w:val="20"/>
                <w:szCs w:val="20"/>
                <w:highlight w:val="none"/>
                <w:u w:val="none" w:color="auto"/>
                <w:lang w:eastAsia="zh-CN"/>
              </w:rPr>
              <w:t>。</w:t>
            </w:r>
          </w:p>
        </w:tc>
        <w:tc>
          <w:tcPr>
            <w:tcW w:w="253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2"/>
                <w:sz w:val="20"/>
                <w:szCs w:val="20"/>
                <w:highlight w:val="none"/>
                <w:u w:val="none" w:color="auto"/>
                <w:lang w:val="en-US" w:eastAsia="zh-CN" w:bidi="ar-SA"/>
              </w:rPr>
              <w:t>不履行或不正确履行职责，有下列情形的行政机关及相关工作人员应承担相应的责任：</w:t>
            </w:r>
            <w:r>
              <w:rPr>
                <w:rFonts w:hint="eastAsia" w:ascii="仿宋_GB2312" w:hAnsi="仿宋_GB2312" w:eastAsia="仿宋_GB2312" w:cs="仿宋_GB2312"/>
                <w:color w:val="auto"/>
                <w:kern w:val="2"/>
                <w:sz w:val="20"/>
                <w:szCs w:val="20"/>
                <w:highlight w:val="none"/>
                <w:u w:val="none" w:color="auto"/>
                <w:lang w:val="en-US" w:eastAsia="zh-CN" w:bidi="ar-SA"/>
              </w:rPr>
              <w:br w:type="textWrapping"/>
            </w:r>
            <w:r>
              <w:rPr>
                <w:rFonts w:hint="eastAsia" w:ascii="仿宋_GB2312" w:hAnsi="仿宋_GB2312" w:eastAsia="仿宋_GB2312" w:cs="仿宋_GB2312"/>
                <w:color w:val="auto"/>
                <w:kern w:val="2"/>
                <w:sz w:val="20"/>
                <w:szCs w:val="20"/>
                <w:highlight w:val="none"/>
                <w:u w:val="none" w:color="auto"/>
                <w:lang w:val="en-US" w:eastAsia="zh-CN" w:bidi="ar-SA"/>
              </w:rPr>
              <w:t>1．对检查中发现或收到举报社会团体超出章程规定的宗旨和业务范围进行活动的，不履行或不正确履行职责，行政机关及相关工作人员应承担相应的责任。</w:t>
            </w:r>
          </w:p>
        </w:tc>
        <w:tc>
          <w:tcPr>
            <w:tcW w:w="934"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社会组织管理局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70"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审查</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审查责任：材料审查；提出初审意见。</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95"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决定责任：登记管理机关作出年检结论，对年检基本合格和年检不合格的书面告知申报单位。</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65"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送达</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送达责任：制作送达文书；按规定送达当事人，信息公开。</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37" w:hRule="atLeast"/>
          <w:jc w:val="center"/>
        </w:trPr>
        <w:tc>
          <w:tcPr>
            <w:tcW w:w="52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r>
              <w:rPr>
                <w:rFonts w:hint="eastAsia" w:ascii="仿宋_GB2312" w:hAnsi="仿宋_GB2312" w:eastAsia="仿宋_GB2312" w:cs="仿宋_GB2312"/>
                <w:color w:val="auto"/>
                <w:sz w:val="20"/>
                <w:szCs w:val="20"/>
                <w:highlight w:val="none"/>
                <w:u w:val="none" w:color="auto"/>
                <w:lang w:val="en-US" w:eastAsia="zh-CN"/>
              </w:rPr>
              <w:t>32</w:t>
            </w:r>
          </w:p>
        </w:tc>
        <w:tc>
          <w:tcPr>
            <w:tcW w:w="1112"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lang w:val="en-US" w:eastAsia="zh-CN"/>
              </w:rPr>
              <w:t>对</w:t>
            </w:r>
            <w:r>
              <w:rPr>
                <w:rFonts w:hint="eastAsia" w:ascii="仿宋_GB2312" w:hAnsi="仿宋_GB2312" w:eastAsia="仿宋_GB2312" w:cs="仿宋_GB2312"/>
                <w:color w:val="auto"/>
                <w:kern w:val="0"/>
                <w:sz w:val="20"/>
                <w:szCs w:val="20"/>
                <w:highlight w:val="none"/>
                <w:u w:val="none" w:color="auto"/>
              </w:rPr>
              <w:t>民办非企业单位</w:t>
            </w:r>
            <w:r>
              <w:rPr>
                <w:rFonts w:hint="eastAsia" w:ascii="仿宋_GB2312" w:hAnsi="仿宋_GB2312" w:eastAsia="仿宋_GB2312" w:cs="仿宋_GB2312"/>
                <w:color w:val="auto"/>
                <w:kern w:val="0"/>
                <w:sz w:val="20"/>
                <w:szCs w:val="20"/>
                <w:highlight w:val="none"/>
                <w:u w:val="none" w:color="auto"/>
                <w:lang w:val="en-US" w:eastAsia="zh-CN"/>
              </w:rPr>
              <w:t>活动行为的行政</w:t>
            </w:r>
            <w:r>
              <w:rPr>
                <w:rFonts w:hint="eastAsia" w:ascii="仿宋_GB2312" w:hAnsi="仿宋_GB2312" w:eastAsia="仿宋_GB2312" w:cs="仿宋_GB2312"/>
                <w:color w:val="auto"/>
                <w:kern w:val="0"/>
                <w:sz w:val="20"/>
                <w:szCs w:val="20"/>
                <w:highlight w:val="none"/>
                <w:u w:val="none" w:color="auto"/>
              </w:rPr>
              <w:t>检查</w:t>
            </w:r>
          </w:p>
        </w:tc>
        <w:tc>
          <w:tcPr>
            <w:tcW w:w="5765"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firstLine="0" w:firstLineChars="0"/>
              <w:jc w:val="left"/>
              <w:textAlignment w:val="center"/>
              <w:outlineLvl w:val="9"/>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lang w:val="en-US" w:eastAsia="zh-CN"/>
              </w:rPr>
              <w:t>1．</w:t>
            </w:r>
            <w:r>
              <w:rPr>
                <w:rFonts w:hint="eastAsia" w:ascii="仿宋_GB2312" w:hAnsi="仿宋_GB2312" w:eastAsia="仿宋_GB2312" w:cs="仿宋_GB2312"/>
                <w:color w:val="auto"/>
                <w:kern w:val="0"/>
                <w:sz w:val="20"/>
                <w:szCs w:val="20"/>
                <w:highlight w:val="none"/>
                <w:u w:val="none" w:color="auto"/>
              </w:rPr>
              <w:t xml:space="preserve">《民办非企业单位登记管理暂行条例》第十九条登记管理机关履行下列监督管理职责：（一）负责民办非企业单位的成立、变更、注销登记；（二）对民办非企业单位实施年度检查；（三）对民办非企业单位违反本条例的问题进行监督检查，对民办非企业单位违反本条例的行为给予行政处罚。 </w:t>
            </w:r>
          </w:p>
          <w:p>
            <w:pPr>
              <w:keepNext w:val="0"/>
              <w:keepLines w:val="0"/>
              <w:pageBreakBefore w:val="0"/>
              <w:widowControl w:val="0"/>
              <w:kinsoku/>
              <w:wordWrap/>
              <w:overflowPunct w:val="0"/>
              <w:topLinePunct w:val="0"/>
              <w:autoSpaceDE/>
              <w:autoSpaceDN/>
              <w:bidi w:val="0"/>
              <w:adjustRightInd/>
              <w:snapToGrid/>
              <w:spacing w:line="240" w:lineRule="exact"/>
              <w:ind w:left="0" w:leftChars="0" w:right="0" w:firstLine="0" w:firstLineChars="0"/>
              <w:jc w:val="left"/>
              <w:textAlignment w:val="center"/>
              <w:outlineLvl w:val="9"/>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lang w:val="en-US" w:eastAsia="zh-CN"/>
              </w:rPr>
              <w:t>2．</w:t>
            </w:r>
            <w:r>
              <w:rPr>
                <w:rFonts w:hint="eastAsia" w:ascii="仿宋_GB2312" w:hAnsi="仿宋_GB2312" w:eastAsia="仿宋_GB2312" w:cs="仿宋_GB2312"/>
                <w:color w:val="auto"/>
                <w:kern w:val="0"/>
                <w:sz w:val="20"/>
                <w:szCs w:val="20"/>
                <w:highlight w:val="none"/>
                <w:u w:val="none" w:color="auto"/>
              </w:rPr>
              <w:t xml:space="preserve">《社会组织信用信息管理办法》（民政部令第60号）第十一条第一款　登记管理机关应当将有下列情形之一的社会组织列入活动异常名录：（三）登记管理机关在抽查和其他监督检查中发现问题，发放整改文书要求限期整改，社会组织未按期完成整改的。 </w:t>
            </w:r>
          </w:p>
          <w:p>
            <w:pPr>
              <w:keepNext w:val="0"/>
              <w:keepLines w:val="0"/>
              <w:pageBreakBefore w:val="0"/>
              <w:widowControl w:val="0"/>
              <w:kinsoku/>
              <w:wordWrap/>
              <w:overflowPunct w:val="0"/>
              <w:topLinePunct w:val="0"/>
              <w:autoSpaceDE/>
              <w:autoSpaceDN/>
              <w:bidi w:val="0"/>
              <w:adjustRightInd/>
              <w:snapToGrid/>
              <w:spacing w:line="240" w:lineRule="exact"/>
              <w:ind w:left="0" w:leftChars="0" w:right="0" w:firstLine="0" w:firstLineChars="0"/>
              <w:jc w:val="left"/>
              <w:textAlignment w:val="center"/>
              <w:outlineLvl w:val="9"/>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lang w:val="en-US" w:eastAsia="zh-CN"/>
              </w:rPr>
              <w:t>3．</w:t>
            </w:r>
            <w:r>
              <w:rPr>
                <w:rFonts w:hint="eastAsia" w:ascii="仿宋_GB2312" w:hAnsi="仿宋_GB2312" w:eastAsia="仿宋_GB2312" w:cs="仿宋_GB2312"/>
                <w:color w:val="auto"/>
                <w:kern w:val="0"/>
                <w:sz w:val="20"/>
                <w:szCs w:val="20"/>
                <w:highlight w:val="none"/>
                <w:u w:val="none" w:color="auto"/>
              </w:rPr>
              <w:t>《慈善法》第十三条：</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慈善组织应当每年向其登记的民政部门报送年度工作报告和财务会计报告</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。第九十二条：</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县级以上人民政府民政部门应当依法履行职责，对慈善活动进行监督检查，对慈善行业组织进行指导</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。第九十五条：</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县级以上人民政府民政部门应当建立慈善组织及其负责人信用记录制度，并向社会公布</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w:t>
            </w:r>
          </w:p>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企业单位</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登记管理机关对其应当简化年度检查的内容。</w:t>
            </w:r>
          </w:p>
        </w:tc>
        <w:tc>
          <w:tcPr>
            <w:tcW w:w="440"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行政检查</w:t>
            </w: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受理</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受理责任：公示应当提交的材料；一次性告知补正材料；依法受理或不予受理（不予受理的告知原因）</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w:t>
            </w:r>
          </w:p>
        </w:tc>
        <w:tc>
          <w:tcPr>
            <w:tcW w:w="253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不履行或不正确履行职责，有下列情形的行政机关及相关工作人员应承担相应的责任：</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1</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对检查中发现或收到举报违反国家有关规定收取费用、筹集资金或者接受使用捐赠、资助的，不履行或不正确履行职责，行政机关及相关工作人员应承担相应的责任。</w:t>
            </w:r>
          </w:p>
        </w:tc>
        <w:tc>
          <w:tcPr>
            <w:tcW w:w="934"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社会组织管理局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4"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审查</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审查责任：材料审查；提出初审意见。</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37"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决定责任：登记管理机关作出年检结论，对年检基本合格和年检不合格的书面告知申报单位。</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37"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送达</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送达责任：制作送达文书；按规定送达当事人，信息公开。</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37"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事后监管</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事后监管责任：监督民办非企业单位依法开展活动。</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95"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其他法律法规规章文件规定应履行的责任。</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61" w:hRule="atLeast"/>
          <w:jc w:val="center"/>
        </w:trPr>
        <w:tc>
          <w:tcPr>
            <w:tcW w:w="52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r>
              <w:rPr>
                <w:rFonts w:hint="eastAsia" w:ascii="仿宋_GB2312" w:hAnsi="仿宋_GB2312" w:eastAsia="仿宋_GB2312" w:cs="仿宋_GB2312"/>
                <w:color w:val="auto"/>
                <w:sz w:val="20"/>
                <w:szCs w:val="20"/>
                <w:highlight w:val="none"/>
                <w:u w:val="none" w:color="auto"/>
                <w:lang w:val="en-US" w:eastAsia="zh-CN"/>
              </w:rPr>
              <w:t>33</w:t>
            </w:r>
          </w:p>
        </w:tc>
        <w:tc>
          <w:tcPr>
            <w:tcW w:w="1112"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lang w:val="en-US" w:eastAsia="zh-CN"/>
              </w:rPr>
              <w:t>对慈善组织活动的行政检查</w:t>
            </w:r>
          </w:p>
        </w:tc>
        <w:tc>
          <w:tcPr>
            <w:tcW w:w="5765"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10" w:lineRule="exact"/>
              <w:ind w:right="0" w:firstLine="0" w:firstLineChars="0"/>
              <w:jc w:val="left"/>
              <w:textAlignment w:val="center"/>
              <w:outlineLvl w:val="9"/>
              <w:rPr>
                <w:rFonts w:hint="eastAsia" w:ascii="仿宋_GB2312" w:hAnsi="仿宋_GB2312" w:eastAsia="仿宋_GB2312" w:cs="仿宋_GB2312"/>
                <w:color w:val="auto"/>
                <w:kern w:val="0"/>
                <w:sz w:val="18"/>
                <w:szCs w:val="18"/>
                <w:highlight w:val="none"/>
                <w:u w:val="none" w:color="auto"/>
              </w:rPr>
            </w:pPr>
            <w:r>
              <w:rPr>
                <w:rFonts w:hint="eastAsia" w:ascii="仿宋_GB2312" w:hAnsi="仿宋_GB2312" w:eastAsia="仿宋_GB2312" w:cs="仿宋_GB2312"/>
                <w:color w:val="auto"/>
                <w:kern w:val="0"/>
                <w:sz w:val="20"/>
                <w:szCs w:val="20"/>
                <w:highlight w:val="none"/>
                <w:u w:val="none" w:color="auto"/>
              </w:rPr>
              <w:t>1</w:t>
            </w:r>
            <w:r>
              <w:rPr>
                <w:rFonts w:hint="eastAsia" w:ascii="仿宋_GB2312" w:hAnsi="仿宋_GB2312" w:eastAsia="仿宋_GB2312" w:cs="仿宋_GB2312"/>
                <w:color w:val="auto"/>
                <w:kern w:val="0"/>
                <w:sz w:val="18"/>
                <w:szCs w:val="18"/>
                <w:highlight w:val="none"/>
                <w:u w:val="none" w:color="auto"/>
                <w:lang w:eastAsia="zh-CN"/>
              </w:rPr>
              <w:t>．</w:t>
            </w:r>
            <w:r>
              <w:rPr>
                <w:rFonts w:hint="eastAsia" w:ascii="仿宋_GB2312" w:hAnsi="仿宋_GB2312" w:eastAsia="仿宋_GB2312" w:cs="仿宋_GB2312"/>
                <w:color w:val="auto"/>
                <w:kern w:val="0"/>
                <w:sz w:val="18"/>
                <w:szCs w:val="18"/>
                <w:highlight w:val="none"/>
                <w:u w:val="none" w:color="auto"/>
              </w:rPr>
              <w:t>《慈善法》第十三条：</w:t>
            </w:r>
            <w:r>
              <w:rPr>
                <w:rFonts w:hint="eastAsia" w:ascii="仿宋_GB2312" w:hAnsi="仿宋_GB2312" w:eastAsia="仿宋_GB2312" w:cs="仿宋_GB2312"/>
                <w:color w:val="auto"/>
                <w:kern w:val="0"/>
                <w:sz w:val="18"/>
                <w:szCs w:val="18"/>
                <w:highlight w:val="none"/>
                <w:u w:val="none" w:color="auto"/>
                <w:lang w:eastAsia="zh-CN"/>
              </w:rPr>
              <w:t>“</w:t>
            </w:r>
            <w:r>
              <w:rPr>
                <w:rFonts w:hint="eastAsia" w:ascii="仿宋_GB2312" w:hAnsi="仿宋_GB2312" w:eastAsia="仿宋_GB2312" w:cs="仿宋_GB2312"/>
                <w:color w:val="auto"/>
                <w:kern w:val="0"/>
                <w:sz w:val="18"/>
                <w:szCs w:val="18"/>
                <w:highlight w:val="none"/>
                <w:u w:val="none" w:color="auto"/>
              </w:rPr>
              <w:t>慈善组织应当每年向其登记的民政部门报送年度工作报告和财务会计报告</w:t>
            </w:r>
            <w:r>
              <w:rPr>
                <w:rFonts w:hint="eastAsia" w:ascii="仿宋_GB2312" w:hAnsi="仿宋_GB2312" w:eastAsia="仿宋_GB2312" w:cs="仿宋_GB2312"/>
                <w:color w:val="auto"/>
                <w:kern w:val="0"/>
                <w:sz w:val="18"/>
                <w:szCs w:val="18"/>
                <w:highlight w:val="none"/>
                <w:u w:val="none" w:color="auto"/>
                <w:lang w:eastAsia="zh-CN"/>
              </w:rPr>
              <w:t>”</w:t>
            </w:r>
            <w:r>
              <w:rPr>
                <w:rFonts w:hint="eastAsia" w:ascii="仿宋_GB2312" w:hAnsi="仿宋_GB2312" w:eastAsia="仿宋_GB2312" w:cs="仿宋_GB2312"/>
                <w:color w:val="auto"/>
                <w:kern w:val="0"/>
                <w:sz w:val="18"/>
                <w:szCs w:val="18"/>
                <w:highlight w:val="none"/>
                <w:u w:val="none" w:color="auto"/>
              </w:rPr>
              <w:t>。第九十二条：</w:t>
            </w:r>
            <w:r>
              <w:rPr>
                <w:rFonts w:hint="eastAsia" w:ascii="仿宋_GB2312" w:hAnsi="仿宋_GB2312" w:eastAsia="仿宋_GB2312" w:cs="仿宋_GB2312"/>
                <w:color w:val="auto"/>
                <w:kern w:val="0"/>
                <w:sz w:val="18"/>
                <w:szCs w:val="18"/>
                <w:highlight w:val="none"/>
                <w:u w:val="none" w:color="auto"/>
                <w:lang w:eastAsia="zh-CN"/>
              </w:rPr>
              <w:t>“</w:t>
            </w:r>
            <w:r>
              <w:rPr>
                <w:rFonts w:hint="eastAsia" w:ascii="仿宋_GB2312" w:hAnsi="仿宋_GB2312" w:eastAsia="仿宋_GB2312" w:cs="仿宋_GB2312"/>
                <w:color w:val="auto"/>
                <w:kern w:val="0"/>
                <w:sz w:val="18"/>
                <w:szCs w:val="18"/>
                <w:highlight w:val="none"/>
                <w:u w:val="none" w:color="auto"/>
              </w:rPr>
              <w:t>县级以上人民政府民政部门应当依法履行职责，对慈善活动进行监督检查，对慈善行业组织进行指导</w:t>
            </w:r>
            <w:r>
              <w:rPr>
                <w:rFonts w:hint="eastAsia" w:ascii="仿宋_GB2312" w:hAnsi="仿宋_GB2312" w:eastAsia="仿宋_GB2312" w:cs="仿宋_GB2312"/>
                <w:color w:val="auto"/>
                <w:kern w:val="0"/>
                <w:sz w:val="18"/>
                <w:szCs w:val="18"/>
                <w:highlight w:val="none"/>
                <w:u w:val="none" w:color="auto"/>
                <w:lang w:eastAsia="zh-CN"/>
              </w:rPr>
              <w:t>”</w:t>
            </w:r>
            <w:r>
              <w:rPr>
                <w:rFonts w:hint="eastAsia" w:ascii="仿宋_GB2312" w:hAnsi="仿宋_GB2312" w:eastAsia="仿宋_GB2312" w:cs="仿宋_GB2312"/>
                <w:color w:val="auto"/>
                <w:kern w:val="0"/>
                <w:sz w:val="18"/>
                <w:szCs w:val="18"/>
                <w:highlight w:val="none"/>
                <w:u w:val="none" w:color="auto"/>
              </w:rPr>
              <w:t>。第九十五条：</w:t>
            </w:r>
            <w:r>
              <w:rPr>
                <w:rFonts w:hint="eastAsia" w:ascii="仿宋_GB2312" w:hAnsi="仿宋_GB2312" w:eastAsia="仿宋_GB2312" w:cs="仿宋_GB2312"/>
                <w:color w:val="auto"/>
                <w:kern w:val="0"/>
                <w:sz w:val="18"/>
                <w:szCs w:val="18"/>
                <w:highlight w:val="none"/>
                <w:u w:val="none" w:color="auto"/>
                <w:lang w:eastAsia="zh-CN"/>
              </w:rPr>
              <w:t>“</w:t>
            </w:r>
            <w:r>
              <w:rPr>
                <w:rFonts w:hint="eastAsia" w:ascii="仿宋_GB2312" w:hAnsi="仿宋_GB2312" w:eastAsia="仿宋_GB2312" w:cs="仿宋_GB2312"/>
                <w:color w:val="auto"/>
                <w:kern w:val="0"/>
                <w:sz w:val="18"/>
                <w:szCs w:val="18"/>
                <w:highlight w:val="none"/>
                <w:u w:val="none" w:color="auto"/>
              </w:rPr>
              <w:t>县级以上人民政府民政部门应当建立慈善组织及其负责人信用记录制度，并向社会公布</w:t>
            </w:r>
            <w:r>
              <w:rPr>
                <w:rFonts w:hint="eastAsia" w:ascii="仿宋_GB2312" w:hAnsi="仿宋_GB2312" w:eastAsia="仿宋_GB2312" w:cs="仿宋_GB2312"/>
                <w:color w:val="auto"/>
                <w:kern w:val="0"/>
                <w:sz w:val="18"/>
                <w:szCs w:val="18"/>
                <w:highlight w:val="none"/>
                <w:u w:val="none" w:color="auto"/>
                <w:lang w:eastAsia="zh-CN"/>
              </w:rPr>
              <w:t>”</w:t>
            </w:r>
            <w:r>
              <w:rPr>
                <w:rFonts w:hint="eastAsia" w:ascii="仿宋_GB2312" w:hAnsi="仿宋_GB2312" w:eastAsia="仿宋_GB2312" w:cs="仿宋_GB2312"/>
                <w:color w:val="auto"/>
                <w:kern w:val="0"/>
                <w:sz w:val="18"/>
                <w:szCs w:val="18"/>
                <w:highlight w:val="none"/>
                <w:u w:val="none" w:color="auto"/>
              </w:rPr>
              <w:t>。</w:t>
            </w:r>
          </w:p>
          <w:p>
            <w:pPr>
              <w:keepNext w:val="0"/>
              <w:keepLines w:val="0"/>
              <w:pageBreakBefore w:val="0"/>
              <w:widowControl w:val="0"/>
              <w:kinsoku/>
              <w:wordWrap/>
              <w:overflowPunct w:val="0"/>
              <w:topLinePunct w:val="0"/>
              <w:autoSpaceDE/>
              <w:autoSpaceDN/>
              <w:bidi w:val="0"/>
              <w:adjustRightInd/>
              <w:snapToGrid/>
              <w:spacing w:line="210" w:lineRule="exact"/>
              <w:ind w:right="0" w:firstLine="0" w:firstLineChars="0"/>
              <w:jc w:val="left"/>
              <w:textAlignment w:val="center"/>
              <w:outlineLvl w:val="9"/>
              <w:rPr>
                <w:rFonts w:hint="eastAsia" w:ascii="仿宋_GB2312" w:hAnsi="仿宋_GB2312" w:eastAsia="仿宋_GB2312" w:cs="仿宋_GB2312"/>
                <w:color w:val="auto"/>
                <w:kern w:val="0"/>
                <w:sz w:val="18"/>
                <w:szCs w:val="18"/>
                <w:highlight w:val="none"/>
                <w:u w:val="none" w:color="auto"/>
              </w:rPr>
            </w:pPr>
            <w:r>
              <w:rPr>
                <w:rFonts w:hint="eastAsia" w:ascii="仿宋_GB2312" w:hAnsi="仿宋_GB2312" w:eastAsia="仿宋_GB2312" w:cs="仿宋_GB2312"/>
                <w:color w:val="auto"/>
                <w:kern w:val="0"/>
                <w:sz w:val="18"/>
                <w:szCs w:val="18"/>
                <w:highlight w:val="none"/>
                <w:u w:val="none" w:color="auto"/>
              </w:rPr>
              <w:t>2</w:t>
            </w:r>
            <w:r>
              <w:rPr>
                <w:rFonts w:hint="eastAsia" w:ascii="仿宋_GB2312" w:hAnsi="仿宋_GB2312" w:eastAsia="仿宋_GB2312" w:cs="仿宋_GB2312"/>
                <w:color w:val="auto"/>
                <w:kern w:val="0"/>
                <w:sz w:val="18"/>
                <w:szCs w:val="18"/>
                <w:highlight w:val="none"/>
                <w:u w:val="none" w:color="auto"/>
                <w:lang w:eastAsia="zh-CN"/>
              </w:rPr>
              <w:t>．</w:t>
            </w:r>
            <w:r>
              <w:rPr>
                <w:rFonts w:hint="eastAsia" w:ascii="仿宋_GB2312" w:hAnsi="仿宋_GB2312" w:eastAsia="仿宋_GB2312" w:cs="仿宋_GB2312"/>
                <w:color w:val="auto"/>
                <w:kern w:val="0"/>
                <w:sz w:val="18"/>
                <w:szCs w:val="18"/>
                <w:highlight w:val="none"/>
                <w:u w:val="none" w:color="auto"/>
              </w:rPr>
              <w:t>《基金会管理条例》第三十四条：</w:t>
            </w:r>
            <w:r>
              <w:rPr>
                <w:rFonts w:hint="eastAsia" w:ascii="仿宋_GB2312" w:hAnsi="仿宋_GB2312" w:eastAsia="仿宋_GB2312" w:cs="仿宋_GB2312"/>
                <w:color w:val="auto"/>
                <w:kern w:val="0"/>
                <w:sz w:val="18"/>
                <w:szCs w:val="18"/>
                <w:highlight w:val="none"/>
                <w:u w:val="none" w:color="auto"/>
                <w:lang w:eastAsia="zh-CN"/>
              </w:rPr>
              <w:t>“</w:t>
            </w:r>
            <w:r>
              <w:rPr>
                <w:rFonts w:hint="eastAsia" w:ascii="仿宋_GB2312" w:hAnsi="仿宋_GB2312" w:eastAsia="仿宋_GB2312" w:cs="仿宋_GB2312"/>
                <w:color w:val="auto"/>
                <w:kern w:val="0"/>
                <w:sz w:val="18"/>
                <w:szCs w:val="18"/>
                <w:highlight w:val="none"/>
                <w:u w:val="none" w:color="auto"/>
              </w:rPr>
              <w:t>基金会登记管理机关履行下列监督管理职责：（一）对基金会、境外基金会代表机构实施年度检查；（二）对基金会、境外基金会代表机构依照本条例及其章程开展活动的情况进行日常监督管理</w:t>
            </w:r>
            <w:r>
              <w:rPr>
                <w:rFonts w:hint="eastAsia" w:ascii="仿宋_GB2312" w:hAnsi="仿宋_GB2312" w:eastAsia="仿宋_GB2312" w:cs="仿宋_GB2312"/>
                <w:color w:val="auto"/>
                <w:kern w:val="0"/>
                <w:sz w:val="18"/>
                <w:szCs w:val="18"/>
                <w:highlight w:val="none"/>
                <w:u w:val="none" w:color="auto"/>
                <w:lang w:eastAsia="zh-CN"/>
              </w:rPr>
              <w:t>”</w:t>
            </w:r>
            <w:r>
              <w:rPr>
                <w:rFonts w:hint="eastAsia" w:ascii="仿宋_GB2312" w:hAnsi="仿宋_GB2312" w:eastAsia="仿宋_GB2312" w:cs="仿宋_GB2312"/>
                <w:color w:val="auto"/>
                <w:kern w:val="0"/>
                <w:sz w:val="18"/>
                <w:szCs w:val="18"/>
                <w:highlight w:val="none"/>
                <w:u w:val="none" w:color="auto"/>
              </w:rPr>
              <w:t>。第三十六条：</w:t>
            </w:r>
            <w:r>
              <w:rPr>
                <w:rFonts w:hint="eastAsia" w:ascii="仿宋_GB2312" w:hAnsi="仿宋_GB2312" w:eastAsia="仿宋_GB2312" w:cs="仿宋_GB2312"/>
                <w:color w:val="auto"/>
                <w:kern w:val="0"/>
                <w:sz w:val="18"/>
                <w:szCs w:val="18"/>
                <w:highlight w:val="none"/>
                <w:u w:val="none" w:color="auto"/>
                <w:lang w:eastAsia="zh-CN"/>
              </w:rPr>
              <w:t>“</w:t>
            </w:r>
            <w:r>
              <w:rPr>
                <w:rFonts w:hint="eastAsia" w:ascii="仿宋_GB2312" w:hAnsi="仿宋_GB2312" w:eastAsia="仿宋_GB2312" w:cs="仿宋_GB2312"/>
                <w:color w:val="auto"/>
                <w:kern w:val="0"/>
                <w:sz w:val="18"/>
                <w:szCs w:val="18"/>
                <w:highlight w:val="none"/>
                <w:u w:val="none" w:color="auto"/>
              </w:rPr>
              <w:t>基金会、境外基金会代表机构应当于每年3月31日前</w:t>
            </w:r>
            <w:r>
              <w:rPr>
                <w:rFonts w:hint="eastAsia" w:ascii="仿宋_GB2312" w:hAnsi="仿宋_GB2312" w:eastAsia="仿宋_GB2312" w:cs="仿宋_GB2312"/>
                <w:color w:val="auto"/>
                <w:kern w:val="0"/>
                <w:sz w:val="18"/>
                <w:szCs w:val="18"/>
                <w:highlight w:val="none"/>
                <w:u w:val="none" w:color="auto"/>
                <w:lang w:eastAsia="zh-CN"/>
              </w:rPr>
              <w:t>向</w:t>
            </w:r>
            <w:r>
              <w:rPr>
                <w:rFonts w:hint="eastAsia" w:ascii="仿宋_GB2312" w:hAnsi="仿宋_GB2312" w:eastAsia="仿宋_GB2312" w:cs="仿宋_GB2312"/>
                <w:color w:val="auto"/>
                <w:kern w:val="0"/>
                <w:sz w:val="18"/>
                <w:szCs w:val="18"/>
                <w:highlight w:val="none"/>
                <w:u w:val="none" w:color="auto"/>
              </w:rPr>
              <w:t>登记管理机关报送上一年度工作报告、接受年度检查。年度工作报告在报送登记管理机关前应当经业务主管单位审查同意。年度工作报告应当包括：财务会计报告、注册会计师审计报告，开展募捐、接受捐赠、提供资助等活动的情况以及人员和机构的变动情况等</w:t>
            </w:r>
            <w:r>
              <w:rPr>
                <w:rFonts w:hint="eastAsia" w:ascii="仿宋_GB2312" w:hAnsi="仿宋_GB2312" w:eastAsia="仿宋_GB2312" w:cs="仿宋_GB2312"/>
                <w:color w:val="auto"/>
                <w:kern w:val="0"/>
                <w:sz w:val="18"/>
                <w:szCs w:val="18"/>
                <w:highlight w:val="none"/>
                <w:u w:val="none" w:color="auto"/>
                <w:lang w:eastAsia="zh-CN"/>
              </w:rPr>
              <w:t>”</w:t>
            </w:r>
            <w:r>
              <w:rPr>
                <w:rFonts w:hint="eastAsia" w:ascii="仿宋_GB2312" w:hAnsi="仿宋_GB2312" w:eastAsia="仿宋_GB2312" w:cs="仿宋_GB2312"/>
                <w:color w:val="auto"/>
                <w:kern w:val="0"/>
                <w:sz w:val="18"/>
                <w:szCs w:val="18"/>
                <w:highlight w:val="none"/>
                <w:u w:val="none" w:color="auto"/>
              </w:rPr>
              <w:t>。</w:t>
            </w:r>
          </w:p>
          <w:p>
            <w:pPr>
              <w:keepNext w:val="0"/>
              <w:keepLines w:val="0"/>
              <w:pageBreakBefore w:val="0"/>
              <w:widowControl w:val="0"/>
              <w:kinsoku/>
              <w:wordWrap/>
              <w:overflowPunct w:val="0"/>
              <w:topLinePunct w:val="0"/>
              <w:autoSpaceDE/>
              <w:autoSpaceDN/>
              <w:bidi w:val="0"/>
              <w:adjustRightInd/>
              <w:snapToGrid/>
              <w:spacing w:line="210" w:lineRule="exact"/>
              <w:ind w:right="0" w:firstLine="0" w:firstLineChars="0"/>
              <w:jc w:val="left"/>
              <w:textAlignment w:val="center"/>
              <w:outlineLvl w:val="9"/>
              <w:rPr>
                <w:rFonts w:hint="eastAsia" w:ascii="仿宋_GB2312" w:hAnsi="仿宋_GB2312" w:eastAsia="仿宋_GB2312" w:cs="仿宋_GB2312"/>
                <w:color w:val="auto"/>
                <w:kern w:val="0"/>
                <w:sz w:val="18"/>
                <w:szCs w:val="18"/>
                <w:highlight w:val="none"/>
                <w:u w:val="none" w:color="auto"/>
              </w:rPr>
            </w:pPr>
            <w:r>
              <w:rPr>
                <w:rFonts w:hint="eastAsia" w:ascii="仿宋_GB2312" w:hAnsi="仿宋_GB2312" w:eastAsia="仿宋_GB2312" w:cs="仿宋_GB2312"/>
                <w:color w:val="auto"/>
                <w:kern w:val="0"/>
                <w:sz w:val="18"/>
                <w:szCs w:val="18"/>
                <w:highlight w:val="none"/>
                <w:u w:val="none" w:color="auto"/>
              </w:rPr>
              <w:t>3</w:t>
            </w:r>
            <w:r>
              <w:rPr>
                <w:rFonts w:hint="eastAsia" w:ascii="仿宋_GB2312" w:hAnsi="仿宋_GB2312" w:eastAsia="仿宋_GB2312" w:cs="仿宋_GB2312"/>
                <w:color w:val="auto"/>
                <w:kern w:val="0"/>
                <w:sz w:val="18"/>
                <w:szCs w:val="18"/>
                <w:highlight w:val="none"/>
                <w:u w:val="none" w:color="auto"/>
                <w:lang w:eastAsia="zh-CN"/>
              </w:rPr>
              <w:t>．</w:t>
            </w:r>
            <w:r>
              <w:rPr>
                <w:rFonts w:hint="eastAsia" w:ascii="仿宋_GB2312" w:hAnsi="仿宋_GB2312" w:eastAsia="仿宋_GB2312" w:cs="仿宋_GB2312"/>
                <w:color w:val="auto"/>
                <w:kern w:val="0"/>
                <w:sz w:val="18"/>
                <w:szCs w:val="18"/>
                <w:highlight w:val="none"/>
                <w:u w:val="none" w:color="auto"/>
              </w:rPr>
              <w:t>《社会组织信用信息管理办法》第十一条：</w:t>
            </w:r>
            <w:r>
              <w:rPr>
                <w:rFonts w:hint="eastAsia" w:ascii="仿宋_GB2312" w:hAnsi="仿宋_GB2312" w:eastAsia="仿宋_GB2312" w:cs="仿宋_GB2312"/>
                <w:color w:val="auto"/>
                <w:kern w:val="0"/>
                <w:sz w:val="18"/>
                <w:szCs w:val="18"/>
                <w:highlight w:val="none"/>
                <w:u w:val="none" w:color="auto"/>
                <w:lang w:eastAsia="zh-CN"/>
              </w:rPr>
              <w:t>“</w:t>
            </w:r>
            <w:r>
              <w:rPr>
                <w:rFonts w:hint="eastAsia" w:ascii="仿宋_GB2312" w:hAnsi="仿宋_GB2312" w:eastAsia="仿宋_GB2312" w:cs="仿宋_GB2312"/>
                <w:color w:val="auto"/>
                <w:kern w:val="0"/>
                <w:sz w:val="18"/>
                <w:szCs w:val="18"/>
                <w:highlight w:val="none"/>
                <w:u w:val="none" w:color="auto"/>
              </w:rPr>
              <w:t xml:space="preserve"> 登记管理机关应当将有下列情形之一的社会组织列入活动异常名录：（一）未按照规定时限和要求向登记管理机关报送年度工作报告的；（二）未按照有关规定设立党组织的；（三）登记管理机关在抽查和其他监督检查中发现问题，发放整改文书要求限期整改</w:t>
            </w:r>
          </w:p>
          <w:p>
            <w:pPr>
              <w:keepNext w:val="0"/>
              <w:keepLines w:val="0"/>
              <w:pageBreakBefore w:val="0"/>
              <w:widowControl w:val="0"/>
              <w:kinsoku/>
              <w:wordWrap/>
              <w:overflowPunct w:val="0"/>
              <w:topLinePunct w:val="0"/>
              <w:autoSpaceDE/>
              <w:autoSpaceDN/>
              <w:bidi w:val="0"/>
              <w:adjustRightInd/>
              <w:snapToGrid/>
              <w:spacing w:line="210" w:lineRule="exact"/>
              <w:ind w:right="0" w:firstLine="0" w:firstLineChars="0"/>
              <w:jc w:val="left"/>
              <w:textAlignment w:val="center"/>
              <w:outlineLvl w:val="9"/>
              <w:rPr>
                <w:rFonts w:hint="eastAsia" w:ascii="仿宋_GB2312" w:hAnsi="仿宋_GB2312" w:eastAsia="仿宋_GB2312" w:cs="仿宋_GB2312"/>
                <w:color w:val="auto"/>
                <w:kern w:val="0"/>
                <w:sz w:val="18"/>
                <w:szCs w:val="18"/>
                <w:highlight w:val="none"/>
                <w:u w:val="none" w:color="auto"/>
              </w:rPr>
            </w:pPr>
            <w:r>
              <w:rPr>
                <w:rFonts w:hint="eastAsia" w:ascii="仿宋_GB2312" w:hAnsi="仿宋_GB2312" w:eastAsia="仿宋_GB2312" w:cs="仿宋_GB2312"/>
                <w:color w:val="auto"/>
                <w:kern w:val="0"/>
                <w:sz w:val="18"/>
                <w:szCs w:val="18"/>
                <w:highlight w:val="none"/>
                <w:u w:val="none" w:color="auto"/>
              </w:rPr>
              <w:t>社会组织未按期完成整改的；（四）具有公开募捐资格的慈善组织，存在《慈善组织公开募捐管理办法》第二十一条规定情形的；（五）受到警告或者不满5万元罚款处罚的</w:t>
            </w:r>
            <w:r>
              <w:rPr>
                <w:rFonts w:hint="eastAsia" w:ascii="仿宋_GB2312" w:hAnsi="仿宋_GB2312" w:eastAsia="仿宋_GB2312" w:cs="仿宋_GB2312"/>
                <w:color w:val="auto"/>
                <w:kern w:val="0"/>
                <w:sz w:val="18"/>
                <w:szCs w:val="18"/>
                <w:highlight w:val="none"/>
                <w:u w:val="none" w:color="auto"/>
                <w:lang w:eastAsia="zh-CN"/>
              </w:rPr>
              <w:t>；</w:t>
            </w:r>
            <w:r>
              <w:rPr>
                <w:rFonts w:hint="eastAsia" w:ascii="仿宋_GB2312" w:hAnsi="仿宋_GB2312" w:eastAsia="仿宋_GB2312" w:cs="仿宋_GB2312"/>
                <w:color w:val="auto"/>
                <w:kern w:val="0"/>
                <w:sz w:val="18"/>
                <w:szCs w:val="18"/>
                <w:highlight w:val="none"/>
                <w:u w:val="none" w:color="auto"/>
              </w:rPr>
              <w:t>（六）通过登记的住所无法与社会组织取得联系的；（七）法律、行政法规规定应当列入的其他情形。第十五条</w:t>
            </w:r>
            <w:r>
              <w:rPr>
                <w:rFonts w:hint="eastAsia" w:ascii="仿宋_GB2312" w:hAnsi="仿宋_GB2312" w:eastAsia="仿宋_GB2312" w:cs="仿宋_GB2312"/>
                <w:color w:val="auto"/>
                <w:kern w:val="0"/>
                <w:sz w:val="18"/>
                <w:szCs w:val="18"/>
                <w:highlight w:val="none"/>
                <w:u w:val="none" w:color="auto"/>
                <w:lang w:eastAsia="zh-CN"/>
              </w:rPr>
              <w:t>：“</w:t>
            </w:r>
            <w:r>
              <w:rPr>
                <w:rFonts w:hint="eastAsia" w:ascii="仿宋_GB2312" w:hAnsi="仿宋_GB2312" w:eastAsia="仿宋_GB2312" w:cs="仿宋_GB2312"/>
                <w:color w:val="auto"/>
                <w:kern w:val="0"/>
                <w:sz w:val="18"/>
                <w:szCs w:val="18"/>
                <w:highlight w:val="none"/>
                <w:u w:val="none" w:color="auto"/>
              </w:rPr>
              <w:t>登记管理机关应当将有下列情形之一的社会组织列入严重违法失信名单：（一）被列入活动异常名录满2年的；（二）弄虚作假办理变更登记，被撤销变更登记的；（三）受到限期停止活动行政处罚的；（四）受到5万元以上罚款处罚的；（五）三年内两次以上受到警告或者不满5万元罚款处罚的；（六）被司法机关纳入</w:t>
            </w:r>
            <w:r>
              <w:rPr>
                <w:rFonts w:hint="eastAsia" w:ascii="仿宋_GB2312" w:hAnsi="仿宋_GB2312" w:eastAsia="仿宋_GB2312" w:cs="仿宋_GB2312"/>
                <w:color w:val="auto"/>
                <w:kern w:val="0"/>
                <w:sz w:val="18"/>
                <w:szCs w:val="18"/>
                <w:highlight w:val="none"/>
                <w:u w:val="none" w:color="auto"/>
                <w:lang w:eastAsia="zh-CN"/>
              </w:rPr>
              <w:t>“</w:t>
            </w:r>
            <w:r>
              <w:rPr>
                <w:rFonts w:hint="eastAsia" w:ascii="仿宋_GB2312" w:hAnsi="仿宋_GB2312" w:eastAsia="仿宋_GB2312" w:cs="仿宋_GB2312"/>
                <w:color w:val="auto"/>
                <w:kern w:val="0"/>
                <w:sz w:val="18"/>
                <w:szCs w:val="18"/>
                <w:highlight w:val="none"/>
                <w:u w:val="none" w:color="auto"/>
              </w:rPr>
              <w:t>失信被执行人</w:t>
            </w:r>
            <w:r>
              <w:rPr>
                <w:rFonts w:hint="eastAsia" w:ascii="仿宋_GB2312" w:hAnsi="仿宋_GB2312" w:eastAsia="仿宋_GB2312" w:cs="仿宋_GB2312"/>
                <w:color w:val="auto"/>
                <w:kern w:val="0"/>
                <w:sz w:val="18"/>
                <w:szCs w:val="18"/>
                <w:highlight w:val="none"/>
                <w:u w:val="none" w:color="auto"/>
                <w:lang w:eastAsia="zh-CN"/>
              </w:rPr>
              <w:t>”</w:t>
            </w:r>
            <w:r>
              <w:rPr>
                <w:rFonts w:hint="eastAsia" w:ascii="仿宋_GB2312" w:hAnsi="仿宋_GB2312" w:eastAsia="仿宋_GB2312" w:cs="仿宋_GB2312"/>
                <w:color w:val="auto"/>
                <w:kern w:val="0"/>
                <w:sz w:val="18"/>
                <w:szCs w:val="18"/>
                <w:highlight w:val="none"/>
                <w:u w:val="none" w:color="auto"/>
              </w:rPr>
              <w:t>名单的；（七）被登记管理机关作出吊销登记证书、撤销成（设）立登记决定的；（八）法律、行政法规规定应当列入的其他情形</w:t>
            </w:r>
            <w:r>
              <w:rPr>
                <w:rFonts w:hint="eastAsia" w:ascii="仿宋_GB2312" w:hAnsi="仿宋_GB2312" w:eastAsia="仿宋_GB2312" w:cs="仿宋_GB2312"/>
                <w:color w:val="auto"/>
                <w:kern w:val="0"/>
                <w:sz w:val="18"/>
                <w:szCs w:val="18"/>
                <w:highlight w:val="none"/>
                <w:u w:val="none" w:color="auto"/>
                <w:lang w:eastAsia="zh-CN"/>
              </w:rPr>
              <w:t>”</w:t>
            </w:r>
            <w:r>
              <w:rPr>
                <w:rFonts w:hint="eastAsia" w:ascii="仿宋_GB2312" w:hAnsi="仿宋_GB2312" w:eastAsia="仿宋_GB2312" w:cs="仿宋_GB2312"/>
                <w:color w:val="auto"/>
                <w:kern w:val="0"/>
                <w:sz w:val="18"/>
                <w:szCs w:val="18"/>
                <w:highlight w:val="none"/>
                <w:u w:val="none" w:color="auto"/>
              </w:rPr>
              <w:t xml:space="preserve">。 </w:t>
            </w:r>
          </w:p>
          <w:p>
            <w:pPr>
              <w:keepNext w:val="0"/>
              <w:keepLines w:val="0"/>
              <w:pageBreakBefore w:val="0"/>
              <w:widowControl w:val="0"/>
              <w:kinsoku/>
              <w:wordWrap/>
              <w:overflowPunct w:val="0"/>
              <w:topLinePunct w:val="0"/>
              <w:autoSpaceDE/>
              <w:autoSpaceDN/>
              <w:bidi w:val="0"/>
              <w:adjustRightInd/>
              <w:snapToGrid/>
              <w:spacing w:line="210" w:lineRule="exact"/>
              <w:ind w:left="0" w:leftChars="0" w:right="0" w:firstLine="0" w:firstLineChars="0"/>
              <w:jc w:val="left"/>
              <w:textAlignment w:val="center"/>
              <w:outlineLvl w:val="9"/>
              <w:rPr>
                <w:rFonts w:hint="eastAsia" w:ascii="仿宋_GB2312" w:hAnsi="仿宋_GB2312" w:eastAsia="仿宋_GB2312" w:cs="仿宋_GB2312"/>
                <w:color w:val="auto"/>
                <w:sz w:val="18"/>
                <w:szCs w:val="18"/>
                <w:highlight w:val="none"/>
                <w:u w:val="none" w:color="auto"/>
              </w:rPr>
            </w:pPr>
            <w:r>
              <w:rPr>
                <w:rFonts w:hint="eastAsia" w:ascii="仿宋_GB2312" w:hAnsi="仿宋_GB2312" w:eastAsia="仿宋_GB2312" w:cs="仿宋_GB2312"/>
                <w:color w:val="auto"/>
                <w:kern w:val="0"/>
                <w:sz w:val="18"/>
                <w:szCs w:val="18"/>
                <w:highlight w:val="none"/>
                <w:u w:val="none" w:color="auto"/>
              </w:rPr>
              <w:t>4</w:t>
            </w:r>
            <w:r>
              <w:rPr>
                <w:rFonts w:hint="eastAsia" w:ascii="仿宋_GB2312" w:hAnsi="仿宋_GB2312" w:eastAsia="仿宋_GB2312" w:cs="仿宋_GB2312"/>
                <w:color w:val="auto"/>
                <w:kern w:val="0"/>
                <w:sz w:val="18"/>
                <w:szCs w:val="18"/>
                <w:highlight w:val="none"/>
                <w:u w:val="none" w:color="auto"/>
                <w:lang w:eastAsia="zh-CN"/>
              </w:rPr>
              <w:t>．</w:t>
            </w:r>
            <w:r>
              <w:rPr>
                <w:rFonts w:hint="eastAsia" w:ascii="仿宋_GB2312" w:hAnsi="仿宋_GB2312" w:eastAsia="仿宋_GB2312" w:cs="仿宋_GB2312"/>
                <w:color w:val="auto"/>
                <w:kern w:val="0"/>
                <w:sz w:val="18"/>
                <w:szCs w:val="18"/>
                <w:highlight w:val="none"/>
                <w:u w:val="none" w:color="auto"/>
              </w:rPr>
              <w:t>《社会团体登记管理条例》第二十四条：登记管理机关履行下列监督管理职责：（二）对社会团体实行年度检查；第二十八条：社会团体应当于每年3月31日前向业务主管单位报送上一年度的工作报告，经业务</w:t>
            </w:r>
            <w:r>
              <w:rPr>
                <w:rFonts w:hint="eastAsia" w:ascii="仿宋_GB2312" w:hAnsi="仿宋_GB2312" w:eastAsia="仿宋_GB2312" w:cs="仿宋_GB2312"/>
                <w:color w:val="auto"/>
                <w:sz w:val="18"/>
                <w:szCs w:val="18"/>
                <w:highlight w:val="none"/>
                <w:u w:val="none" w:color="auto"/>
              </w:rPr>
              <w:t xml:space="preserve">主管单位初审同意后，于5月31日前报送登记管理机关，接受年度检查。 </w:t>
            </w:r>
          </w:p>
          <w:p>
            <w:pPr>
              <w:keepNext w:val="0"/>
              <w:keepLines w:val="0"/>
              <w:pageBreakBefore w:val="0"/>
              <w:widowControl w:val="0"/>
              <w:kinsoku/>
              <w:wordWrap/>
              <w:overflowPunct w:val="0"/>
              <w:topLinePunct w:val="0"/>
              <w:autoSpaceDE/>
              <w:autoSpaceDN/>
              <w:bidi w:val="0"/>
              <w:adjustRightInd/>
              <w:snapToGrid/>
              <w:spacing w:line="21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sz w:val="18"/>
                <w:szCs w:val="18"/>
                <w:highlight w:val="none"/>
                <w:u w:val="none" w:color="auto"/>
              </w:rPr>
              <w:t>5</w:t>
            </w:r>
            <w:r>
              <w:rPr>
                <w:rFonts w:hint="eastAsia" w:ascii="仿宋_GB2312" w:hAnsi="仿宋_GB2312" w:eastAsia="仿宋_GB2312" w:cs="仿宋_GB2312"/>
                <w:color w:val="auto"/>
                <w:sz w:val="18"/>
                <w:szCs w:val="18"/>
                <w:highlight w:val="none"/>
                <w:u w:val="none" w:color="auto"/>
                <w:lang w:eastAsia="zh-CN"/>
              </w:rPr>
              <w:t>．</w:t>
            </w:r>
            <w:r>
              <w:rPr>
                <w:rFonts w:hint="eastAsia" w:ascii="仿宋_GB2312" w:hAnsi="仿宋_GB2312" w:eastAsia="仿宋_GB2312" w:cs="仿宋_GB2312"/>
                <w:color w:val="auto"/>
                <w:sz w:val="18"/>
                <w:szCs w:val="18"/>
                <w:highlight w:val="none"/>
                <w:u w:val="none" w:color="auto"/>
              </w:rPr>
              <w:t>《民办非企业单位登记管理暂行条例》第十九条 登记管理机关履行下列监督管理职责：（一）负责民办非企业单位的成立、变更、注销登记；（二）对民办非企业单位实施年度检查；（三）对民办非企业单位违反本条例的问题进行监督检查，对民办非企业单位违反本条例的行为给予行政处罚。本条例的行为给予行政处罚。</w:t>
            </w:r>
          </w:p>
        </w:tc>
        <w:tc>
          <w:tcPr>
            <w:tcW w:w="440"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行政检查</w:t>
            </w:r>
            <w:bookmarkStart w:id="0" w:name="_GoBack"/>
            <w:bookmarkEnd w:id="0"/>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受理</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受理责任：公示应当提交的材料；一次性告知补正材料；依法受理或不予受理（不予受理的告知原因）</w:t>
            </w:r>
            <w:r>
              <w:rPr>
                <w:rFonts w:hint="eastAsia" w:ascii="仿宋_GB2312" w:hAnsi="仿宋_GB2312" w:eastAsia="仿宋_GB2312" w:cs="仿宋_GB2312"/>
                <w:color w:val="auto"/>
                <w:kern w:val="0"/>
                <w:sz w:val="20"/>
                <w:szCs w:val="20"/>
                <w:highlight w:val="none"/>
                <w:u w:val="none" w:color="auto"/>
                <w:lang w:eastAsia="zh-CN"/>
              </w:rPr>
              <w:t>。</w:t>
            </w:r>
          </w:p>
        </w:tc>
        <w:tc>
          <w:tcPr>
            <w:tcW w:w="253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0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spacing w:val="-1"/>
                <w:kern w:val="0"/>
                <w:sz w:val="20"/>
                <w:szCs w:val="20"/>
                <w:highlight w:val="none"/>
                <w:u w:val="none" w:color="auto"/>
              </w:rPr>
              <w:t>不履行或不正确履行职责，有下列情形的行政机关及相关工作人员应承担相应的责任：</w:t>
            </w:r>
            <w:r>
              <w:rPr>
                <w:rFonts w:hint="eastAsia" w:ascii="仿宋_GB2312" w:hAnsi="仿宋_GB2312" w:eastAsia="仿宋_GB2312" w:cs="仿宋_GB2312"/>
                <w:color w:val="auto"/>
                <w:spacing w:val="-1"/>
                <w:kern w:val="0"/>
                <w:sz w:val="20"/>
                <w:szCs w:val="20"/>
                <w:highlight w:val="none"/>
                <w:u w:val="none" w:color="auto"/>
              </w:rPr>
              <w:br w:type="textWrapping"/>
            </w:r>
            <w:r>
              <w:rPr>
                <w:rFonts w:hint="eastAsia" w:ascii="仿宋_GB2312" w:hAnsi="仿宋_GB2312" w:eastAsia="仿宋_GB2312" w:cs="仿宋_GB2312"/>
                <w:color w:val="auto"/>
                <w:spacing w:val="-1"/>
                <w:kern w:val="0"/>
                <w:sz w:val="20"/>
                <w:szCs w:val="20"/>
                <w:highlight w:val="none"/>
                <w:u w:val="none" w:color="auto"/>
              </w:rPr>
              <w:t>1</w:t>
            </w:r>
            <w:r>
              <w:rPr>
                <w:rFonts w:hint="eastAsia" w:ascii="仿宋_GB2312" w:hAnsi="仿宋_GB2312" w:eastAsia="仿宋_GB2312" w:cs="仿宋_GB2312"/>
                <w:color w:val="auto"/>
                <w:spacing w:val="-1"/>
                <w:kern w:val="0"/>
                <w:sz w:val="20"/>
                <w:szCs w:val="20"/>
                <w:highlight w:val="none"/>
                <w:u w:val="none" w:color="auto"/>
                <w:lang w:eastAsia="zh-CN"/>
              </w:rPr>
              <w:t>．</w:t>
            </w:r>
            <w:r>
              <w:rPr>
                <w:rFonts w:hint="eastAsia" w:ascii="仿宋_GB2312" w:hAnsi="仿宋_GB2312" w:eastAsia="仿宋_GB2312" w:cs="仿宋_GB2312"/>
                <w:color w:val="auto"/>
                <w:spacing w:val="-1"/>
                <w:kern w:val="0"/>
                <w:sz w:val="20"/>
                <w:szCs w:val="20"/>
                <w:highlight w:val="none"/>
                <w:u w:val="none" w:color="auto"/>
              </w:rPr>
              <w:t>未依法履行信息公开义务的；</w:t>
            </w:r>
            <w:r>
              <w:rPr>
                <w:rFonts w:hint="eastAsia" w:ascii="仿宋_GB2312" w:hAnsi="仿宋_GB2312" w:eastAsia="仿宋_GB2312" w:cs="仿宋_GB2312"/>
                <w:color w:val="auto"/>
                <w:spacing w:val="-1"/>
                <w:kern w:val="0"/>
                <w:sz w:val="20"/>
                <w:szCs w:val="20"/>
                <w:highlight w:val="none"/>
                <w:u w:val="none" w:color="auto"/>
              </w:rPr>
              <w:br w:type="textWrapping"/>
            </w:r>
            <w:r>
              <w:rPr>
                <w:rFonts w:hint="eastAsia" w:ascii="仿宋_GB2312" w:hAnsi="仿宋_GB2312" w:eastAsia="仿宋_GB2312" w:cs="仿宋_GB2312"/>
                <w:color w:val="auto"/>
                <w:spacing w:val="-1"/>
                <w:kern w:val="0"/>
                <w:sz w:val="20"/>
                <w:szCs w:val="20"/>
                <w:highlight w:val="none"/>
                <w:u w:val="none" w:color="auto"/>
              </w:rPr>
              <w:t>2</w:t>
            </w:r>
            <w:r>
              <w:rPr>
                <w:rFonts w:hint="eastAsia" w:ascii="仿宋_GB2312" w:hAnsi="仿宋_GB2312" w:eastAsia="仿宋_GB2312" w:cs="仿宋_GB2312"/>
                <w:color w:val="auto"/>
                <w:spacing w:val="-1"/>
                <w:kern w:val="0"/>
                <w:sz w:val="20"/>
                <w:szCs w:val="20"/>
                <w:highlight w:val="none"/>
                <w:u w:val="none" w:color="auto"/>
                <w:lang w:eastAsia="zh-CN"/>
              </w:rPr>
              <w:t>．</w:t>
            </w:r>
            <w:r>
              <w:rPr>
                <w:rFonts w:hint="eastAsia" w:ascii="仿宋_GB2312" w:hAnsi="仿宋_GB2312" w:eastAsia="仿宋_GB2312" w:cs="仿宋_GB2312"/>
                <w:color w:val="auto"/>
                <w:spacing w:val="-1"/>
                <w:kern w:val="0"/>
                <w:sz w:val="20"/>
                <w:szCs w:val="20"/>
                <w:highlight w:val="none"/>
                <w:u w:val="none" w:color="auto"/>
              </w:rPr>
              <w:t>摊派或者变相摊派捐赠任务，强行指定志愿者、慈善组织提供服务的；</w:t>
            </w:r>
            <w:r>
              <w:rPr>
                <w:rFonts w:hint="eastAsia" w:ascii="仿宋_GB2312" w:hAnsi="仿宋_GB2312" w:eastAsia="仿宋_GB2312" w:cs="仿宋_GB2312"/>
                <w:color w:val="auto"/>
                <w:spacing w:val="-1"/>
                <w:kern w:val="0"/>
                <w:sz w:val="20"/>
                <w:szCs w:val="20"/>
                <w:highlight w:val="none"/>
                <w:u w:val="none" w:color="auto"/>
              </w:rPr>
              <w:br w:type="textWrapping"/>
            </w:r>
            <w:r>
              <w:rPr>
                <w:rFonts w:hint="eastAsia" w:ascii="仿宋_GB2312" w:hAnsi="仿宋_GB2312" w:eastAsia="仿宋_GB2312" w:cs="仿宋_GB2312"/>
                <w:color w:val="auto"/>
                <w:spacing w:val="-1"/>
                <w:kern w:val="0"/>
                <w:sz w:val="20"/>
                <w:szCs w:val="20"/>
                <w:highlight w:val="none"/>
                <w:u w:val="none" w:color="auto"/>
              </w:rPr>
              <w:t>3</w:t>
            </w:r>
            <w:r>
              <w:rPr>
                <w:rFonts w:hint="eastAsia" w:ascii="仿宋_GB2312" w:hAnsi="仿宋_GB2312" w:eastAsia="仿宋_GB2312" w:cs="仿宋_GB2312"/>
                <w:color w:val="auto"/>
                <w:spacing w:val="-1"/>
                <w:kern w:val="0"/>
                <w:sz w:val="20"/>
                <w:szCs w:val="20"/>
                <w:highlight w:val="none"/>
                <w:u w:val="none" w:color="auto"/>
                <w:lang w:eastAsia="zh-CN"/>
              </w:rPr>
              <w:t>．</w:t>
            </w:r>
            <w:r>
              <w:rPr>
                <w:rFonts w:hint="eastAsia" w:ascii="仿宋_GB2312" w:hAnsi="仿宋_GB2312" w:eastAsia="仿宋_GB2312" w:cs="仿宋_GB2312"/>
                <w:color w:val="auto"/>
                <w:spacing w:val="-1"/>
                <w:kern w:val="0"/>
                <w:sz w:val="20"/>
                <w:szCs w:val="20"/>
                <w:highlight w:val="none"/>
                <w:u w:val="none" w:color="auto"/>
              </w:rPr>
              <w:t>未依法履行监督管理职责的；</w:t>
            </w:r>
            <w:r>
              <w:rPr>
                <w:rFonts w:hint="eastAsia" w:ascii="仿宋_GB2312" w:hAnsi="仿宋_GB2312" w:eastAsia="仿宋_GB2312" w:cs="仿宋_GB2312"/>
                <w:color w:val="auto"/>
                <w:spacing w:val="-1"/>
                <w:kern w:val="0"/>
                <w:sz w:val="20"/>
                <w:szCs w:val="20"/>
                <w:highlight w:val="none"/>
                <w:u w:val="none" w:color="auto"/>
              </w:rPr>
              <w:br w:type="textWrapping"/>
            </w:r>
            <w:r>
              <w:rPr>
                <w:rFonts w:hint="eastAsia" w:ascii="仿宋_GB2312" w:hAnsi="仿宋_GB2312" w:eastAsia="仿宋_GB2312" w:cs="仿宋_GB2312"/>
                <w:color w:val="auto"/>
                <w:spacing w:val="-1"/>
                <w:kern w:val="0"/>
                <w:sz w:val="20"/>
                <w:szCs w:val="20"/>
                <w:highlight w:val="none"/>
                <w:u w:val="none" w:color="auto"/>
              </w:rPr>
              <w:t>4</w:t>
            </w:r>
            <w:r>
              <w:rPr>
                <w:rFonts w:hint="eastAsia" w:ascii="仿宋_GB2312" w:hAnsi="仿宋_GB2312" w:eastAsia="仿宋_GB2312" w:cs="仿宋_GB2312"/>
                <w:color w:val="auto"/>
                <w:spacing w:val="-1"/>
                <w:kern w:val="0"/>
                <w:sz w:val="20"/>
                <w:szCs w:val="20"/>
                <w:highlight w:val="none"/>
                <w:u w:val="none" w:color="auto"/>
                <w:lang w:eastAsia="zh-CN"/>
              </w:rPr>
              <w:t>．</w:t>
            </w:r>
            <w:r>
              <w:rPr>
                <w:rFonts w:hint="eastAsia" w:ascii="仿宋_GB2312" w:hAnsi="仿宋_GB2312" w:eastAsia="仿宋_GB2312" w:cs="仿宋_GB2312"/>
                <w:color w:val="auto"/>
                <w:spacing w:val="-1"/>
                <w:kern w:val="0"/>
                <w:sz w:val="20"/>
                <w:szCs w:val="20"/>
                <w:highlight w:val="none"/>
                <w:u w:val="none" w:color="auto"/>
              </w:rPr>
              <w:t>违法实施行政强制措施和行政处罚的；</w:t>
            </w:r>
            <w:r>
              <w:rPr>
                <w:rFonts w:hint="eastAsia" w:ascii="仿宋_GB2312" w:hAnsi="仿宋_GB2312" w:eastAsia="仿宋_GB2312" w:cs="仿宋_GB2312"/>
                <w:color w:val="auto"/>
                <w:spacing w:val="-1"/>
                <w:kern w:val="0"/>
                <w:sz w:val="20"/>
                <w:szCs w:val="20"/>
                <w:highlight w:val="none"/>
                <w:u w:val="none" w:color="auto"/>
              </w:rPr>
              <w:br w:type="textWrapping"/>
            </w:r>
            <w:r>
              <w:rPr>
                <w:rFonts w:hint="eastAsia" w:ascii="仿宋_GB2312" w:hAnsi="仿宋_GB2312" w:eastAsia="仿宋_GB2312" w:cs="仿宋_GB2312"/>
                <w:color w:val="auto"/>
                <w:spacing w:val="-1"/>
                <w:kern w:val="0"/>
                <w:sz w:val="20"/>
                <w:szCs w:val="20"/>
                <w:highlight w:val="none"/>
                <w:u w:val="none" w:color="auto"/>
              </w:rPr>
              <w:t>5</w:t>
            </w:r>
            <w:r>
              <w:rPr>
                <w:rFonts w:hint="eastAsia" w:ascii="仿宋_GB2312" w:hAnsi="仿宋_GB2312" w:eastAsia="仿宋_GB2312" w:cs="仿宋_GB2312"/>
                <w:color w:val="auto"/>
                <w:spacing w:val="-1"/>
                <w:kern w:val="0"/>
                <w:sz w:val="20"/>
                <w:szCs w:val="20"/>
                <w:highlight w:val="none"/>
                <w:u w:val="none" w:color="auto"/>
                <w:lang w:eastAsia="zh-CN"/>
              </w:rPr>
              <w:t>．</w:t>
            </w:r>
            <w:r>
              <w:rPr>
                <w:rFonts w:hint="eastAsia" w:ascii="仿宋_GB2312" w:hAnsi="仿宋_GB2312" w:eastAsia="仿宋_GB2312" w:cs="仿宋_GB2312"/>
                <w:color w:val="auto"/>
                <w:spacing w:val="-1"/>
                <w:kern w:val="0"/>
                <w:sz w:val="20"/>
                <w:szCs w:val="20"/>
                <w:highlight w:val="none"/>
                <w:u w:val="none" w:color="auto"/>
              </w:rPr>
              <w:t>私分、挪用、截留或者侵占慈善财产的；</w:t>
            </w:r>
            <w:r>
              <w:rPr>
                <w:rFonts w:hint="eastAsia" w:ascii="仿宋_GB2312" w:hAnsi="仿宋_GB2312" w:eastAsia="仿宋_GB2312" w:cs="仿宋_GB2312"/>
                <w:color w:val="auto"/>
                <w:spacing w:val="-1"/>
                <w:kern w:val="0"/>
                <w:sz w:val="20"/>
                <w:szCs w:val="20"/>
                <w:highlight w:val="none"/>
                <w:u w:val="none" w:color="auto"/>
              </w:rPr>
              <w:br w:type="textWrapping"/>
            </w:r>
            <w:r>
              <w:rPr>
                <w:rFonts w:hint="eastAsia" w:ascii="仿宋_GB2312" w:hAnsi="仿宋_GB2312" w:eastAsia="仿宋_GB2312" w:cs="仿宋_GB2312"/>
                <w:color w:val="auto"/>
                <w:spacing w:val="-1"/>
                <w:kern w:val="0"/>
                <w:sz w:val="20"/>
                <w:szCs w:val="20"/>
                <w:highlight w:val="none"/>
                <w:u w:val="none" w:color="auto"/>
              </w:rPr>
              <w:t>6</w:t>
            </w:r>
            <w:r>
              <w:rPr>
                <w:rFonts w:hint="eastAsia" w:ascii="仿宋_GB2312" w:hAnsi="仿宋_GB2312" w:eastAsia="仿宋_GB2312" w:cs="仿宋_GB2312"/>
                <w:color w:val="auto"/>
                <w:spacing w:val="-1"/>
                <w:kern w:val="0"/>
                <w:sz w:val="20"/>
                <w:szCs w:val="20"/>
                <w:highlight w:val="none"/>
                <w:u w:val="none" w:color="auto"/>
                <w:lang w:eastAsia="zh-CN"/>
              </w:rPr>
              <w:t>．</w:t>
            </w:r>
            <w:r>
              <w:rPr>
                <w:rFonts w:hint="eastAsia" w:ascii="仿宋_GB2312" w:hAnsi="仿宋_GB2312" w:eastAsia="仿宋_GB2312" w:cs="仿宋_GB2312"/>
                <w:color w:val="auto"/>
                <w:spacing w:val="-1"/>
                <w:kern w:val="0"/>
                <w:sz w:val="20"/>
                <w:szCs w:val="20"/>
                <w:highlight w:val="none"/>
                <w:u w:val="none" w:color="auto"/>
              </w:rPr>
              <w:t>其他滥用职权、玩忽职守、徇私舞弊的行为</w:t>
            </w:r>
            <w:r>
              <w:rPr>
                <w:rFonts w:hint="eastAsia" w:ascii="仿宋_GB2312" w:hAnsi="仿宋_GB2312" w:eastAsia="仿宋_GB2312" w:cs="仿宋_GB2312"/>
                <w:color w:val="auto"/>
                <w:kern w:val="0"/>
                <w:sz w:val="20"/>
                <w:szCs w:val="20"/>
                <w:highlight w:val="none"/>
                <w:u w:val="none" w:color="auto"/>
              </w:rPr>
              <w:t>。</w:t>
            </w:r>
          </w:p>
        </w:tc>
        <w:tc>
          <w:tcPr>
            <w:tcW w:w="934"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社会组织管理局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61"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审查</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审查责任：材料审查；提出初审意见。</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61"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决定责任：登记管理机关作出年检结论，对年检基本合格和年检不合格的书面告知申报单位。</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61"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送达</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送达责任：制作送达文书；按规定送达当事人，信息公开。</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61"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事后监管</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事后监管责任：监督社会团体依法开展活动。</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61"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其他法律法规规章文件规定应履行的责任。</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07" w:hRule="exact"/>
          <w:jc w:val="center"/>
        </w:trPr>
        <w:tc>
          <w:tcPr>
            <w:tcW w:w="52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lang w:val="en-US" w:eastAsia="zh-CN"/>
              </w:rPr>
              <w:t>34</w:t>
            </w:r>
          </w:p>
        </w:tc>
        <w:tc>
          <w:tcPr>
            <w:tcW w:w="1112"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对涉嫌违规的养老机构的检查</w:t>
            </w:r>
          </w:p>
        </w:tc>
        <w:tc>
          <w:tcPr>
            <w:tcW w:w="5765"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《中华人民共和国老年人权益保障法》第四章第四十五条</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县级以上人民政府民政部门依法履行监督检查职责，可以采取以下措施：（一）向养老机构和个人了解情况；</w:t>
            </w:r>
            <w:r>
              <w:rPr>
                <w:rFonts w:hint="eastAsia" w:ascii="仿宋_GB2312" w:hAnsi="仿宋_GB2312" w:eastAsia="仿宋_GB2312" w:cs="仿宋_GB2312"/>
                <w:color w:val="auto"/>
                <w:kern w:val="0"/>
                <w:sz w:val="20"/>
                <w:szCs w:val="20"/>
                <w:highlight w:val="none"/>
                <w:u w:val="none" w:color="auto"/>
                <w:lang w:val="en-US" w:eastAsia="zh-CN"/>
              </w:rPr>
              <w:t>（</w:t>
            </w:r>
            <w:r>
              <w:rPr>
                <w:rFonts w:hint="eastAsia" w:ascii="仿宋_GB2312" w:hAnsi="仿宋_GB2312" w:eastAsia="仿宋_GB2312" w:cs="仿宋_GB2312"/>
                <w:color w:val="auto"/>
                <w:kern w:val="0"/>
                <w:sz w:val="20"/>
                <w:szCs w:val="20"/>
                <w:highlight w:val="none"/>
                <w:u w:val="none" w:color="auto"/>
              </w:rPr>
              <w:t>二</w:t>
            </w:r>
            <w:r>
              <w:rPr>
                <w:rFonts w:hint="eastAsia" w:ascii="仿宋_GB2312" w:hAnsi="仿宋_GB2312" w:eastAsia="仿宋_GB2312" w:cs="仿宋_GB2312"/>
                <w:color w:val="auto"/>
                <w:kern w:val="0"/>
                <w:sz w:val="20"/>
                <w:szCs w:val="20"/>
                <w:highlight w:val="none"/>
                <w:u w:val="none" w:color="auto"/>
                <w:lang w:val="en-US" w:eastAsia="zh-CN"/>
              </w:rPr>
              <w:t>）</w:t>
            </w:r>
            <w:r>
              <w:rPr>
                <w:rFonts w:hint="eastAsia" w:ascii="仿宋_GB2312" w:hAnsi="仿宋_GB2312" w:eastAsia="仿宋_GB2312" w:cs="仿宋_GB2312"/>
                <w:color w:val="auto"/>
                <w:kern w:val="0"/>
                <w:sz w:val="20"/>
                <w:szCs w:val="20"/>
                <w:highlight w:val="none"/>
                <w:u w:val="none" w:color="auto"/>
              </w:rPr>
              <w:t>进入涉嫌违法的养老机构进行现场检查；</w:t>
            </w:r>
            <w:r>
              <w:rPr>
                <w:rFonts w:hint="eastAsia" w:ascii="仿宋_GB2312" w:hAnsi="仿宋_GB2312" w:eastAsia="仿宋_GB2312" w:cs="仿宋_GB2312"/>
                <w:color w:val="auto"/>
                <w:kern w:val="0"/>
                <w:sz w:val="20"/>
                <w:szCs w:val="20"/>
                <w:highlight w:val="none"/>
                <w:u w:val="none" w:color="auto"/>
                <w:lang w:val="en-US" w:eastAsia="zh-CN"/>
              </w:rPr>
              <w:t>（</w:t>
            </w:r>
            <w:r>
              <w:rPr>
                <w:rFonts w:hint="eastAsia" w:ascii="仿宋_GB2312" w:hAnsi="仿宋_GB2312" w:eastAsia="仿宋_GB2312" w:cs="仿宋_GB2312"/>
                <w:color w:val="auto"/>
                <w:kern w:val="0"/>
                <w:sz w:val="20"/>
                <w:szCs w:val="20"/>
                <w:highlight w:val="none"/>
                <w:u w:val="none" w:color="auto"/>
              </w:rPr>
              <w:t>三</w:t>
            </w:r>
            <w:r>
              <w:rPr>
                <w:rFonts w:hint="eastAsia" w:ascii="仿宋_GB2312" w:hAnsi="仿宋_GB2312" w:eastAsia="仿宋_GB2312" w:cs="仿宋_GB2312"/>
                <w:color w:val="auto"/>
                <w:kern w:val="0"/>
                <w:sz w:val="20"/>
                <w:szCs w:val="20"/>
                <w:highlight w:val="none"/>
                <w:u w:val="none" w:color="auto"/>
                <w:lang w:val="en-US" w:eastAsia="zh-CN"/>
              </w:rPr>
              <w:t>）</w:t>
            </w:r>
            <w:r>
              <w:rPr>
                <w:rFonts w:hint="eastAsia" w:ascii="仿宋_GB2312" w:hAnsi="仿宋_GB2312" w:eastAsia="仿宋_GB2312" w:cs="仿宋_GB2312"/>
                <w:color w:val="auto"/>
                <w:kern w:val="0"/>
                <w:sz w:val="20"/>
                <w:szCs w:val="20"/>
                <w:highlight w:val="none"/>
                <w:u w:val="none" w:color="auto"/>
              </w:rPr>
              <w:t>查阅或者复制有关合同、票据、账簿及其他有关资料；</w:t>
            </w:r>
            <w:r>
              <w:rPr>
                <w:rFonts w:hint="eastAsia" w:ascii="仿宋_GB2312" w:hAnsi="仿宋_GB2312" w:eastAsia="仿宋_GB2312" w:cs="仿宋_GB2312"/>
                <w:color w:val="auto"/>
                <w:kern w:val="0"/>
                <w:sz w:val="20"/>
                <w:szCs w:val="20"/>
                <w:highlight w:val="none"/>
                <w:u w:val="none" w:color="auto"/>
                <w:lang w:val="en-US" w:eastAsia="zh-CN"/>
              </w:rPr>
              <w:t>（</w:t>
            </w:r>
            <w:r>
              <w:rPr>
                <w:rFonts w:hint="eastAsia" w:ascii="仿宋_GB2312" w:hAnsi="仿宋_GB2312" w:eastAsia="仿宋_GB2312" w:cs="仿宋_GB2312"/>
                <w:color w:val="auto"/>
                <w:kern w:val="0"/>
                <w:sz w:val="20"/>
                <w:szCs w:val="20"/>
                <w:highlight w:val="none"/>
                <w:u w:val="none" w:color="auto"/>
              </w:rPr>
              <w:t>四</w:t>
            </w:r>
            <w:r>
              <w:rPr>
                <w:rFonts w:hint="eastAsia" w:ascii="仿宋_GB2312" w:hAnsi="仿宋_GB2312" w:eastAsia="仿宋_GB2312" w:cs="仿宋_GB2312"/>
                <w:color w:val="auto"/>
                <w:kern w:val="0"/>
                <w:sz w:val="20"/>
                <w:szCs w:val="20"/>
                <w:highlight w:val="none"/>
                <w:u w:val="none" w:color="auto"/>
                <w:lang w:val="en-US" w:eastAsia="zh-CN"/>
              </w:rPr>
              <w:t>）</w:t>
            </w:r>
            <w:r>
              <w:rPr>
                <w:rFonts w:hint="eastAsia" w:ascii="仿宋_GB2312" w:hAnsi="仿宋_GB2312" w:eastAsia="仿宋_GB2312" w:cs="仿宋_GB2312"/>
                <w:color w:val="auto"/>
                <w:kern w:val="0"/>
                <w:sz w:val="20"/>
                <w:szCs w:val="20"/>
                <w:highlight w:val="none"/>
                <w:u w:val="none" w:color="auto"/>
              </w:rPr>
              <w:t>发现养老机构存在可能危及人身健康和生命财产安全风险的，责令限期改正，逾期不改正的，责令停业整顿。</w:t>
            </w:r>
          </w:p>
        </w:tc>
        <w:tc>
          <w:tcPr>
            <w:tcW w:w="440"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行政检查</w:t>
            </w: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了解情况</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向养老机构和个人了解情况。</w:t>
            </w:r>
          </w:p>
        </w:tc>
        <w:tc>
          <w:tcPr>
            <w:tcW w:w="253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不履行或不正确履行职责，有下列情形的行政机关及相关工作人员应承担相应的责任：</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1</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民政部门及其工作人员在监督管理工作中滥用职权、玩忽职守、徇私舞弊的，对直接负责的主管人员和其他责任人员依法依规给予处分；构成犯罪的，依法追</w:t>
            </w:r>
            <w:r>
              <w:rPr>
                <w:rFonts w:hint="eastAsia" w:ascii="仿宋_GB2312" w:hAnsi="仿宋_GB2312" w:eastAsia="仿宋_GB2312" w:cs="仿宋_GB2312"/>
                <w:i w:val="0"/>
                <w:iCs w:val="0"/>
                <w:caps w:val="0"/>
                <w:color w:val="auto"/>
                <w:spacing w:val="0"/>
                <w:sz w:val="20"/>
                <w:szCs w:val="20"/>
                <w:highlight w:val="none"/>
                <w:u w:val="none" w:color="auto"/>
                <w:shd w:val="clear" w:color="auto" w:fill="FFFFFF"/>
              </w:rPr>
              <w:t>究</w:t>
            </w:r>
            <w:r>
              <w:rPr>
                <w:rFonts w:hint="eastAsia" w:ascii="仿宋_GB2312" w:hAnsi="仿宋_GB2312" w:eastAsia="仿宋_GB2312" w:cs="仿宋_GB2312"/>
                <w:color w:val="auto"/>
                <w:kern w:val="0"/>
                <w:sz w:val="20"/>
                <w:szCs w:val="20"/>
                <w:highlight w:val="none"/>
                <w:u w:val="none" w:color="auto"/>
              </w:rPr>
              <w:t>刑事责任。</w:t>
            </w:r>
          </w:p>
        </w:tc>
        <w:tc>
          <w:tcPr>
            <w:tcW w:w="934"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养老服务科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07"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现场检查</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进入涉嫌违法的养老机构进行现场检查。</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sz w:val="20"/>
                <w:szCs w:val="20"/>
                <w:highlight w:val="none"/>
                <w:u w:val="none" w:color="auto"/>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61"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spacing w:val="-6"/>
                <w:kern w:val="0"/>
                <w:sz w:val="20"/>
                <w:szCs w:val="20"/>
                <w:highlight w:val="none"/>
                <w:u w:val="none" w:color="auto"/>
              </w:rPr>
              <w:t>查阅或复制有关资料</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查阅或者复制有关合同、票据、账簿及其他有关资料。</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sz w:val="20"/>
                <w:szCs w:val="20"/>
                <w:highlight w:val="none"/>
                <w:u w:val="none" w:color="auto"/>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134"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下达整改通知书</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发现养老机构存在可能危及人身健康和生命财产安全风险的，责令限期改正，逾期不改正的，责令停业整顿。</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sz w:val="20"/>
                <w:szCs w:val="20"/>
                <w:highlight w:val="none"/>
                <w:u w:val="none" w:color="auto"/>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50" w:hRule="atLeast"/>
          <w:jc w:val="center"/>
        </w:trPr>
        <w:tc>
          <w:tcPr>
            <w:tcW w:w="52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2"/>
                <w:sz w:val="20"/>
                <w:szCs w:val="20"/>
                <w:highlight w:val="none"/>
                <w:u w:val="none" w:color="auto"/>
                <w:lang w:val="en-US" w:eastAsia="zh-CN" w:bidi="ar-SA"/>
              </w:rPr>
              <w:t>35</w:t>
            </w:r>
          </w:p>
        </w:tc>
        <w:tc>
          <w:tcPr>
            <w:tcW w:w="1112"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内地居民同香港居民、澳门居民、台湾居民在中国内地办理离婚登记</w:t>
            </w:r>
          </w:p>
        </w:tc>
        <w:tc>
          <w:tcPr>
            <w:tcW w:w="5765"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《婚姻登记条例》（国务院令第387号）第二条</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第二款中国公民同外国人，内地居民同香港特别行政区居民（以下简称香港居民）、澳门特别行政区居民（以下简称澳门居民）、台湾地区居民（以下简称台湾居民）、华侨办理婚姻登记的机关是省、自治区、直辖市人民政府民政部门或者省、自治区、直辖市人民政府民政部门确定的机关。</w:t>
            </w:r>
          </w:p>
        </w:tc>
        <w:tc>
          <w:tcPr>
            <w:tcW w:w="440"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行政确认</w:t>
            </w: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收件</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申请人提交申请材料，一次性告知补正材料。</w:t>
            </w:r>
          </w:p>
        </w:tc>
        <w:tc>
          <w:tcPr>
            <w:tcW w:w="253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rPr>
              <w:t>不履行或不正确履行职责，有下列情形的行政机关及相关工作人员应承担相应的责任：</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1</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为不符合婚姻登记条件的当事人办理婚姻登记的；</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2</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玩忽职守造成婚姻登记档案损失的；</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3</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办理婚姻登记或者补发结婚证、离婚证超过收费标准收取费用的。</w:t>
            </w:r>
          </w:p>
        </w:tc>
        <w:tc>
          <w:tcPr>
            <w:tcW w:w="934"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lang w:val="en-US" w:eastAsia="zh-CN"/>
              </w:rPr>
              <w:t>行政审批服务科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50" w:hRule="atLeast"/>
          <w:jc w:val="center"/>
        </w:trPr>
        <w:tc>
          <w:tcPr>
            <w:tcW w:w="52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0"/>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受理</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对申请材料进行初步审核，受理或不予受理（不予受理的依法告知理由）。</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50" w:hRule="atLeast"/>
          <w:jc w:val="center"/>
        </w:trPr>
        <w:tc>
          <w:tcPr>
            <w:tcW w:w="52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0"/>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审核</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审核申请材料，申请材料齐全、符合法定形式的，审核通过</w:t>
            </w:r>
            <w:r>
              <w:rPr>
                <w:rFonts w:hint="eastAsia" w:ascii="仿宋_GB2312" w:hAnsi="仿宋_GB2312" w:eastAsia="仿宋_GB2312" w:cs="仿宋_GB2312"/>
                <w:color w:val="auto"/>
                <w:kern w:val="0"/>
                <w:sz w:val="20"/>
                <w:szCs w:val="20"/>
                <w:highlight w:val="none"/>
                <w:u w:val="none" w:color="auto"/>
                <w:lang w:eastAsia="zh-CN"/>
              </w:rPr>
              <w:t>。</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50" w:hRule="atLeast"/>
          <w:jc w:val="center"/>
        </w:trPr>
        <w:tc>
          <w:tcPr>
            <w:tcW w:w="52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0"/>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根据审核情况，准予办理，予以办结；不予办理，退回材料并告知原因。</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08" w:hRule="atLeast"/>
          <w:jc w:val="center"/>
        </w:trPr>
        <w:tc>
          <w:tcPr>
            <w:tcW w:w="52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0"/>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送达</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申请人到窗口领取</w:t>
            </w:r>
            <w:r>
              <w:rPr>
                <w:rFonts w:hint="eastAsia" w:ascii="仿宋_GB2312" w:hAnsi="仿宋_GB2312" w:eastAsia="仿宋_GB2312" w:cs="仿宋_GB2312"/>
                <w:color w:val="auto"/>
                <w:kern w:val="0"/>
                <w:sz w:val="20"/>
                <w:szCs w:val="20"/>
                <w:highlight w:val="none"/>
                <w:u w:val="none" w:color="auto"/>
                <w:lang w:eastAsia="zh-CN"/>
              </w:rPr>
              <w:t>。</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94" w:hRule="atLeast"/>
          <w:jc w:val="center"/>
        </w:trPr>
        <w:tc>
          <w:tcPr>
            <w:tcW w:w="52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2"/>
                <w:sz w:val="20"/>
                <w:szCs w:val="20"/>
                <w:highlight w:val="none"/>
                <w:u w:val="none" w:color="auto"/>
                <w:lang w:val="en-US" w:eastAsia="zh-CN" w:bidi="ar-SA"/>
              </w:rPr>
              <w:t>36</w:t>
            </w:r>
          </w:p>
        </w:tc>
        <w:tc>
          <w:tcPr>
            <w:tcW w:w="1112"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内地居民同香港居民、澳门居民、台湾居民在中国内地办理结婚登记、补办结婚登记</w:t>
            </w:r>
          </w:p>
        </w:tc>
        <w:tc>
          <w:tcPr>
            <w:tcW w:w="5765"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《婚姻登记条例》（国务院令第387号）第二条</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第二款中国公民同外国人，内地居民同香港特别行政区居民（以下简称香港居民）、澳门特别行政区居民（以下简称澳门居民）、台湾地区居民（以下简称台湾居民）、华侨办理婚姻登记的机关是省、自治区、直辖市人民政府民政部门或者省、自治区、直辖市人民政府民政部门确定的机关。</w:t>
            </w:r>
          </w:p>
        </w:tc>
        <w:tc>
          <w:tcPr>
            <w:tcW w:w="440"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行政确认</w:t>
            </w: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收件</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申请人提交申请材料，一次性告知补正材料。</w:t>
            </w:r>
          </w:p>
        </w:tc>
        <w:tc>
          <w:tcPr>
            <w:tcW w:w="253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3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rPr>
              <w:t>不履行或不正确履行职责，有下列情形的行政机关及相关工作人员应承担相应的责任：</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1</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为不符合婚姻登记条件的当事人办理婚姻登记的；</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2</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玩忽职守造成婚姻登记档案损失的；</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3</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办理婚姻登记或者补发结婚证、离婚证超过收费标准收取费用的。</w:t>
            </w:r>
          </w:p>
        </w:tc>
        <w:tc>
          <w:tcPr>
            <w:tcW w:w="934"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lang w:val="en-US" w:eastAsia="zh-CN"/>
              </w:rPr>
              <w:t>行政审批服务科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94" w:hRule="atLeast"/>
          <w:jc w:val="center"/>
        </w:trPr>
        <w:tc>
          <w:tcPr>
            <w:tcW w:w="52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0"/>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受理</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对申请材料进行初步审核，受理或不予受理（不予受理的依法告知理由）。</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3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94" w:hRule="atLeast"/>
          <w:jc w:val="center"/>
        </w:trPr>
        <w:tc>
          <w:tcPr>
            <w:tcW w:w="52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0"/>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审核</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审核申请材料，申请材料齐全、符合法定形式的，审核通过</w:t>
            </w:r>
            <w:r>
              <w:rPr>
                <w:rFonts w:hint="eastAsia" w:ascii="仿宋_GB2312" w:hAnsi="仿宋_GB2312" w:eastAsia="仿宋_GB2312" w:cs="仿宋_GB2312"/>
                <w:color w:val="auto"/>
                <w:kern w:val="0"/>
                <w:sz w:val="20"/>
                <w:szCs w:val="20"/>
                <w:highlight w:val="none"/>
                <w:u w:val="none" w:color="auto"/>
                <w:lang w:eastAsia="zh-CN"/>
              </w:rPr>
              <w:t>。</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3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94" w:hRule="atLeast"/>
          <w:jc w:val="center"/>
        </w:trPr>
        <w:tc>
          <w:tcPr>
            <w:tcW w:w="52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0"/>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根据审核情况，准予办理，予以办结；不予办理，退回材料并告知原因。</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3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94" w:hRule="atLeast"/>
          <w:jc w:val="center"/>
        </w:trPr>
        <w:tc>
          <w:tcPr>
            <w:tcW w:w="52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0"/>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送达</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申请人到窗口领取</w:t>
            </w:r>
            <w:r>
              <w:rPr>
                <w:rFonts w:hint="eastAsia" w:ascii="仿宋_GB2312" w:hAnsi="仿宋_GB2312" w:eastAsia="仿宋_GB2312" w:cs="仿宋_GB2312"/>
                <w:color w:val="auto"/>
                <w:kern w:val="0"/>
                <w:sz w:val="20"/>
                <w:szCs w:val="20"/>
                <w:highlight w:val="none"/>
                <w:u w:val="none" w:color="auto"/>
                <w:lang w:eastAsia="zh-CN"/>
              </w:rPr>
              <w:t>。</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3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60" w:hRule="atLeast"/>
          <w:jc w:val="center"/>
        </w:trPr>
        <w:tc>
          <w:tcPr>
            <w:tcW w:w="52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2"/>
                <w:sz w:val="20"/>
                <w:szCs w:val="20"/>
                <w:highlight w:val="none"/>
                <w:u w:val="none" w:color="auto"/>
                <w:lang w:val="en-US" w:eastAsia="zh-CN" w:bidi="ar-SA"/>
              </w:rPr>
              <w:t>37</w:t>
            </w:r>
          </w:p>
        </w:tc>
        <w:tc>
          <w:tcPr>
            <w:tcW w:w="1112"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lang w:val="en-US" w:eastAsia="zh-CN"/>
              </w:rPr>
              <w:t>华侨及居住在香港、澳门、台湾地区的中国公民在内地收养登记</w:t>
            </w:r>
          </w:p>
        </w:tc>
        <w:tc>
          <w:tcPr>
            <w:tcW w:w="5765"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《中华人民共和国</w:t>
            </w:r>
            <w:r>
              <w:rPr>
                <w:rFonts w:hint="eastAsia" w:ascii="仿宋_GB2312" w:hAnsi="仿宋_GB2312" w:eastAsia="仿宋_GB2312" w:cs="仿宋_GB2312"/>
                <w:color w:val="auto"/>
                <w:kern w:val="0"/>
                <w:sz w:val="20"/>
                <w:szCs w:val="20"/>
                <w:highlight w:val="none"/>
                <w:u w:val="none" w:color="auto"/>
                <w:lang w:val="en-US" w:eastAsia="zh-CN"/>
              </w:rPr>
              <w:t>民法典</w:t>
            </w:r>
            <w:r>
              <w:rPr>
                <w:rFonts w:hint="eastAsia" w:ascii="仿宋_GB2312" w:hAnsi="仿宋_GB2312" w:eastAsia="仿宋_GB2312" w:cs="仿宋_GB2312"/>
                <w:color w:val="auto"/>
                <w:kern w:val="0"/>
                <w:sz w:val="20"/>
                <w:szCs w:val="20"/>
                <w:highlight w:val="none"/>
                <w:u w:val="none" w:color="auto"/>
              </w:rPr>
              <w:t>》第一千一百零五条</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收养应当向县级以上人民政府民政部门登记。收养关系自登记之日起成立。收养查找不到生父母的未成年人的，办理登记的民政部门应当在登记前予以公告。收养关系当事人愿意签订收养协议的，可以签订收养协议。收养关系当事人各方或者一方要求办理收养公证的，应当办理收养公证。县级以上人民政府民政部门应当依法进行收养评估。</w:t>
            </w:r>
          </w:p>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第一千一百一十六条</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当事人协议解除收养关系的，应当到民政部门办理解除收养关系登记。</w:t>
            </w:r>
          </w:p>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《中国公民收养子女登记办法》</w:t>
            </w:r>
            <w:r>
              <w:rPr>
                <w:rFonts w:hint="eastAsia" w:ascii="仿宋_GB2312" w:hAnsi="仿宋_GB2312" w:eastAsia="仿宋_GB2312" w:cs="仿宋_GB2312"/>
                <w:color w:val="auto"/>
                <w:kern w:val="0"/>
                <w:sz w:val="20"/>
                <w:szCs w:val="20"/>
                <w:highlight w:val="none"/>
                <w:u w:val="none" w:color="auto"/>
                <w:lang w:val="en-US" w:eastAsia="zh-CN"/>
              </w:rPr>
              <w:t>（</w:t>
            </w:r>
            <w:r>
              <w:rPr>
                <w:rFonts w:hint="eastAsia" w:ascii="仿宋_GB2312" w:hAnsi="仿宋_GB2312" w:eastAsia="仿宋_GB2312" w:cs="仿宋_GB2312"/>
                <w:color w:val="auto"/>
                <w:kern w:val="0"/>
                <w:sz w:val="20"/>
                <w:szCs w:val="20"/>
                <w:highlight w:val="none"/>
                <w:u w:val="none" w:color="auto"/>
              </w:rPr>
              <w:t>民政部令第14号</w:t>
            </w:r>
            <w:r>
              <w:rPr>
                <w:rFonts w:hint="eastAsia" w:ascii="仿宋_GB2312" w:hAnsi="仿宋_GB2312" w:eastAsia="仿宋_GB2312" w:cs="仿宋_GB2312"/>
                <w:color w:val="auto"/>
                <w:kern w:val="0"/>
                <w:sz w:val="20"/>
                <w:szCs w:val="20"/>
                <w:highlight w:val="none"/>
                <w:u w:val="none" w:color="auto"/>
                <w:lang w:val="en-US" w:eastAsia="zh-CN"/>
              </w:rPr>
              <w:t>）</w:t>
            </w:r>
            <w:r>
              <w:rPr>
                <w:rFonts w:hint="eastAsia" w:ascii="仿宋_GB2312" w:hAnsi="仿宋_GB2312" w:eastAsia="仿宋_GB2312" w:cs="仿宋_GB2312"/>
                <w:color w:val="auto"/>
                <w:kern w:val="0"/>
                <w:sz w:val="20"/>
                <w:szCs w:val="20"/>
                <w:highlight w:val="none"/>
                <w:u w:val="none" w:color="auto"/>
              </w:rPr>
              <w:t>第十四条</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华侨以及居住在香港、澳门、台湾地区的中国公民在内地收养子女的，申请办理收养登记的管辖以及所需要出具的证件和证明材料，按照国务院民政部门的有关规定执行。</w:t>
            </w:r>
          </w:p>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《华侨以及居住在香港、澳门、台湾地区的中国公民办理收养登记的管辖以及所需要出具的证件和证明材料的规定》</w:t>
            </w:r>
            <w:r>
              <w:rPr>
                <w:rFonts w:hint="eastAsia" w:ascii="仿宋_GB2312" w:hAnsi="仿宋_GB2312" w:eastAsia="仿宋_GB2312" w:cs="仿宋_GB2312"/>
                <w:color w:val="auto"/>
                <w:kern w:val="0"/>
                <w:sz w:val="20"/>
                <w:szCs w:val="20"/>
                <w:highlight w:val="none"/>
                <w:u w:val="none" w:color="auto"/>
                <w:lang w:val="en-US" w:eastAsia="zh-CN"/>
              </w:rPr>
              <w:t>（</w:t>
            </w:r>
            <w:r>
              <w:rPr>
                <w:rFonts w:hint="eastAsia" w:ascii="仿宋_GB2312" w:hAnsi="仿宋_GB2312" w:eastAsia="仿宋_GB2312" w:cs="仿宋_GB2312"/>
                <w:color w:val="auto"/>
                <w:kern w:val="0"/>
                <w:sz w:val="20"/>
                <w:szCs w:val="20"/>
                <w:highlight w:val="none"/>
                <w:u w:val="none" w:color="auto"/>
              </w:rPr>
              <w:t>民政部令第16号</w:t>
            </w:r>
            <w:r>
              <w:rPr>
                <w:rFonts w:hint="eastAsia" w:ascii="仿宋_GB2312" w:hAnsi="仿宋_GB2312" w:eastAsia="仿宋_GB2312" w:cs="仿宋_GB2312"/>
                <w:color w:val="auto"/>
                <w:kern w:val="0"/>
                <w:sz w:val="20"/>
                <w:szCs w:val="20"/>
                <w:highlight w:val="none"/>
                <w:u w:val="none" w:color="auto"/>
                <w:lang w:val="en-US" w:eastAsia="zh-CN"/>
              </w:rPr>
              <w:t>）</w:t>
            </w:r>
            <w:r>
              <w:rPr>
                <w:rFonts w:hint="eastAsia" w:ascii="仿宋_GB2312" w:hAnsi="仿宋_GB2312" w:eastAsia="仿宋_GB2312" w:cs="仿宋_GB2312"/>
                <w:color w:val="auto"/>
                <w:kern w:val="0"/>
                <w:sz w:val="20"/>
                <w:szCs w:val="20"/>
                <w:highlight w:val="none"/>
                <w:u w:val="none" w:color="auto"/>
              </w:rPr>
              <w:t>第二条</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华侨以及居住在香港、澳门、台湾地区的中国公民在内地收养子女的，应当到被收养人常住户口所在地的直辖市、设区的市、自治州人民政府民政部门或者地区（盟）行政公署民政部门申请办理收养登记。</w:t>
            </w:r>
          </w:p>
        </w:tc>
        <w:tc>
          <w:tcPr>
            <w:tcW w:w="440"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行政确认</w:t>
            </w: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收件</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综合受理窗口公示应提交的材料，一次性告知补正材料</w:t>
            </w:r>
            <w:r>
              <w:rPr>
                <w:rFonts w:hint="eastAsia" w:ascii="仿宋_GB2312" w:hAnsi="仿宋_GB2312" w:eastAsia="仿宋_GB2312" w:cs="仿宋_GB2312"/>
                <w:color w:val="auto"/>
                <w:kern w:val="0"/>
                <w:sz w:val="20"/>
                <w:szCs w:val="20"/>
                <w:highlight w:val="none"/>
                <w:u w:val="none" w:color="auto"/>
                <w:lang w:eastAsia="zh-CN"/>
              </w:rPr>
              <w:t>。</w:t>
            </w:r>
          </w:p>
        </w:tc>
        <w:tc>
          <w:tcPr>
            <w:tcW w:w="253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3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sz w:val="20"/>
                <w:szCs w:val="20"/>
                <w:highlight w:val="none"/>
                <w:u w:val="none" w:color="auto"/>
                <w:lang w:eastAsia="zh-CN"/>
              </w:rPr>
              <w:t>不履行或不正确履行职责，有下列情形的行政机关及相关工作人员应承担相应的责任：</w:t>
            </w:r>
            <w:r>
              <w:rPr>
                <w:rFonts w:hint="eastAsia" w:ascii="仿宋_GB2312" w:hAnsi="仿宋_GB2312" w:eastAsia="仿宋_GB2312" w:cs="仿宋_GB2312"/>
                <w:color w:val="auto"/>
                <w:sz w:val="20"/>
                <w:szCs w:val="20"/>
                <w:highlight w:val="none"/>
                <w:u w:val="none" w:color="auto"/>
                <w:lang w:eastAsia="zh-CN"/>
              </w:rPr>
              <w:br w:type="textWrapping"/>
            </w:r>
            <w:r>
              <w:rPr>
                <w:rFonts w:hint="eastAsia" w:ascii="仿宋_GB2312" w:hAnsi="仿宋_GB2312" w:eastAsia="仿宋_GB2312" w:cs="仿宋_GB2312"/>
                <w:color w:val="auto"/>
                <w:sz w:val="20"/>
                <w:szCs w:val="20"/>
                <w:highlight w:val="none"/>
                <w:u w:val="none" w:color="auto"/>
                <w:lang w:eastAsia="zh-CN"/>
              </w:rPr>
              <w:t>1．为不符合收养登记条件的当事人办理收养登记的；</w:t>
            </w:r>
            <w:r>
              <w:rPr>
                <w:rFonts w:hint="eastAsia" w:ascii="仿宋_GB2312" w:hAnsi="仿宋_GB2312" w:eastAsia="仿宋_GB2312" w:cs="仿宋_GB2312"/>
                <w:color w:val="auto"/>
                <w:sz w:val="20"/>
                <w:szCs w:val="20"/>
                <w:highlight w:val="none"/>
                <w:u w:val="none" w:color="auto"/>
                <w:lang w:eastAsia="zh-CN"/>
              </w:rPr>
              <w:br w:type="textWrapping"/>
            </w:r>
            <w:r>
              <w:rPr>
                <w:rFonts w:hint="eastAsia" w:ascii="仿宋_GB2312" w:hAnsi="仿宋_GB2312" w:eastAsia="仿宋_GB2312" w:cs="仿宋_GB2312"/>
                <w:color w:val="auto"/>
                <w:sz w:val="20"/>
                <w:szCs w:val="20"/>
                <w:highlight w:val="none"/>
                <w:u w:val="none" w:color="auto"/>
                <w:lang w:eastAsia="zh-CN"/>
              </w:rPr>
              <w:t>2．依法应当予以登记而不予登记的；</w:t>
            </w:r>
            <w:r>
              <w:rPr>
                <w:rFonts w:hint="eastAsia" w:ascii="仿宋_GB2312" w:hAnsi="仿宋_GB2312" w:eastAsia="仿宋_GB2312" w:cs="仿宋_GB2312"/>
                <w:color w:val="auto"/>
                <w:sz w:val="20"/>
                <w:szCs w:val="20"/>
                <w:highlight w:val="none"/>
                <w:u w:val="none" w:color="auto"/>
                <w:lang w:eastAsia="zh-CN"/>
              </w:rPr>
              <w:br w:type="textWrapping"/>
            </w:r>
            <w:r>
              <w:rPr>
                <w:rFonts w:hint="eastAsia" w:ascii="仿宋_GB2312" w:hAnsi="仿宋_GB2312" w:eastAsia="仿宋_GB2312" w:cs="仿宋_GB2312"/>
                <w:color w:val="auto"/>
                <w:sz w:val="20"/>
                <w:szCs w:val="20"/>
                <w:highlight w:val="none"/>
                <w:u w:val="none" w:color="auto"/>
                <w:lang w:eastAsia="zh-CN"/>
              </w:rPr>
              <w:t>3．违反程序规定办理收养登记、解除收养关系登记、撤销收养登记及其他证明的；</w:t>
            </w:r>
            <w:r>
              <w:rPr>
                <w:rFonts w:hint="eastAsia" w:ascii="仿宋_GB2312" w:hAnsi="仿宋_GB2312" w:eastAsia="仿宋_GB2312" w:cs="仿宋_GB2312"/>
                <w:color w:val="auto"/>
                <w:sz w:val="20"/>
                <w:szCs w:val="20"/>
                <w:highlight w:val="none"/>
                <w:u w:val="none" w:color="auto"/>
                <w:lang w:eastAsia="zh-CN"/>
              </w:rPr>
              <w:br w:type="textWrapping"/>
            </w:r>
            <w:r>
              <w:rPr>
                <w:rFonts w:hint="eastAsia" w:ascii="仿宋_GB2312" w:hAnsi="仿宋_GB2312" w:eastAsia="仿宋_GB2312" w:cs="仿宋_GB2312"/>
                <w:color w:val="auto"/>
                <w:sz w:val="20"/>
                <w:szCs w:val="20"/>
                <w:highlight w:val="none"/>
                <w:u w:val="none" w:color="auto"/>
                <w:lang w:eastAsia="zh-CN"/>
              </w:rPr>
              <w:t>4．要求当事人提交</w:t>
            </w:r>
            <w:r>
              <w:rPr>
                <w:rFonts w:hint="eastAsia" w:ascii="仿宋_GB2312" w:hAnsi="仿宋_GB2312" w:eastAsia="仿宋_GB2312" w:cs="仿宋_GB2312"/>
                <w:color w:val="auto"/>
                <w:sz w:val="20"/>
                <w:szCs w:val="20"/>
                <w:highlight w:val="none"/>
                <w:u w:val="none" w:color="auto"/>
                <w:lang w:val="en-US" w:eastAsia="zh-CN"/>
              </w:rPr>
              <w:t>政策</w:t>
            </w:r>
            <w:r>
              <w:rPr>
                <w:rFonts w:hint="eastAsia" w:ascii="仿宋_GB2312" w:hAnsi="仿宋_GB2312" w:eastAsia="仿宋_GB2312" w:cs="仿宋_GB2312"/>
                <w:color w:val="auto"/>
                <w:sz w:val="20"/>
                <w:szCs w:val="20"/>
                <w:highlight w:val="none"/>
                <w:u w:val="none" w:color="auto"/>
                <w:lang w:eastAsia="zh-CN"/>
              </w:rPr>
              <w:t>规定以外的证件和证明材料的；</w:t>
            </w:r>
            <w:r>
              <w:rPr>
                <w:rFonts w:hint="eastAsia" w:ascii="仿宋_GB2312" w:hAnsi="仿宋_GB2312" w:eastAsia="仿宋_GB2312" w:cs="仿宋_GB2312"/>
                <w:color w:val="auto"/>
                <w:sz w:val="20"/>
                <w:szCs w:val="20"/>
                <w:highlight w:val="none"/>
                <w:u w:val="none" w:color="auto"/>
                <w:lang w:eastAsia="zh-CN"/>
              </w:rPr>
              <w:br w:type="textWrapping"/>
            </w:r>
            <w:r>
              <w:rPr>
                <w:rFonts w:hint="eastAsia" w:ascii="仿宋_GB2312" w:hAnsi="仿宋_GB2312" w:eastAsia="仿宋_GB2312" w:cs="仿宋_GB2312"/>
                <w:color w:val="auto"/>
                <w:sz w:val="20"/>
                <w:szCs w:val="20"/>
                <w:highlight w:val="none"/>
                <w:u w:val="none" w:color="auto"/>
                <w:lang w:val="en-US" w:eastAsia="zh-CN"/>
              </w:rPr>
              <w:t>5．</w:t>
            </w:r>
            <w:r>
              <w:rPr>
                <w:rFonts w:hint="eastAsia" w:ascii="仿宋_GB2312" w:hAnsi="仿宋_GB2312" w:eastAsia="仿宋_GB2312" w:cs="仿宋_GB2312"/>
                <w:color w:val="auto"/>
                <w:sz w:val="20"/>
                <w:szCs w:val="20"/>
                <w:highlight w:val="none"/>
                <w:u w:val="none" w:color="auto"/>
                <w:lang w:eastAsia="zh-CN"/>
              </w:rPr>
              <w:t>玩忽职守造成收养登记档案损毁的；</w:t>
            </w:r>
            <w:r>
              <w:rPr>
                <w:rFonts w:hint="eastAsia" w:ascii="仿宋_GB2312" w:hAnsi="仿宋_GB2312" w:eastAsia="仿宋_GB2312" w:cs="仿宋_GB2312"/>
                <w:color w:val="auto"/>
                <w:sz w:val="20"/>
                <w:szCs w:val="20"/>
                <w:highlight w:val="none"/>
                <w:u w:val="none" w:color="auto"/>
                <w:lang w:eastAsia="zh-CN"/>
              </w:rPr>
              <w:br w:type="textWrapping"/>
            </w:r>
            <w:r>
              <w:rPr>
                <w:rFonts w:hint="eastAsia" w:ascii="仿宋_GB2312" w:hAnsi="仿宋_GB2312" w:eastAsia="仿宋_GB2312" w:cs="仿宋_GB2312"/>
                <w:color w:val="auto"/>
                <w:sz w:val="20"/>
                <w:szCs w:val="20"/>
                <w:highlight w:val="none"/>
                <w:u w:val="none" w:color="auto"/>
                <w:lang w:val="en-US" w:eastAsia="zh-CN"/>
              </w:rPr>
              <w:t>6．</w:t>
            </w:r>
            <w:r>
              <w:rPr>
                <w:rFonts w:hint="eastAsia" w:ascii="仿宋_GB2312" w:hAnsi="仿宋_GB2312" w:eastAsia="仿宋_GB2312" w:cs="仿宋_GB2312"/>
                <w:color w:val="auto"/>
                <w:sz w:val="20"/>
                <w:szCs w:val="20"/>
                <w:highlight w:val="none"/>
                <w:u w:val="none" w:color="auto"/>
                <w:lang w:eastAsia="zh-CN"/>
              </w:rPr>
              <w:t>泄露当事人收养秘密并造成严重后果的；</w:t>
            </w:r>
            <w:r>
              <w:rPr>
                <w:rFonts w:hint="eastAsia" w:ascii="仿宋_GB2312" w:hAnsi="仿宋_GB2312" w:eastAsia="仿宋_GB2312" w:cs="仿宋_GB2312"/>
                <w:color w:val="auto"/>
                <w:sz w:val="20"/>
                <w:szCs w:val="20"/>
                <w:highlight w:val="none"/>
                <w:u w:val="none" w:color="auto"/>
                <w:lang w:eastAsia="zh-CN"/>
              </w:rPr>
              <w:br w:type="textWrapping"/>
            </w:r>
            <w:r>
              <w:rPr>
                <w:rFonts w:hint="eastAsia" w:ascii="仿宋_GB2312" w:hAnsi="仿宋_GB2312" w:eastAsia="仿宋_GB2312" w:cs="仿宋_GB2312"/>
                <w:color w:val="auto"/>
                <w:sz w:val="20"/>
                <w:szCs w:val="20"/>
                <w:highlight w:val="none"/>
                <w:u w:val="none" w:color="auto"/>
                <w:lang w:val="en-US" w:eastAsia="zh-CN"/>
              </w:rPr>
              <w:t>7．</w:t>
            </w:r>
            <w:r>
              <w:rPr>
                <w:rFonts w:hint="eastAsia" w:ascii="仿宋_GB2312" w:hAnsi="仿宋_GB2312" w:eastAsia="仿宋_GB2312" w:cs="仿宋_GB2312"/>
                <w:color w:val="auto"/>
                <w:sz w:val="20"/>
                <w:szCs w:val="20"/>
                <w:highlight w:val="none"/>
                <w:u w:val="none" w:color="auto"/>
                <w:lang w:eastAsia="zh-CN"/>
              </w:rPr>
              <w:t>购买使用伪造收养证书的。</w:t>
            </w:r>
          </w:p>
        </w:tc>
        <w:tc>
          <w:tcPr>
            <w:tcW w:w="934"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lang w:val="en-US" w:eastAsia="zh-CN"/>
              </w:rPr>
              <w:t>行政审批服务科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30" w:hRule="atLeast"/>
          <w:jc w:val="center"/>
        </w:trPr>
        <w:tc>
          <w:tcPr>
            <w:tcW w:w="52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0"/>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受理</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对申请材料进行初步审核，受理或不予受理（不予受理的依法告知理由）</w:t>
            </w:r>
            <w:r>
              <w:rPr>
                <w:rFonts w:hint="eastAsia" w:ascii="仿宋_GB2312" w:hAnsi="仿宋_GB2312" w:eastAsia="仿宋_GB2312" w:cs="仿宋_GB2312"/>
                <w:color w:val="auto"/>
                <w:kern w:val="0"/>
                <w:sz w:val="20"/>
                <w:szCs w:val="20"/>
                <w:highlight w:val="none"/>
                <w:u w:val="none" w:color="auto"/>
                <w:lang w:eastAsia="zh-CN"/>
              </w:rPr>
              <w:t>。</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3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785" w:hRule="atLeast"/>
          <w:jc w:val="center"/>
        </w:trPr>
        <w:tc>
          <w:tcPr>
            <w:tcW w:w="52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0"/>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审核</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登记机关收到登记申请书及有关材料后进行审查</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对符合法规条件的，为当事人办理登记，收养关系/解除收养关系自登记之日起成立；对不符合法规条件的，不予登记，并对当事人说明理由。</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3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52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0"/>
                <w:sz w:val="20"/>
                <w:szCs w:val="20"/>
                <w:highlight w:val="none"/>
                <w:u w:val="none" w:color="auto"/>
                <w:lang w:val="en-US" w:eastAsia="zh-CN" w:bidi="ar-SA"/>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送达</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lang w:val="en-US" w:eastAsia="zh-CN"/>
              </w:rPr>
              <w:t>申请人到出证窗口领取</w:t>
            </w:r>
            <w:r>
              <w:rPr>
                <w:rFonts w:hint="eastAsia" w:ascii="仿宋_GB2312" w:hAnsi="仿宋_GB2312" w:eastAsia="仿宋_GB2312" w:cs="仿宋_GB2312"/>
                <w:color w:val="auto"/>
                <w:kern w:val="0"/>
                <w:sz w:val="20"/>
                <w:szCs w:val="20"/>
                <w:highlight w:val="none"/>
                <w:u w:val="none" w:color="auto"/>
              </w:rPr>
              <w:t>收养登记证/解除收养关系证明。</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3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25" w:hRule="atLeast"/>
          <w:jc w:val="center"/>
        </w:trPr>
        <w:tc>
          <w:tcPr>
            <w:tcW w:w="52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r>
              <w:rPr>
                <w:rFonts w:hint="eastAsia" w:ascii="仿宋_GB2312" w:hAnsi="仿宋_GB2312" w:eastAsia="仿宋_GB2312" w:cs="仿宋_GB2312"/>
                <w:color w:val="auto"/>
                <w:sz w:val="20"/>
                <w:szCs w:val="20"/>
                <w:highlight w:val="none"/>
                <w:u w:val="none" w:color="auto"/>
                <w:lang w:val="en-US" w:eastAsia="zh-CN"/>
              </w:rPr>
              <w:t>38</w:t>
            </w:r>
          </w:p>
        </w:tc>
        <w:tc>
          <w:tcPr>
            <w:tcW w:w="1112"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慈善组织认定</w:t>
            </w:r>
          </w:p>
        </w:tc>
        <w:tc>
          <w:tcPr>
            <w:tcW w:w="5765"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firstLine="0" w:firstLineChars="0"/>
              <w:jc w:val="both"/>
              <w:textAlignment w:val="center"/>
              <w:outlineLvl w:val="9"/>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lang w:val="en-US" w:eastAsia="zh-CN"/>
              </w:rPr>
              <w:t>1．</w:t>
            </w:r>
            <w:r>
              <w:rPr>
                <w:rFonts w:hint="eastAsia" w:ascii="仿宋_GB2312" w:hAnsi="仿宋_GB2312" w:eastAsia="仿宋_GB2312" w:cs="仿宋_GB2312"/>
                <w:color w:val="auto"/>
                <w:kern w:val="0"/>
                <w:sz w:val="20"/>
                <w:szCs w:val="20"/>
                <w:highlight w:val="none"/>
                <w:u w:val="none" w:color="auto"/>
              </w:rPr>
              <w:t>《中华人民共和国慈善法》第十条</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第二款本法公布前已经设立的基金会、社会团体、社会服务机构等非营利性组织，可以向其登记的民政部门申请认定为慈善组织，民政部门应当自受理申请之日起二十日内作出决定。符合慈善组织条件的，予以认定并向社会公告；不符合慈善组织条件的，不予认定并书面说明理由。</w:t>
            </w:r>
          </w:p>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lang w:val="en-US" w:eastAsia="zh-CN"/>
              </w:rPr>
              <w:t>2．</w:t>
            </w:r>
            <w:r>
              <w:rPr>
                <w:rFonts w:hint="eastAsia" w:ascii="仿宋_GB2312" w:hAnsi="仿宋_GB2312" w:eastAsia="仿宋_GB2312" w:cs="仿宋_GB2312"/>
                <w:color w:val="auto"/>
                <w:kern w:val="0"/>
                <w:sz w:val="20"/>
                <w:szCs w:val="20"/>
                <w:highlight w:val="none"/>
                <w:u w:val="none" w:color="auto"/>
              </w:rPr>
              <w:t>《慈善组织认定办法》中华人民共和国民政部令第58号</w:t>
            </w:r>
          </w:p>
        </w:tc>
        <w:tc>
          <w:tcPr>
            <w:tcW w:w="440"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行政确认</w:t>
            </w: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收件</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收件责任：对办事人提供的材料进行核查，申请材料齐全，予以收件；材料不完整的，退回并告知原因。</w:t>
            </w:r>
          </w:p>
        </w:tc>
        <w:tc>
          <w:tcPr>
            <w:tcW w:w="253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rPr>
              <w:t>不履行或不正确履行职责，有下列情形的行政机关及相关工作人员应承担相应的责任：</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1</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未依法履行信息公开义务的；</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2</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摊派或者变相摊派捐赠任务，强行指定志愿者、慈善组织提供服务的；</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3</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未依法履行监督管理职责的；</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4</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违法实施行政强制措施和行政处罚的；</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5</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私分、挪用、截留或者侵占慈善财产的；</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6</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其他滥用职权、玩忽职守、徇私舞弊的行为。</w:t>
            </w:r>
          </w:p>
        </w:tc>
        <w:tc>
          <w:tcPr>
            <w:tcW w:w="934"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lang w:val="en-US" w:eastAsia="zh-CN"/>
              </w:rPr>
              <w:t>行政审批服务科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531"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受理</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受理责任：对申请材料进行初审，材料符合相关要求的，予以受理，出具《受理通知书》；材料不符合相关要求的，不予受理，出具《不予受理通知书》，并说明理由。</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04"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审核</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审核责任：对材料内容进行审核；按照法律法规规定，需启动特殊环节的，依法进行辅助审查。审核通过，上报审批；审核不通过，退回材料并告知原因。</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69"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决定责任：作出决定，核发许可证明文件。对不准予批准的书面告知当事人，并说明理由。</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72"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送达</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按规定送达当事人。</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01"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其他法律法规规章文件规定的应履行的责任。</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871" w:hRule="atLeast"/>
          <w:jc w:val="center"/>
        </w:trPr>
        <w:tc>
          <w:tcPr>
            <w:tcW w:w="523"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r>
              <w:rPr>
                <w:rFonts w:hint="eastAsia" w:ascii="仿宋_GB2312" w:hAnsi="仿宋_GB2312" w:eastAsia="仿宋_GB2312" w:cs="仿宋_GB2312"/>
                <w:color w:val="auto"/>
                <w:sz w:val="20"/>
                <w:szCs w:val="20"/>
                <w:highlight w:val="none"/>
                <w:u w:val="none" w:color="auto"/>
                <w:lang w:val="en-US" w:eastAsia="zh-CN"/>
              </w:rPr>
              <w:t>39</w:t>
            </w:r>
          </w:p>
        </w:tc>
        <w:tc>
          <w:tcPr>
            <w:tcW w:w="1112"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textAlignment w:val="center"/>
              <w:outlineLvl w:val="9"/>
              <w:rPr>
                <w:rFonts w:hint="eastAsia" w:ascii="仿宋_GB2312" w:hAnsi="仿宋_GB2312" w:eastAsia="仿宋_GB2312" w:cs="仿宋_GB2312"/>
                <w:color w:val="auto"/>
                <w:spacing w:val="-5"/>
                <w:kern w:val="2"/>
                <w:sz w:val="20"/>
                <w:szCs w:val="20"/>
                <w:highlight w:val="none"/>
                <w:u w:val="none" w:color="auto"/>
                <w:lang w:val="en-US" w:eastAsia="zh-CN" w:bidi="ar-SA"/>
              </w:rPr>
            </w:pPr>
            <w:r>
              <w:rPr>
                <w:rFonts w:hint="eastAsia" w:ascii="仿宋_GB2312" w:hAnsi="仿宋_GB2312" w:eastAsia="仿宋_GB2312" w:cs="仿宋_GB2312"/>
                <w:color w:val="auto"/>
                <w:spacing w:val="-5"/>
                <w:kern w:val="0"/>
                <w:sz w:val="20"/>
                <w:szCs w:val="20"/>
                <w:highlight w:val="none"/>
                <w:u w:val="none" w:color="auto"/>
              </w:rPr>
              <w:t>对在社会救助工作中成绩显著的单位和个人进行表彰奖励</w:t>
            </w:r>
          </w:p>
        </w:tc>
        <w:tc>
          <w:tcPr>
            <w:tcW w:w="5765"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textAlignment w:val="center"/>
              <w:outlineLvl w:val="9"/>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《社会救助暂行办法》（国务院令第649号）第八条</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对在社会救助工作中作出显著成绩的单位、个人，按照国家有关规定给予表彰、奖励。</w:t>
            </w:r>
          </w:p>
        </w:tc>
        <w:tc>
          <w:tcPr>
            <w:tcW w:w="440"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行政奖励</w:t>
            </w:r>
          </w:p>
        </w:tc>
        <w:tc>
          <w:tcPr>
            <w:tcW w:w="4111" w:type="dxa"/>
            <w:gridSpan w:val="2"/>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根据社会救助工作要求，对在社会救助工作中成绩显著的单位和个人通过印发文件、发放牌匾的方式进行表彰、奖励。</w:t>
            </w:r>
          </w:p>
        </w:tc>
        <w:tc>
          <w:tcPr>
            <w:tcW w:w="2533"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kern w:val="0"/>
                <w:sz w:val="20"/>
                <w:szCs w:val="20"/>
                <w:highlight w:val="none"/>
                <w:u w:val="none" w:color="auto"/>
                <w:lang w:eastAsia="zh-CN"/>
              </w:rPr>
            </w:pPr>
            <w:r>
              <w:rPr>
                <w:rFonts w:hint="eastAsia" w:ascii="仿宋_GB2312" w:hAnsi="仿宋_GB2312" w:eastAsia="仿宋_GB2312" w:cs="仿宋_GB2312"/>
                <w:color w:val="auto"/>
                <w:kern w:val="0"/>
                <w:sz w:val="20"/>
                <w:szCs w:val="20"/>
                <w:highlight w:val="none"/>
                <w:u w:val="none" w:color="auto"/>
                <w:lang w:val="en-US" w:eastAsia="zh-CN"/>
              </w:rPr>
              <w:t>在提供表彰材料中弄虚作假的个人或单位</w:t>
            </w:r>
          </w:p>
        </w:tc>
        <w:tc>
          <w:tcPr>
            <w:tcW w:w="93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lang w:eastAsia="zh-CN"/>
              </w:rPr>
              <w:t>社会救助科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77" w:hRule="atLeast"/>
          <w:jc w:val="center"/>
        </w:trPr>
        <w:tc>
          <w:tcPr>
            <w:tcW w:w="52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r>
              <w:rPr>
                <w:rFonts w:hint="eastAsia" w:ascii="仿宋_GB2312" w:hAnsi="仿宋_GB2312" w:eastAsia="仿宋_GB2312" w:cs="仿宋_GB2312"/>
                <w:color w:val="auto"/>
                <w:sz w:val="20"/>
                <w:szCs w:val="20"/>
                <w:highlight w:val="none"/>
                <w:u w:val="none" w:color="auto"/>
                <w:lang w:val="en-US" w:eastAsia="zh-CN"/>
              </w:rPr>
              <w:t>40</w:t>
            </w:r>
          </w:p>
        </w:tc>
        <w:tc>
          <w:tcPr>
            <w:tcW w:w="1112"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慈善表彰</w:t>
            </w:r>
          </w:p>
        </w:tc>
        <w:tc>
          <w:tcPr>
            <w:tcW w:w="5765"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firstLine="0" w:firstLineChars="0"/>
              <w:textAlignment w:val="center"/>
              <w:outlineLvl w:val="9"/>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lang w:val="en-US" w:eastAsia="zh-CN"/>
              </w:rPr>
              <w:t>1．</w:t>
            </w:r>
            <w:r>
              <w:rPr>
                <w:rFonts w:hint="eastAsia" w:ascii="仿宋_GB2312" w:hAnsi="仿宋_GB2312" w:eastAsia="仿宋_GB2312" w:cs="仿宋_GB2312"/>
                <w:color w:val="auto"/>
                <w:kern w:val="0"/>
                <w:sz w:val="20"/>
                <w:szCs w:val="20"/>
                <w:highlight w:val="none"/>
                <w:u w:val="none" w:color="auto"/>
              </w:rPr>
              <w:t>《中华人民共和国慈善法》第九十一条</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国家建立慈善表彰制度，对在慈善事业发展中做出突出贡献的自然人、法人和其他组织由县级以上人民政府或有关部门予以表彰。</w:t>
            </w:r>
          </w:p>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lang w:val="en-US" w:eastAsia="zh-CN"/>
              </w:rPr>
              <w:t>2．</w:t>
            </w:r>
            <w:r>
              <w:rPr>
                <w:rFonts w:hint="eastAsia" w:ascii="仿宋_GB2312" w:hAnsi="仿宋_GB2312" w:eastAsia="仿宋_GB2312" w:cs="仿宋_GB2312"/>
                <w:color w:val="auto"/>
                <w:kern w:val="0"/>
                <w:sz w:val="20"/>
                <w:szCs w:val="20"/>
                <w:highlight w:val="none"/>
                <w:u w:val="none" w:color="auto"/>
              </w:rPr>
              <w:t>《河南省人民政府关于促进慈善事业健康发展的实施意见》（豫政〔2016〕7号）</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建立慈善表彰奖励制度。按照国家和我省有关规定</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建立慈善表彰奖励制度。开展</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河南慈善奖</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评选表彰</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对为慈善事业发展做出突出贡献、社会影响较大的个人、法人或组织予以表彰。建立完善志愿者志愿服务记录、嘉许和回馈制度</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鼓励更多的人参加志愿服务活动。</w:t>
            </w:r>
            <w:r>
              <w:rPr>
                <w:rFonts w:hint="eastAsia" w:ascii="仿宋_GB2312" w:hAnsi="仿宋_GB2312" w:eastAsia="仿宋_GB2312" w:cs="仿宋_GB2312"/>
                <w:color w:val="auto"/>
                <w:kern w:val="0"/>
                <w:sz w:val="20"/>
                <w:szCs w:val="20"/>
                <w:highlight w:val="none"/>
                <w:u w:val="none" w:color="auto"/>
                <w:lang w:eastAsia="zh-CN"/>
              </w:rPr>
              <w:t>”</w:t>
            </w:r>
          </w:p>
        </w:tc>
        <w:tc>
          <w:tcPr>
            <w:tcW w:w="440"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行政奖励</w:t>
            </w: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收件</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收件责任：对办事人提供的材料进行核查，申请材料齐全，予以收件；材料不完整的，退回并告知原因。</w:t>
            </w:r>
          </w:p>
        </w:tc>
        <w:tc>
          <w:tcPr>
            <w:tcW w:w="253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rPr>
              <w:t>不履行或不正确履行职责，有下列情形的行政机关及相关工作人员应承担相应的责任：</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1</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未依法履行信息公开义务的；</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2</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摊派或者变相摊派捐赠任务，强行指定志愿者、慈善组织提供服务的；</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3</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未依法履行监督管理职责的；</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4</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违法实施行政强制措施和行政处罚的；</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5</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私分、挪用、截留或者侵占慈善财产的；</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6</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其他滥用职权、玩忽职守、徇私舞弊的行为。</w:t>
            </w:r>
          </w:p>
        </w:tc>
        <w:tc>
          <w:tcPr>
            <w:tcW w:w="934"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lang w:val="en-US" w:eastAsia="zh-CN"/>
              </w:rPr>
              <w:t>行政审批服务科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587"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受理</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受理责任：对收到的推荐或自荐候选对象材料进行汇总、初审。申请材料齐全、符合法定形式的，予以受理；不符合相关要求的，退回并告知原因。</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587"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审核</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审核责任：对候选对象在慈善领域的贡献程度、社会影响、区域和行业布局、申报材料规范程度等因素，提出当届慈善奖建议提名名单。</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587"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决定责任：对提名名单进行审核，将通过的提名名单在市人力资源和社会保障局、市民政局等网站公示。公示期满无异议的，报市政府审定</w:t>
            </w:r>
            <w:r>
              <w:rPr>
                <w:rFonts w:hint="eastAsia" w:ascii="仿宋_GB2312" w:hAnsi="仿宋_GB2312" w:eastAsia="仿宋_GB2312" w:cs="仿宋_GB2312"/>
                <w:color w:val="auto"/>
                <w:kern w:val="0"/>
                <w:sz w:val="20"/>
                <w:szCs w:val="20"/>
                <w:highlight w:val="none"/>
                <w:u w:val="none" w:color="auto"/>
                <w:lang w:eastAsia="zh-CN"/>
              </w:rPr>
              <w:t>。</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191"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送达</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按规定送达当事人。</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191"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其他法律法规规章文件规定的应履行的责任。</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948" w:hRule="atLeast"/>
          <w:jc w:val="center"/>
        </w:trPr>
        <w:tc>
          <w:tcPr>
            <w:tcW w:w="523"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r>
              <w:rPr>
                <w:rFonts w:hint="eastAsia" w:ascii="仿宋_GB2312" w:hAnsi="仿宋_GB2312" w:eastAsia="仿宋_GB2312" w:cs="仿宋_GB2312"/>
                <w:color w:val="auto"/>
                <w:sz w:val="20"/>
                <w:szCs w:val="20"/>
                <w:highlight w:val="none"/>
                <w:u w:val="none" w:color="auto"/>
                <w:lang w:val="en-US" w:eastAsia="zh-CN"/>
              </w:rPr>
              <w:t>41</w:t>
            </w:r>
          </w:p>
        </w:tc>
        <w:tc>
          <w:tcPr>
            <w:tcW w:w="1112" w:type="dxa"/>
            <w:noWrap w:val="0"/>
            <w:vAlign w:val="center"/>
          </w:tcPr>
          <w:p>
            <w:pPr>
              <w:keepNext w:val="0"/>
              <w:keepLines w:val="0"/>
              <w:pageBreakBefore w:val="0"/>
              <w:widowControl w:val="0"/>
              <w:kinsoku/>
              <w:wordWrap/>
              <w:overflowPunct w:val="0"/>
              <w:topLinePunct w:val="0"/>
              <w:autoSpaceDE/>
              <w:autoSpaceDN/>
              <w:bidi w:val="0"/>
              <w:adjustRightInd/>
              <w:snapToGrid/>
              <w:spacing w:line="260" w:lineRule="exact"/>
              <w:ind w:left="0" w:leftChars="0" w:right="0" w:rightChars="0" w:firstLine="0" w:firstLineChars="0"/>
              <w:jc w:val="both"/>
              <w:textAlignment w:val="center"/>
              <w:outlineLvl w:val="9"/>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拟定并组织实施全市有关社会救助工作的措施和标准，分配和监管困难群众救助补助资金，参与拟订社会救助相关办法</w:t>
            </w:r>
          </w:p>
        </w:tc>
        <w:tc>
          <w:tcPr>
            <w:tcW w:w="5765" w:type="dxa"/>
            <w:noWrap w:val="0"/>
            <w:vAlign w:val="center"/>
          </w:tcPr>
          <w:p>
            <w:pPr>
              <w:keepNext w:val="0"/>
              <w:keepLines w:val="0"/>
              <w:pageBreakBefore w:val="0"/>
              <w:widowControl w:val="0"/>
              <w:kinsoku/>
              <w:wordWrap/>
              <w:overflowPunct w:val="0"/>
              <w:topLinePunct w:val="0"/>
              <w:autoSpaceDE/>
              <w:autoSpaceDN/>
              <w:bidi w:val="0"/>
              <w:adjustRightInd/>
              <w:snapToGrid/>
              <w:spacing w:line="260" w:lineRule="exact"/>
              <w:ind w:left="0" w:leftChars="0" w:right="0" w:rightChars="0" w:firstLine="0" w:firstLineChars="0"/>
              <w:textAlignment w:val="center"/>
              <w:outlineLvl w:val="9"/>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b w:val="0"/>
                <w:bCs w:val="0"/>
                <w:color w:val="auto"/>
                <w:kern w:val="0"/>
                <w:sz w:val="20"/>
                <w:szCs w:val="20"/>
                <w:highlight w:val="none"/>
                <w:u w:val="none" w:color="auto"/>
              </w:rPr>
              <w:t>中共南阳市委办公室南阳市人民政府办公室关于印发《南阳市民政局职能配置、内设机构和人员编制规定》的通知。第五条第三项</w:t>
            </w:r>
            <w:r>
              <w:rPr>
                <w:rFonts w:hint="eastAsia" w:ascii="仿宋_GB2312" w:hAnsi="仿宋_GB2312" w:eastAsia="仿宋_GB2312" w:cs="仿宋_GB2312"/>
                <w:b w:val="0"/>
                <w:bCs w:val="0"/>
                <w:color w:val="auto"/>
                <w:kern w:val="0"/>
                <w:sz w:val="20"/>
                <w:szCs w:val="20"/>
                <w:highlight w:val="none"/>
                <w:u w:val="none" w:color="auto"/>
                <w:lang w:eastAsia="zh-CN"/>
              </w:rPr>
              <w:t>社会救助与儿童福利科</w:t>
            </w:r>
            <w:r>
              <w:rPr>
                <w:rFonts w:hint="eastAsia" w:ascii="仿宋_GB2312" w:hAnsi="仿宋_GB2312" w:eastAsia="仿宋_GB2312" w:cs="仿宋_GB2312"/>
                <w:b w:val="0"/>
                <w:bCs w:val="0"/>
                <w:color w:val="auto"/>
                <w:kern w:val="0"/>
                <w:sz w:val="20"/>
                <w:szCs w:val="20"/>
                <w:highlight w:val="none"/>
                <w:u w:val="none" w:color="auto"/>
              </w:rPr>
              <w:t>：拟定并组织实施全市城乡居民最低生活保障、特困人员救助供养、临时救助等社会救助政策性措施和标准，健全城乡社会救助体系，承担困难群众救助补助资金分配和监管工作。组织开展低收入家庭经济状况信息核对工作；参与拟订医疗、住房、教育、就业、司法等救助相关办法。</w:t>
            </w:r>
          </w:p>
        </w:tc>
        <w:tc>
          <w:tcPr>
            <w:tcW w:w="440" w:type="dxa"/>
            <w:noWrap w:val="0"/>
            <w:vAlign w:val="center"/>
          </w:tcPr>
          <w:p>
            <w:pPr>
              <w:keepNext w:val="0"/>
              <w:keepLines w:val="0"/>
              <w:pageBreakBefore w:val="0"/>
              <w:widowControl w:val="0"/>
              <w:kinsoku/>
              <w:wordWrap/>
              <w:overflowPunct w:val="0"/>
              <w:topLinePunct w:val="0"/>
              <w:autoSpaceDE/>
              <w:autoSpaceDN/>
              <w:bidi w:val="0"/>
              <w:adjustRightInd/>
              <w:snapToGrid/>
              <w:spacing w:line="260" w:lineRule="exact"/>
              <w:ind w:left="0" w:leftChars="0" w:right="0" w:rightChars="0" w:firstLine="0" w:firstLineChars="0"/>
              <w:jc w:val="center"/>
              <w:textAlignment w:val="center"/>
              <w:outlineLvl w:val="9"/>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其他职权</w:t>
            </w:r>
          </w:p>
        </w:tc>
        <w:tc>
          <w:tcPr>
            <w:tcW w:w="4111" w:type="dxa"/>
            <w:gridSpan w:val="2"/>
            <w:noWrap w:val="0"/>
            <w:vAlign w:val="center"/>
          </w:tcPr>
          <w:p>
            <w:pPr>
              <w:keepNext w:val="0"/>
              <w:keepLines w:val="0"/>
              <w:pageBreakBefore w:val="0"/>
              <w:widowControl w:val="0"/>
              <w:kinsoku/>
              <w:wordWrap/>
              <w:overflowPunct w:val="0"/>
              <w:topLinePunct w:val="0"/>
              <w:autoSpaceDE/>
              <w:autoSpaceDN/>
              <w:bidi w:val="0"/>
              <w:adjustRightInd/>
              <w:snapToGrid/>
              <w:spacing w:line="260" w:lineRule="exact"/>
              <w:ind w:left="0" w:leftChars="0" w:right="0" w:rightChars="0" w:firstLine="0" w:firstLineChars="0"/>
              <w:jc w:val="both"/>
              <w:textAlignment w:val="center"/>
              <w:outlineLvl w:val="9"/>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根据社会救助工作需要，拟定并组织实施全市城乡居民最低生活保障、特困人员救助供养、临时救助等社会救助政策性措施和标准，健全城乡社会救助体系，承担困难群众救助补助资金分配和监管工作。组织开展低收入家庭经济状况信息核对工作；参与拟订医疗、住房、教育、就业、司法等救助相关办法。</w:t>
            </w:r>
          </w:p>
        </w:tc>
        <w:tc>
          <w:tcPr>
            <w:tcW w:w="2533" w:type="dxa"/>
            <w:noWrap w:val="0"/>
            <w:vAlign w:val="center"/>
          </w:tcPr>
          <w:p>
            <w:pPr>
              <w:keepNext w:val="0"/>
              <w:keepLines w:val="0"/>
              <w:pageBreakBefore w:val="0"/>
              <w:widowControl w:val="0"/>
              <w:kinsoku/>
              <w:wordWrap/>
              <w:overflowPunct w:val="0"/>
              <w:topLinePunct w:val="0"/>
              <w:autoSpaceDE/>
              <w:autoSpaceDN/>
              <w:bidi w:val="0"/>
              <w:adjustRightInd/>
              <w:snapToGrid/>
              <w:spacing w:line="260" w:lineRule="exact"/>
              <w:ind w:firstLine="0" w:firstLineChars="0"/>
              <w:jc w:val="both"/>
              <w:textAlignment w:val="auto"/>
              <w:rPr>
                <w:rFonts w:hint="eastAsia" w:ascii="仿宋_GB2312" w:hAnsi="仿宋_GB2312" w:eastAsia="仿宋_GB2312" w:cs="仿宋_GB2312"/>
                <w:color w:val="auto"/>
                <w:kern w:val="0"/>
                <w:sz w:val="20"/>
                <w:szCs w:val="20"/>
                <w:highlight w:val="none"/>
                <w:u w:val="none" w:color="auto"/>
                <w:lang w:eastAsia="zh-CN"/>
              </w:rPr>
            </w:pPr>
            <w:r>
              <w:rPr>
                <w:rFonts w:hint="eastAsia" w:ascii="仿宋_GB2312" w:hAnsi="仿宋_GB2312" w:eastAsia="仿宋_GB2312" w:cs="仿宋_GB2312"/>
                <w:color w:val="auto"/>
                <w:spacing w:val="-2"/>
                <w:kern w:val="0"/>
                <w:sz w:val="20"/>
                <w:szCs w:val="20"/>
                <w:highlight w:val="none"/>
                <w:u w:val="none" w:color="auto"/>
              </w:rPr>
              <w:t>履行岗位职责有下列情形之一的，应当予以问责</w:t>
            </w:r>
            <w:r>
              <w:rPr>
                <w:rFonts w:hint="eastAsia" w:ascii="仿宋_GB2312" w:hAnsi="仿宋_GB2312" w:eastAsia="仿宋_GB2312" w:cs="仿宋_GB2312"/>
                <w:color w:val="auto"/>
                <w:spacing w:val="-2"/>
                <w:kern w:val="0"/>
                <w:sz w:val="20"/>
                <w:szCs w:val="20"/>
                <w:highlight w:val="none"/>
                <w:u w:val="none" w:color="auto"/>
                <w:lang w:eastAsia="zh-CN"/>
              </w:rPr>
              <w:t>：</w:t>
            </w:r>
            <w:r>
              <w:rPr>
                <w:rFonts w:hint="eastAsia" w:ascii="仿宋_GB2312" w:hAnsi="仿宋_GB2312" w:eastAsia="仿宋_GB2312" w:cs="仿宋_GB2312"/>
                <w:color w:val="auto"/>
                <w:spacing w:val="-2"/>
                <w:kern w:val="0"/>
                <w:sz w:val="20"/>
                <w:szCs w:val="20"/>
                <w:highlight w:val="none"/>
                <w:u w:val="none" w:color="auto"/>
                <w:lang w:val="en-US" w:eastAsia="zh-CN"/>
              </w:rPr>
              <w:t>1．工作落实不力，交办工作办理不及时或质量不高造成被批评、被通报，影响民政系统整体成绩、利益或形象的。2．履职尽责不到位，未按要求完成职责范围内的工作，或对交办的工作任务推诿扯皮、敷衍塞责。</w:t>
            </w:r>
          </w:p>
        </w:tc>
        <w:tc>
          <w:tcPr>
            <w:tcW w:w="93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lang w:eastAsia="zh-CN"/>
              </w:rPr>
              <w:t>社会救助科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86" w:hRule="atLeast"/>
          <w:jc w:val="center"/>
        </w:trPr>
        <w:tc>
          <w:tcPr>
            <w:tcW w:w="523"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r>
              <w:rPr>
                <w:rFonts w:hint="eastAsia" w:ascii="仿宋_GB2312" w:hAnsi="仿宋_GB2312" w:eastAsia="仿宋_GB2312" w:cs="仿宋_GB2312"/>
                <w:color w:val="auto"/>
                <w:sz w:val="20"/>
                <w:szCs w:val="20"/>
                <w:highlight w:val="none"/>
                <w:u w:val="none" w:color="auto"/>
                <w:lang w:val="en-US" w:eastAsia="zh-CN"/>
              </w:rPr>
              <w:t>42</w:t>
            </w:r>
          </w:p>
        </w:tc>
        <w:tc>
          <w:tcPr>
            <w:tcW w:w="1112" w:type="dxa"/>
            <w:noWrap w:val="0"/>
            <w:vAlign w:val="center"/>
          </w:tcPr>
          <w:p>
            <w:pPr>
              <w:keepNext w:val="0"/>
              <w:keepLines w:val="0"/>
              <w:pageBreakBefore w:val="0"/>
              <w:widowControl w:val="0"/>
              <w:kinsoku/>
              <w:wordWrap/>
              <w:overflowPunct w:val="0"/>
              <w:topLinePunct w:val="0"/>
              <w:autoSpaceDE/>
              <w:autoSpaceDN/>
              <w:bidi w:val="0"/>
              <w:adjustRightInd/>
              <w:snapToGrid/>
              <w:spacing w:line="260" w:lineRule="exact"/>
              <w:ind w:left="0" w:leftChars="0" w:right="0" w:rightChars="0" w:firstLine="0" w:firstLineChars="0"/>
              <w:jc w:val="both"/>
              <w:textAlignment w:val="center"/>
              <w:outlineLvl w:val="9"/>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指</w:t>
            </w:r>
            <w:r>
              <w:rPr>
                <w:rFonts w:hint="eastAsia" w:ascii="仿宋_GB2312" w:hAnsi="仿宋_GB2312" w:eastAsia="仿宋_GB2312" w:cs="仿宋_GB2312"/>
                <w:color w:val="auto"/>
                <w:kern w:val="0"/>
                <w:sz w:val="20"/>
                <w:szCs w:val="20"/>
                <w:highlight w:val="none"/>
                <w:u w:val="none" w:color="auto"/>
              </w:rPr>
              <w:t>导各县</w:t>
            </w:r>
            <w:r>
              <w:rPr>
                <w:rFonts w:hint="eastAsia" w:ascii="仿宋_GB2312" w:hAnsi="仿宋_GB2312" w:eastAsia="仿宋_GB2312" w:cs="仿宋_GB2312"/>
                <w:color w:val="auto"/>
                <w:kern w:val="0"/>
                <w:sz w:val="20"/>
                <w:szCs w:val="20"/>
                <w:highlight w:val="none"/>
                <w:u w:val="none" w:color="auto"/>
                <w:lang w:eastAsia="zh-CN"/>
              </w:rPr>
              <w:t>（市）</w:t>
            </w:r>
            <w:r>
              <w:rPr>
                <w:rFonts w:hint="eastAsia" w:ascii="仿宋_GB2312" w:hAnsi="仿宋_GB2312" w:eastAsia="仿宋_GB2312" w:cs="仿宋_GB2312"/>
                <w:color w:val="auto"/>
                <w:kern w:val="0"/>
                <w:sz w:val="20"/>
                <w:szCs w:val="20"/>
                <w:highlight w:val="none"/>
                <w:u w:val="none" w:color="auto"/>
              </w:rPr>
              <w:t>区对最低生活保障对象、特困供养对象、临时救助对象进行监督检查。</w:t>
            </w:r>
          </w:p>
        </w:tc>
        <w:tc>
          <w:tcPr>
            <w:tcW w:w="5765" w:type="dxa"/>
            <w:noWrap w:val="0"/>
            <w:vAlign w:val="center"/>
          </w:tcPr>
          <w:p>
            <w:pPr>
              <w:keepNext w:val="0"/>
              <w:keepLines w:val="0"/>
              <w:pageBreakBefore w:val="0"/>
              <w:widowControl w:val="0"/>
              <w:kinsoku/>
              <w:wordWrap/>
              <w:overflowPunct w:val="0"/>
              <w:topLinePunct w:val="0"/>
              <w:autoSpaceDE/>
              <w:autoSpaceDN/>
              <w:bidi w:val="0"/>
              <w:adjustRightInd/>
              <w:snapToGrid/>
              <w:spacing w:line="260" w:lineRule="exact"/>
              <w:ind w:left="0" w:leftChars="0" w:right="0" w:rightChars="0" w:firstLine="0" w:firstLineChars="0"/>
              <w:jc w:val="left"/>
              <w:textAlignment w:val="center"/>
              <w:outlineLvl w:val="9"/>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《社会救助暂行办法》</w:t>
            </w:r>
            <w:r>
              <w:rPr>
                <w:rFonts w:hint="eastAsia" w:ascii="仿宋_GB2312" w:hAnsi="仿宋_GB2312" w:eastAsia="仿宋_GB2312" w:cs="仿宋_GB2312"/>
                <w:color w:val="auto"/>
                <w:kern w:val="0"/>
                <w:sz w:val="20"/>
                <w:szCs w:val="20"/>
                <w:highlight w:val="none"/>
                <w:u w:val="none" w:color="auto"/>
                <w:lang w:val="en-US" w:eastAsia="zh-CN"/>
              </w:rPr>
              <w:t>（</w:t>
            </w:r>
            <w:r>
              <w:rPr>
                <w:rFonts w:hint="eastAsia" w:ascii="仿宋_GB2312" w:hAnsi="仿宋_GB2312" w:eastAsia="仿宋_GB2312" w:cs="仿宋_GB2312"/>
                <w:color w:val="auto"/>
                <w:kern w:val="0"/>
                <w:sz w:val="20"/>
                <w:szCs w:val="20"/>
                <w:highlight w:val="none"/>
                <w:u w:val="none" w:color="auto"/>
              </w:rPr>
              <w:t>国务院令第649号</w:t>
            </w:r>
            <w:r>
              <w:rPr>
                <w:rFonts w:hint="eastAsia" w:ascii="仿宋_GB2312" w:hAnsi="仿宋_GB2312" w:eastAsia="仿宋_GB2312" w:cs="仿宋_GB2312"/>
                <w:color w:val="auto"/>
                <w:kern w:val="0"/>
                <w:sz w:val="20"/>
                <w:szCs w:val="20"/>
                <w:highlight w:val="none"/>
                <w:u w:val="none" w:color="auto"/>
                <w:lang w:val="en-US" w:eastAsia="zh-CN"/>
              </w:rPr>
              <w:t>）</w:t>
            </w:r>
            <w:r>
              <w:rPr>
                <w:rFonts w:hint="eastAsia" w:ascii="仿宋_GB2312" w:hAnsi="仿宋_GB2312" w:eastAsia="仿宋_GB2312" w:cs="仿宋_GB2312"/>
                <w:color w:val="auto"/>
                <w:kern w:val="0"/>
                <w:sz w:val="20"/>
                <w:szCs w:val="20"/>
                <w:highlight w:val="none"/>
                <w:u w:val="none" w:color="auto"/>
              </w:rPr>
              <w:t>第五十七条</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 xml:space="preserve">县级以上人民政府及其社会救助管理部门应当加强对社会救助工作的监督检查，完善相关监督管理制度。 </w:t>
            </w:r>
          </w:p>
        </w:tc>
        <w:tc>
          <w:tcPr>
            <w:tcW w:w="440" w:type="dxa"/>
            <w:noWrap w:val="0"/>
            <w:vAlign w:val="center"/>
          </w:tcPr>
          <w:p>
            <w:pPr>
              <w:keepNext w:val="0"/>
              <w:keepLines w:val="0"/>
              <w:pageBreakBefore w:val="0"/>
              <w:widowControl w:val="0"/>
              <w:kinsoku/>
              <w:wordWrap/>
              <w:overflowPunct w:val="0"/>
              <w:topLinePunct w:val="0"/>
              <w:autoSpaceDE/>
              <w:autoSpaceDN/>
              <w:bidi w:val="0"/>
              <w:adjustRightInd/>
              <w:snapToGrid/>
              <w:spacing w:line="260" w:lineRule="exact"/>
              <w:ind w:left="0" w:leftChars="0" w:right="0" w:rightChars="0" w:firstLine="0" w:firstLineChars="0"/>
              <w:jc w:val="center"/>
              <w:textAlignment w:val="center"/>
              <w:outlineLvl w:val="9"/>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其他职权</w:t>
            </w:r>
          </w:p>
        </w:tc>
        <w:tc>
          <w:tcPr>
            <w:tcW w:w="4111" w:type="dxa"/>
            <w:gridSpan w:val="2"/>
            <w:noWrap w:val="0"/>
            <w:vAlign w:val="center"/>
          </w:tcPr>
          <w:p>
            <w:pPr>
              <w:keepNext w:val="0"/>
              <w:keepLines w:val="0"/>
              <w:pageBreakBefore w:val="0"/>
              <w:widowControl w:val="0"/>
              <w:kinsoku/>
              <w:wordWrap/>
              <w:overflowPunct w:val="0"/>
              <w:topLinePunct w:val="0"/>
              <w:autoSpaceDE/>
              <w:autoSpaceDN/>
              <w:bidi w:val="0"/>
              <w:adjustRightInd/>
              <w:snapToGrid/>
              <w:spacing w:line="260" w:lineRule="exact"/>
              <w:ind w:left="0" w:leftChars="0" w:right="0" w:rightChars="0" w:firstLine="0" w:firstLineChars="0"/>
              <w:jc w:val="both"/>
              <w:textAlignment w:val="center"/>
              <w:outlineLvl w:val="9"/>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根据社会救助工作需要，指导县区对最低生活保障对象、特困供养对象、临时救助对象进行监督检查。</w:t>
            </w:r>
          </w:p>
        </w:tc>
        <w:tc>
          <w:tcPr>
            <w:tcW w:w="2533" w:type="dxa"/>
            <w:noWrap w:val="0"/>
            <w:vAlign w:val="center"/>
          </w:tcPr>
          <w:p>
            <w:pPr>
              <w:keepNext w:val="0"/>
              <w:keepLines w:val="0"/>
              <w:pageBreakBefore w:val="0"/>
              <w:widowControl w:val="0"/>
              <w:kinsoku/>
              <w:wordWrap/>
              <w:overflowPunct w:val="0"/>
              <w:topLinePunct w:val="0"/>
              <w:autoSpaceDE/>
              <w:autoSpaceDN/>
              <w:bidi w:val="0"/>
              <w:adjustRightInd/>
              <w:snapToGrid/>
              <w:spacing w:line="260" w:lineRule="exact"/>
              <w:ind w:firstLine="0" w:firstLineChars="0"/>
              <w:jc w:val="both"/>
              <w:textAlignment w:val="auto"/>
              <w:rPr>
                <w:rFonts w:hint="eastAsia" w:ascii="仿宋_GB2312" w:hAnsi="仿宋_GB2312" w:eastAsia="仿宋_GB2312" w:cs="仿宋_GB2312"/>
                <w:color w:val="auto"/>
                <w:kern w:val="0"/>
                <w:sz w:val="20"/>
                <w:szCs w:val="20"/>
                <w:highlight w:val="none"/>
                <w:u w:val="none" w:color="auto"/>
                <w:lang w:eastAsia="zh-CN"/>
              </w:rPr>
            </w:pPr>
            <w:r>
              <w:rPr>
                <w:rFonts w:hint="eastAsia" w:ascii="仿宋_GB2312" w:hAnsi="仿宋_GB2312" w:eastAsia="仿宋_GB2312" w:cs="仿宋_GB2312"/>
                <w:color w:val="auto"/>
                <w:spacing w:val="-2"/>
                <w:kern w:val="0"/>
                <w:sz w:val="20"/>
                <w:szCs w:val="20"/>
                <w:highlight w:val="none"/>
                <w:u w:val="none" w:color="auto"/>
              </w:rPr>
              <w:t>不履行或不正确履行职责，有下列情形的行政机关及相关工作人员应承担相应的责任：</w:t>
            </w:r>
            <w:r>
              <w:rPr>
                <w:rFonts w:hint="eastAsia" w:ascii="仿宋_GB2312" w:hAnsi="仿宋_GB2312" w:eastAsia="仿宋_GB2312" w:cs="仿宋_GB2312"/>
                <w:color w:val="auto"/>
                <w:spacing w:val="-2"/>
                <w:kern w:val="0"/>
                <w:sz w:val="20"/>
                <w:szCs w:val="20"/>
                <w:highlight w:val="none"/>
                <w:u w:val="none" w:color="auto"/>
              </w:rPr>
              <w:br w:type="textWrapping"/>
            </w:r>
            <w:r>
              <w:rPr>
                <w:rFonts w:hint="eastAsia" w:ascii="仿宋_GB2312" w:hAnsi="仿宋_GB2312" w:eastAsia="仿宋_GB2312" w:cs="仿宋_GB2312"/>
                <w:color w:val="auto"/>
                <w:spacing w:val="-2"/>
                <w:kern w:val="0"/>
                <w:sz w:val="20"/>
                <w:szCs w:val="20"/>
                <w:highlight w:val="none"/>
                <w:u w:val="none" w:color="auto"/>
              </w:rPr>
              <w:t>1</w:t>
            </w:r>
            <w:r>
              <w:rPr>
                <w:rFonts w:hint="eastAsia" w:ascii="仿宋_GB2312" w:hAnsi="仿宋_GB2312" w:eastAsia="仿宋_GB2312" w:cs="仿宋_GB2312"/>
                <w:color w:val="auto"/>
                <w:spacing w:val="-2"/>
                <w:kern w:val="0"/>
                <w:sz w:val="20"/>
                <w:szCs w:val="20"/>
                <w:highlight w:val="none"/>
                <w:u w:val="none" w:color="auto"/>
                <w:lang w:eastAsia="zh-CN"/>
              </w:rPr>
              <w:t>．</w:t>
            </w:r>
            <w:r>
              <w:rPr>
                <w:rFonts w:hint="eastAsia" w:ascii="仿宋_GB2312" w:hAnsi="仿宋_GB2312" w:eastAsia="仿宋_GB2312" w:cs="仿宋_GB2312"/>
                <w:color w:val="auto"/>
                <w:spacing w:val="-2"/>
                <w:kern w:val="0"/>
                <w:sz w:val="20"/>
                <w:szCs w:val="20"/>
                <w:highlight w:val="none"/>
                <w:u w:val="none" w:color="auto"/>
              </w:rPr>
              <w:t>对符合申请条件的救助申请不予受理的</w:t>
            </w:r>
            <w:r>
              <w:rPr>
                <w:rFonts w:hint="eastAsia" w:ascii="仿宋_GB2312" w:hAnsi="仿宋_GB2312" w:eastAsia="仿宋_GB2312" w:cs="仿宋_GB2312"/>
                <w:color w:val="auto"/>
                <w:spacing w:val="-2"/>
                <w:kern w:val="0"/>
                <w:sz w:val="20"/>
                <w:szCs w:val="20"/>
                <w:highlight w:val="none"/>
                <w:u w:val="none" w:color="auto"/>
                <w:lang w:eastAsia="zh-CN"/>
              </w:rPr>
              <w:t>；</w:t>
            </w:r>
            <w:r>
              <w:rPr>
                <w:rFonts w:hint="eastAsia" w:ascii="仿宋_GB2312" w:hAnsi="仿宋_GB2312" w:eastAsia="仿宋_GB2312" w:cs="仿宋_GB2312"/>
                <w:color w:val="auto"/>
                <w:spacing w:val="-2"/>
                <w:kern w:val="0"/>
                <w:sz w:val="20"/>
                <w:szCs w:val="20"/>
                <w:highlight w:val="none"/>
                <w:u w:val="none" w:color="auto"/>
              </w:rPr>
              <w:br w:type="textWrapping"/>
            </w:r>
            <w:r>
              <w:rPr>
                <w:rFonts w:hint="eastAsia" w:ascii="仿宋_GB2312" w:hAnsi="仿宋_GB2312" w:eastAsia="仿宋_GB2312" w:cs="仿宋_GB2312"/>
                <w:color w:val="auto"/>
                <w:spacing w:val="-2"/>
                <w:kern w:val="0"/>
                <w:sz w:val="20"/>
                <w:szCs w:val="20"/>
                <w:highlight w:val="none"/>
                <w:u w:val="none" w:color="auto"/>
              </w:rPr>
              <w:t>2</w:t>
            </w:r>
            <w:r>
              <w:rPr>
                <w:rFonts w:hint="eastAsia" w:ascii="仿宋_GB2312" w:hAnsi="仿宋_GB2312" w:eastAsia="仿宋_GB2312" w:cs="仿宋_GB2312"/>
                <w:color w:val="auto"/>
                <w:spacing w:val="-2"/>
                <w:kern w:val="0"/>
                <w:sz w:val="20"/>
                <w:szCs w:val="20"/>
                <w:highlight w:val="none"/>
                <w:u w:val="none" w:color="auto"/>
                <w:lang w:eastAsia="zh-CN"/>
              </w:rPr>
              <w:t>．</w:t>
            </w:r>
            <w:r>
              <w:rPr>
                <w:rFonts w:hint="eastAsia" w:ascii="仿宋_GB2312" w:hAnsi="仿宋_GB2312" w:eastAsia="仿宋_GB2312" w:cs="仿宋_GB2312"/>
                <w:color w:val="auto"/>
                <w:spacing w:val="-2"/>
                <w:kern w:val="0"/>
                <w:sz w:val="20"/>
                <w:szCs w:val="20"/>
                <w:highlight w:val="none"/>
                <w:u w:val="none" w:color="auto"/>
              </w:rPr>
              <w:t>对符合救助条件的救助申请不予批准的</w:t>
            </w:r>
            <w:r>
              <w:rPr>
                <w:rFonts w:hint="eastAsia" w:ascii="仿宋_GB2312" w:hAnsi="仿宋_GB2312" w:eastAsia="仿宋_GB2312" w:cs="仿宋_GB2312"/>
                <w:color w:val="auto"/>
                <w:spacing w:val="-2"/>
                <w:kern w:val="0"/>
                <w:sz w:val="20"/>
                <w:szCs w:val="20"/>
                <w:highlight w:val="none"/>
                <w:u w:val="none" w:color="auto"/>
                <w:lang w:eastAsia="zh-CN"/>
              </w:rPr>
              <w:t>；</w:t>
            </w:r>
            <w:r>
              <w:rPr>
                <w:rFonts w:hint="eastAsia" w:ascii="仿宋_GB2312" w:hAnsi="仿宋_GB2312" w:eastAsia="仿宋_GB2312" w:cs="仿宋_GB2312"/>
                <w:color w:val="auto"/>
                <w:spacing w:val="-2"/>
                <w:kern w:val="0"/>
                <w:sz w:val="20"/>
                <w:szCs w:val="20"/>
                <w:highlight w:val="none"/>
                <w:u w:val="none" w:color="auto"/>
              </w:rPr>
              <w:br w:type="textWrapping"/>
            </w:r>
            <w:r>
              <w:rPr>
                <w:rFonts w:hint="eastAsia" w:ascii="仿宋_GB2312" w:hAnsi="仿宋_GB2312" w:eastAsia="仿宋_GB2312" w:cs="仿宋_GB2312"/>
                <w:color w:val="auto"/>
                <w:spacing w:val="-2"/>
                <w:kern w:val="0"/>
                <w:sz w:val="20"/>
                <w:szCs w:val="20"/>
                <w:highlight w:val="none"/>
                <w:u w:val="none" w:color="auto"/>
              </w:rPr>
              <w:t>3</w:t>
            </w:r>
            <w:r>
              <w:rPr>
                <w:rFonts w:hint="eastAsia" w:ascii="仿宋_GB2312" w:hAnsi="仿宋_GB2312" w:eastAsia="仿宋_GB2312" w:cs="仿宋_GB2312"/>
                <w:color w:val="auto"/>
                <w:spacing w:val="-2"/>
                <w:kern w:val="0"/>
                <w:sz w:val="20"/>
                <w:szCs w:val="20"/>
                <w:highlight w:val="none"/>
                <w:u w:val="none" w:color="auto"/>
                <w:lang w:eastAsia="zh-CN"/>
              </w:rPr>
              <w:t>．</w:t>
            </w:r>
            <w:r>
              <w:rPr>
                <w:rFonts w:hint="eastAsia" w:ascii="仿宋_GB2312" w:hAnsi="仿宋_GB2312" w:eastAsia="仿宋_GB2312" w:cs="仿宋_GB2312"/>
                <w:color w:val="auto"/>
                <w:spacing w:val="-2"/>
                <w:kern w:val="0"/>
                <w:sz w:val="20"/>
                <w:szCs w:val="20"/>
                <w:highlight w:val="none"/>
                <w:u w:val="none" w:color="auto"/>
              </w:rPr>
              <w:t>对不符合救助条件的救助申请予以批准的</w:t>
            </w:r>
            <w:r>
              <w:rPr>
                <w:rFonts w:hint="eastAsia" w:ascii="仿宋_GB2312" w:hAnsi="仿宋_GB2312" w:eastAsia="仿宋_GB2312" w:cs="仿宋_GB2312"/>
                <w:color w:val="auto"/>
                <w:spacing w:val="-2"/>
                <w:kern w:val="0"/>
                <w:sz w:val="20"/>
                <w:szCs w:val="20"/>
                <w:highlight w:val="none"/>
                <w:u w:val="none" w:color="auto"/>
                <w:lang w:eastAsia="zh-CN"/>
              </w:rPr>
              <w:t>；</w:t>
            </w:r>
            <w:r>
              <w:rPr>
                <w:rFonts w:hint="eastAsia" w:ascii="仿宋_GB2312" w:hAnsi="仿宋_GB2312" w:eastAsia="仿宋_GB2312" w:cs="仿宋_GB2312"/>
                <w:color w:val="auto"/>
                <w:spacing w:val="-2"/>
                <w:kern w:val="0"/>
                <w:sz w:val="20"/>
                <w:szCs w:val="20"/>
                <w:highlight w:val="none"/>
                <w:u w:val="none" w:color="auto"/>
              </w:rPr>
              <w:t>4</w:t>
            </w:r>
            <w:r>
              <w:rPr>
                <w:rFonts w:hint="eastAsia" w:ascii="仿宋_GB2312" w:hAnsi="仿宋_GB2312" w:eastAsia="仿宋_GB2312" w:cs="仿宋_GB2312"/>
                <w:color w:val="auto"/>
                <w:spacing w:val="-2"/>
                <w:kern w:val="0"/>
                <w:sz w:val="20"/>
                <w:szCs w:val="20"/>
                <w:highlight w:val="none"/>
                <w:u w:val="none" w:color="auto"/>
                <w:lang w:eastAsia="zh-CN"/>
              </w:rPr>
              <w:t>．</w:t>
            </w:r>
            <w:r>
              <w:rPr>
                <w:rFonts w:hint="eastAsia" w:ascii="仿宋_GB2312" w:hAnsi="仿宋_GB2312" w:eastAsia="仿宋_GB2312" w:cs="仿宋_GB2312"/>
                <w:color w:val="auto"/>
                <w:spacing w:val="-2"/>
                <w:kern w:val="0"/>
                <w:sz w:val="20"/>
                <w:szCs w:val="20"/>
                <w:highlight w:val="none"/>
                <w:u w:val="none" w:color="auto"/>
              </w:rPr>
              <w:t>泄露在工作中知悉的公民个人信息，造成后果的</w:t>
            </w:r>
            <w:r>
              <w:rPr>
                <w:rFonts w:hint="eastAsia" w:ascii="仿宋_GB2312" w:hAnsi="仿宋_GB2312" w:eastAsia="仿宋_GB2312" w:cs="仿宋_GB2312"/>
                <w:color w:val="auto"/>
                <w:spacing w:val="-2"/>
                <w:kern w:val="0"/>
                <w:sz w:val="20"/>
                <w:szCs w:val="20"/>
                <w:highlight w:val="none"/>
                <w:u w:val="none" w:color="auto"/>
                <w:lang w:eastAsia="zh-CN"/>
              </w:rPr>
              <w:t>；</w:t>
            </w:r>
            <w:r>
              <w:rPr>
                <w:rFonts w:hint="eastAsia" w:ascii="仿宋_GB2312" w:hAnsi="仿宋_GB2312" w:eastAsia="仿宋_GB2312" w:cs="仿宋_GB2312"/>
                <w:color w:val="auto"/>
                <w:spacing w:val="-2"/>
                <w:kern w:val="0"/>
                <w:sz w:val="20"/>
                <w:szCs w:val="20"/>
                <w:highlight w:val="none"/>
                <w:u w:val="none" w:color="auto"/>
              </w:rPr>
              <w:br w:type="textWrapping"/>
            </w:r>
            <w:r>
              <w:rPr>
                <w:rFonts w:hint="eastAsia" w:ascii="仿宋_GB2312" w:hAnsi="仿宋_GB2312" w:eastAsia="仿宋_GB2312" w:cs="仿宋_GB2312"/>
                <w:color w:val="auto"/>
                <w:spacing w:val="-2"/>
                <w:kern w:val="0"/>
                <w:sz w:val="20"/>
                <w:szCs w:val="20"/>
                <w:highlight w:val="none"/>
                <w:u w:val="none" w:color="auto"/>
              </w:rPr>
              <w:t>5</w:t>
            </w:r>
            <w:r>
              <w:rPr>
                <w:rFonts w:hint="eastAsia" w:ascii="仿宋_GB2312" w:hAnsi="仿宋_GB2312" w:eastAsia="仿宋_GB2312" w:cs="仿宋_GB2312"/>
                <w:color w:val="auto"/>
                <w:spacing w:val="-2"/>
                <w:kern w:val="0"/>
                <w:sz w:val="20"/>
                <w:szCs w:val="20"/>
                <w:highlight w:val="none"/>
                <w:u w:val="none" w:color="auto"/>
                <w:lang w:eastAsia="zh-CN"/>
              </w:rPr>
              <w:t>．</w:t>
            </w:r>
            <w:r>
              <w:rPr>
                <w:rFonts w:hint="eastAsia" w:ascii="仿宋_GB2312" w:hAnsi="仿宋_GB2312" w:eastAsia="仿宋_GB2312" w:cs="仿宋_GB2312"/>
                <w:color w:val="auto"/>
                <w:spacing w:val="-2"/>
                <w:kern w:val="0"/>
                <w:sz w:val="20"/>
                <w:szCs w:val="20"/>
                <w:highlight w:val="none"/>
                <w:u w:val="none" w:color="auto"/>
              </w:rPr>
              <w:t>丢失、篡改接受社会救助款物、服务记录等数据的</w:t>
            </w:r>
            <w:r>
              <w:rPr>
                <w:rFonts w:hint="eastAsia" w:ascii="仿宋_GB2312" w:hAnsi="仿宋_GB2312" w:eastAsia="仿宋_GB2312" w:cs="仿宋_GB2312"/>
                <w:color w:val="auto"/>
                <w:spacing w:val="-2"/>
                <w:kern w:val="0"/>
                <w:sz w:val="20"/>
                <w:szCs w:val="20"/>
                <w:highlight w:val="none"/>
                <w:u w:val="none" w:color="auto"/>
                <w:lang w:eastAsia="zh-CN"/>
              </w:rPr>
              <w:t>；</w:t>
            </w:r>
            <w:r>
              <w:rPr>
                <w:rFonts w:hint="eastAsia" w:ascii="仿宋_GB2312" w:hAnsi="仿宋_GB2312" w:eastAsia="仿宋_GB2312" w:cs="仿宋_GB2312"/>
                <w:color w:val="auto"/>
                <w:spacing w:val="-2"/>
                <w:kern w:val="0"/>
                <w:sz w:val="20"/>
                <w:szCs w:val="20"/>
                <w:highlight w:val="none"/>
                <w:u w:val="none" w:color="auto"/>
              </w:rPr>
              <w:br w:type="textWrapping"/>
            </w:r>
            <w:r>
              <w:rPr>
                <w:rFonts w:hint="eastAsia" w:ascii="仿宋_GB2312" w:hAnsi="仿宋_GB2312" w:eastAsia="仿宋_GB2312" w:cs="仿宋_GB2312"/>
                <w:color w:val="auto"/>
                <w:spacing w:val="-2"/>
                <w:kern w:val="0"/>
                <w:sz w:val="20"/>
                <w:szCs w:val="20"/>
                <w:highlight w:val="none"/>
                <w:u w:val="none" w:color="auto"/>
              </w:rPr>
              <w:t>6</w:t>
            </w:r>
            <w:r>
              <w:rPr>
                <w:rFonts w:hint="eastAsia" w:ascii="仿宋_GB2312" w:hAnsi="仿宋_GB2312" w:eastAsia="仿宋_GB2312" w:cs="仿宋_GB2312"/>
                <w:color w:val="auto"/>
                <w:spacing w:val="-2"/>
                <w:kern w:val="0"/>
                <w:sz w:val="20"/>
                <w:szCs w:val="20"/>
                <w:highlight w:val="none"/>
                <w:u w:val="none" w:color="auto"/>
                <w:lang w:eastAsia="zh-CN"/>
              </w:rPr>
              <w:t>．</w:t>
            </w:r>
            <w:r>
              <w:rPr>
                <w:rFonts w:hint="eastAsia" w:ascii="仿宋_GB2312" w:hAnsi="仿宋_GB2312" w:eastAsia="仿宋_GB2312" w:cs="仿宋_GB2312"/>
                <w:color w:val="auto"/>
                <w:spacing w:val="-2"/>
                <w:kern w:val="0"/>
                <w:sz w:val="20"/>
                <w:szCs w:val="20"/>
                <w:highlight w:val="none"/>
                <w:u w:val="none" w:color="auto"/>
              </w:rPr>
              <w:t>不按照规定发放社会救助资金、物资或者提供相关服务的</w:t>
            </w:r>
            <w:r>
              <w:rPr>
                <w:rFonts w:hint="eastAsia" w:ascii="仿宋_GB2312" w:hAnsi="仿宋_GB2312" w:eastAsia="仿宋_GB2312" w:cs="仿宋_GB2312"/>
                <w:color w:val="auto"/>
                <w:spacing w:val="-2"/>
                <w:kern w:val="0"/>
                <w:sz w:val="20"/>
                <w:szCs w:val="20"/>
                <w:highlight w:val="none"/>
                <w:u w:val="none" w:color="auto"/>
                <w:lang w:eastAsia="zh-CN"/>
              </w:rPr>
              <w:t>；</w:t>
            </w:r>
            <w:r>
              <w:rPr>
                <w:rFonts w:hint="eastAsia" w:ascii="仿宋_GB2312" w:hAnsi="仿宋_GB2312" w:eastAsia="仿宋_GB2312" w:cs="仿宋_GB2312"/>
                <w:color w:val="auto"/>
                <w:spacing w:val="-2"/>
                <w:kern w:val="0"/>
                <w:sz w:val="20"/>
                <w:szCs w:val="20"/>
                <w:highlight w:val="none"/>
                <w:u w:val="none" w:color="auto"/>
              </w:rPr>
              <w:br w:type="textWrapping"/>
            </w:r>
            <w:r>
              <w:rPr>
                <w:rFonts w:hint="eastAsia" w:ascii="仿宋_GB2312" w:hAnsi="仿宋_GB2312" w:eastAsia="仿宋_GB2312" w:cs="仿宋_GB2312"/>
                <w:color w:val="auto"/>
                <w:spacing w:val="-2"/>
                <w:kern w:val="0"/>
                <w:sz w:val="20"/>
                <w:szCs w:val="20"/>
                <w:highlight w:val="none"/>
                <w:u w:val="none" w:color="auto"/>
              </w:rPr>
              <w:t>7</w:t>
            </w:r>
            <w:r>
              <w:rPr>
                <w:rFonts w:hint="eastAsia" w:ascii="仿宋_GB2312" w:hAnsi="仿宋_GB2312" w:eastAsia="仿宋_GB2312" w:cs="仿宋_GB2312"/>
                <w:color w:val="auto"/>
                <w:spacing w:val="-2"/>
                <w:kern w:val="0"/>
                <w:sz w:val="20"/>
                <w:szCs w:val="20"/>
                <w:highlight w:val="none"/>
                <w:u w:val="none" w:color="auto"/>
                <w:lang w:eastAsia="zh-CN"/>
              </w:rPr>
              <w:t>．</w:t>
            </w:r>
            <w:r>
              <w:rPr>
                <w:rFonts w:hint="eastAsia" w:ascii="仿宋_GB2312" w:hAnsi="仿宋_GB2312" w:eastAsia="仿宋_GB2312" w:cs="仿宋_GB2312"/>
                <w:color w:val="auto"/>
                <w:spacing w:val="-2"/>
                <w:kern w:val="0"/>
                <w:sz w:val="20"/>
                <w:szCs w:val="20"/>
                <w:highlight w:val="none"/>
                <w:u w:val="none" w:color="auto"/>
              </w:rPr>
              <w:t>在履行社会救助职责过程中有其他滥用职权、玩忽职守、徇私舞弊行为的。</w:t>
            </w:r>
          </w:p>
        </w:tc>
        <w:tc>
          <w:tcPr>
            <w:tcW w:w="93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lang w:eastAsia="zh-CN"/>
              </w:rPr>
              <w:t>社会救助科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041" w:hRule="atLeast"/>
          <w:jc w:val="center"/>
        </w:trPr>
        <w:tc>
          <w:tcPr>
            <w:tcW w:w="52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lang w:val="en-US" w:eastAsia="zh-CN"/>
              </w:rPr>
              <w:t>43</w:t>
            </w:r>
          </w:p>
        </w:tc>
        <w:tc>
          <w:tcPr>
            <w:tcW w:w="1112"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lang w:val="en-US" w:eastAsia="zh-CN"/>
              </w:rPr>
              <w:t>地名命名、更名、审核上报</w:t>
            </w:r>
          </w:p>
        </w:tc>
        <w:tc>
          <w:tcPr>
            <w:tcW w:w="5765"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《河南省地名管理办法》第十条</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自然地理实体名称的命名、更名按照下列程序和权限审批</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省辖市内涉及两个以上县级行政区域的自然地理实体名称</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由有关县级人民政府提出申请</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经省辖市民政部门审核并提出意见后报省辖市人民政府审批。</w:t>
            </w:r>
          </w:p>
        </w:tc>
        <w:tc>
          <w:tcPr>
            <w:tcW w:w="440"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其他职权</w:t>
            </w: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受理</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县区级人民政府提出申请。</w:t>
            </w:r>
          </w:p>
        </w:tc>
        <w:tc>
          <w:tcPr>
            <w:tcW w:w="253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不履行或不正确履行职责，有下列情形的行政机关及相关工作人员应承担相应的责任：</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1</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不按照《地名管理条例》和本办法规定的地名命名、更名与销名的程序和权限作出审核意见的</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2</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不按照规定设置地名标志的</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3</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其他滥用职权、玩忽职守、徇私舞弊的行为。</w:t>
            </w:r>
          </w:p>
        </w:tc>
        <w:tc>
          <w:tcPr>
            <w:tcW w:w="93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市政府办</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041"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审查</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lang w:eastAsia="zh-CN"/>
              </w:rPr>
            </w:pPr>
            <w:r>
              <w:rPr>
                <w:rFonts w:hint="eastAsia" w:ascii="仿宋_GB2312" w:hAnsi="仿宋_GB2312" w:eastAsia="仿宋_GB2312" w:cs="仿宋_GB2312"/>
                <w:color w:val="auto"/>
                <w:kern w:val="0"/>
                <w:sz w:val="20"/>
                <w:szCs w:val="20"/>
                <w:highlight w:val="none"/>
                <w:u w:val="none" w:color="auto"/>
              </w:rPr>
              <w:t>提交的文件、材料进行审核</w:t>
            </w:r>
            <w:r>
              <w:rPr>
                <w:rFonts w:hint="eastAsia" w:ascii="仿宋_GB2312" w:hAnsi="仿宋_GB2312" w:eastAsia="仿宋_GB2312" w:cs="仿宋_GB2312"/>
                <w:color w:val="auto"/>
                <w:kern w:val="0"/>
                <w:sz w:val="20"/>
                <w:szCs w:val="20"/>
                <w:highlight w:val="none"/>
                <w:u w:val="none" w:color="auto"/>
                <w:lang w:eastAsia="zh-CN"/>
              </w:rPr>
              <w:t>。</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93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pacing w:val="-12"/>
                <w:sz w:val="20"/>
                <w:szCs w:val="20"/>
                <w:highlight w:val="none"/>
                <w:u w:val="none" w:color="auto"/>
              </w:rPr>
            </w:pPr>
            <w:r>
              <w:rPr>
                <w:rFonts w:hint="eastAsia" w:ascii="仿宋_GB2312" w:hAnsi="仿宋_GB2312" w:eastAsia="仿宋_GB2312" w:cs="仿宋_GB2312"/>
                <w:color w:val="auto"/>
                <w:spacing w:val="-12"/>
                <w:kern w:val="0"/>
                <w:sz w:val="20"/>
                <w:szCs w:val="20"/>
                <w:highlight w:val="none"/>
                <w:u w:val="none" w:color="auto"/>
              </w:rPr>
              <w:t>区划地名科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041"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决定</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经材料审查，符合法规要求的报政府审批。</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934"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市政府办</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041"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送达</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市人民政府批复同意。</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sz w:val="20"/>
                <w:szCs w:val="20"/>
                <w:highlight w:val="none"/>
                <w:u w:val="none" w:color="auto"/>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711" w:hRule="atLeast"/>
          <w:jc w:val="center"/>
        </w:trPr>
        <w:tc>
          <w:tcPr>
            <w:tcW w:w="52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lang w:val="en-US" w:eastAsia="zh-CN"/>
              </w:rPr>
              <w:t>44</w:t>
            </w:r>
          </w:p>
        </w:tc>
        <w:tc>
          <w:tcPr>
            <w:tcW w:w="1112"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地名的命名、更名审核及转报</w:t>
            </w:r>
          </w:p>
        </w:tc>
        <w:tc>
          <w:tcPr>
            <w:tcW w:w="5765"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20" w:lineRule="exact"/>
              <w:ind w:firstLine="0" w:firstLineChars="0"/>
              <w:jc w:val="both"/>
              <w:textAlignment w:val="top"/>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《河南省地名管理办法》第十条</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自然地理实体名称的命名、更名按照下列程序和权限审批</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一</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国内外著名的或者涉及省外的自然地理实体名称</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由省民政部门提出意见</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经省人民政府审核后报国务院审批</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二</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省内涉及两个以上省辖市行政区域的自然地理实体名称</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由有关省辖市人民政府提出申请</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经省民政部门审核并提出意见后报省人民政府审批。第十一条</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行政区划名称的命名、更名</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按照国务院《关于行政区划管理的规定》办理</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第十五条</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专业区名称的命名、更名按照下列程序和权限审批</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一</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产业集聚区、工业区、开发区、保税区、煤田、油田、农区、林区、渔区、矿区等专业区名称的命名、更名</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由专业区管理部门提出申请</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经所在地县级以上民政部门审核并提出意见后报本级人民政府审批</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二</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省辖市所辖城市新区名称的命名、更名</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由省辖市人民政府提出申请</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经省民政部门审核并提出意见后报省人民政府审批。第十七条</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纪念地和旅游地名称的命名、更名</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由纪念地和旅游地的管理单位向其专业主管部门提出申请</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征得所在地民政部门同意后由专业主管部门审批。第二十条</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因自然变化、行政区划调整和城乡建设等原因消失的地名</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应当按照《地名管理条例》和本办法规定的地名命名、更名的审批程序和权限予以销名。县级以上民政部门应当建立历史地名档案和历史地名保护名录</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历史地名保护名录中的在用地名不得随意更名。</w:t>
            </w:r>
          </w:p>
          <w:p>
            <w:pPr>
              <w:keepNext w:val="0"/>
              <w:keepLines w:val="0"/>
              <w:pageBreakBefore w:val="0"/>
              <w:widowControl w:val="0"/>
              <w:kinsoku/>
              <w:wordWrap/>
              <w:overflowPunct w:val="0"/>
              <w:topLinePunct w:val="0"/>
              <w:autoSpaceDE/>
              <w:autoSpaceDN/>
              <w:bidi w:val="0"/>
              <w:adjustRightInd/>
              <w:snapToGrid/>
              <w:spacing w:line="220" w:lineRule="exact"/>
              <w:ind w:firstLine="0" w:firstLineChars="0"/>
              <w:jc w:val="both"/>
              <w:textAlignment w:val="top"/>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spacing w:val="-3"/>
                <w:kern w:val="0"/>
                <w:sz w:val="20"/>
                <w:szCs w:val="20"/>
                <w:highlight w:val="none"/>
                <w:u w:val="none" w:color="auto"/>
              </w:rPr>
              <w:t>《行政区划管理条例》第四条</w:t>
            </w:r>
            <w:r>
              <w:rPr>
                <w:rFonts w:hint="eastAsia" w:ascii="仿宋_GB2312" w:hAnsi="仿宋_GB2312" w:eastAsia="仿宋_GB2312" w:cs="仿宋_GB2312"/>
                <w:color w:val="auto"/>
                <w:spacing w:val="-3"/>
                <w:kern w:val="0"/>
                <w:sz w:val="20"/>
                <w:szCs w:val="20"/>
                <w:highlight w:val="none"/>
                <w:u w:val="none" w:color="auto"/>
                <w:lang w:eastAsia="zh-CN"/>
              </w:rPr>
              <w:t>：</w:t>
            </w:r>
            <w:r>
              <w:rPr>
                <w:rFonts w:hint="eastAsia" w:ascii="仿宋_GB2312" w:hAnsi="仿宋_GB2312" w:eastAsia="仿宋_GB2312" w:cs="仿宋_GB2312"/>
                <w:color w:val="auto"/>
                <w:spacing w:val="-3"/>
                <w:kern w:val="0"/>
                <w:sz w:val="20"/>
                <w:szCs w:val="20"/>
                <w:highlight w:val="none"/>
                <w:u w:val="none" w:color="auto"/>
              </w:rPr>
              <w:t>国务院民政部门负责全国行政区划的具体管理工作。国务院其他有关部门按照各自职责做好全国行政区划相关的管理工作。县级以上地方人民政府民政部门负责本行政区域行政区划的具体管理工作。县级以上地方人民政府其他有关部门按照各自职责做好本行政区域行政区划相关的管理工作。第六条</w:t>
            </w:r>
            <w:r>
              <w:rPr>
                <w:rFonts w:hint="eastAsia" w:ascii="仿宋_GB2312" w:hAnsi="仿宋_GB2312" w:eastAsia="仿宋_GB2312" w:cs="仿宋_GB2312"/>
                <w:color w:val="auto"/>
                <w:spacing w:val="-3"/>
                <w:kern w:val="0"/>
                <w:sz w:val="20"/>
                <w:szCs w:val="20"/>
                <w:highlight w:val="none"/>
                <w:u w:val="none" w:color="auto"/>
                <w:lang w:eastAsia="zh-CN"/>
              </w:rPr>
              <w:t>：</w:t>
            </w:r>
            <w:r>
              <w:rPr>
                <w:rFonts w:hint="eastAsia" w:ascii="仿宋_GB2312" w:hAnsi="仿宋_GB2312" w:eastAsia="仿宋_GB2312" w:cs="仿宋_GB2312"/>
                <w:color w:val="auto"/>
                <w:spacing w:val="-3"/>
                <w:kern w:val="0"/>
                <w:sz w:val="20"/>
                <w:szCs w:val="20"/>
                <w:highlight w:val="none"/>
                <w:u w:val="none" w:color="auto"/>
              </w:rPr>
              <w:t>省、自治区、直辖市的设立、撤销、更名，报全国人民代表大会批准。第七条</w:t>
            </w:r>
            <w:r>
              <w:rPr>
                <w:rFonts w:hint="eastAsia" w:ascii="仿宋_GB2312" w:hAnsi="仿宋_GB2312" w:eastAsia="仿宋_GB2312" w:cs="仿宋_GB2312"/>
                <w:color w:val="auto"/>
                <w:spacing w:val="-3"/>
                <w:kern w:val="0"/>
                <w:sz w:val="20"/>
                <w:szCs w:val="20"/>
                <w:highlight w:val="none"/>
                <w:u w:val="none" w:color="auto"/>
                <w:lang w:eastAsia="zh-CN"/>
              </w:rPr>
              <w:t>：</w:t>
            </w:r>
            <w:r>
              <w:rPr>
                <w:rFonts w:hint="eastAsia" w:ascii="仿宋_GB2312" w:hAnsi="仿宋_GB2312" w:eastAsia="仿宋_GB2312" w:cs="仿宋_GB2312"/>
                <w:color w:val="auto"/>
                <w:spacing w:val="-3"/>
                <w:kern w:val="0"/>
                <w:sz w:val="20"/>
                <w:szCs w:val="20"/>
                <w:highlight w:val="none"/>
                <w:u w:val="none" w:color="auto"/>
              </w:rPr>
              <w:t>下列行政区划的变更由国务院审批：（二）自治州、县、自治县、市、市辖区的设立、撤销、更名和隶属关系的变更以及自治州、自治县、设区的市人民政府驻地的迁移；（四）凡涉及海岸线、海岛、边疆要地、湖泊、重要资源地区及特殊情况地区的隶属关系或者行政区域界线的变更。第十二条</w:t>
            </w:r>
            <w:r>
              <w:rPr>
                <w:rFonts w:hint="eastAsia" w:ascii="仿宋_GB2312" w:hAnsi="仿宋_GB2312" w:eastAsia="仿宋_GB2312" w:cs="仿宋_GB2312"/>
                <w:color w:val="auto"/>
                <w:spacing w:val="-3"/>
                <w:kern w:val="0"/>
                <w:sz w:val="20"/>
                <w:szCs w:val="20"/>
                <w:highlight w:val="none"/>
                <w:u w:val="none" w:color="auto"/>
                <w:lang w:eastAsia="zh-CN"/>
              </w:rPr>
              <w:t>：</w:t>
            </w:r>
            <w:r>
              <w:rPr>
                <w:rFonts w:hint="eastAsia" w:ascii="仿宋_GB2312" w:hAnsi="仿宋_GB2312" w:eastAsia="仿宋_GB2312" w:cs="仿宋_GB2312"/>
                <w:color w:val="auto"/>
                <w:spacing w:val="-3"/>
                <w:kern w:val="0"/>
                <w:sz w:val="20"/>
                <w:szCs w:val="20"/>
                <w:highlight w:val="none"/>
                <w:u w:val="none" w:color="auto"/>
              </w:rPr>
              <w:t>依照本条例报送国务院备案的事项，径送国务院民政部门。</w:t>
            </w:r>
          </w:p>
        </w:tc>
        <w:tc>
          <w:tcPr>
            <w:tcW w:w="440"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其他职权</w:t>
            </w: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受理</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县区级人民政府或专业部门提出申请。</w:t>
            </w:r>
          </w:p>
        </w:tc>
        <w:tc>
          <w:tcPr>
            <w:tcW w:w="253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不履行或不正确履行职责，有下列情形的行政机关及相关工作人员应承担相应的责任：</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1</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不按照《地名管理条例》和本办法规定的地名命名、更名与销名的程序和权限作出审核意见的</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2</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不按照规定设置地名标志的</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3</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其他滥用职权、玩忽职守、徇私舞弊的行为。</w:t>
            </w:r>
          </w:p>
        </w:tc>
        <w:tc>
          <w:tcPr>
            <w:tcW w:w="93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市政府办</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118"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right"/>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审查</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民政部门进行材料审查，按照《河南省地名管理办法》第十条第二款和第十五条第二款；根据需要征求有关部门意见，组织专家论证，提出初审意见。</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93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pacing w:val="-12"/>
                <w:sz w:val="20"/>
                <w:szCs w:val="20"/>
                <w:highlight w:val="none"/>
                <w:u w:val="none" w:color="auto"/>
              </w:rPr>
            </w:pPr>
            <w:r>
              <w:rPr>
                <w:rFonts w:hint="eastAsia" w:ascii="仿宋_GB2312" w:hAnsi="仿宋_GB2312" w:eastAsia="仿宋_GB2312" w:cs="仿宋_GB2312"/>
                <w:color w:val="auto"/>
                <w:spacing w:val="-12"/>
                <w:kern w:val="0"/>
                <w:sz w:val="20"/>
                <w:szCs w:val="20"/>
                <w:highlight w:val="none"/>
                <w:u w:val="none" w:color="auto"/>
              </w:rPr>
              <w:t>区划地名科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891"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right"/>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决定</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民政部门向市政府提出是否进行命名、更名的审查建议，由市政府审核。</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934"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市政府办</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034"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right"/>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送达</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将审核意见报送省政府。</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sz w:val="20"/>
                <w:szCs w:val="20"/>
                <w:highlight w:val="none"/>
                <w:u w:val="none" w:color="auto"/>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20" w:hRule="atLeast"/>
          <w:jc w:val="center"/>
        </w:trPr>
        <w:tc>
          <w:tcPr>
            <w:tcW w:w="52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lang w:val="en-US" w:eastAsia="zh-CN"/>
              </w:rPr>
              <w:t>45</w:t>
            </w:r>
          </w:p>
        </w:tc>
        <w:tc>
          <w:tcPr>
            <w:tcW w:w="1112"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lang w:val="en-US" w:eastAsia="zh-CN"/>
              </w:rPr>
              <w:t>县（市）区所辖乡镇设立、撤销、更名，政府驻地迁移、部分行政区域界线变更审核上报</w:t>
            </w:r>
          </w:p>
        </w:tc>
        <w:tc>
          <w:tcPr>
            <w:tcW w:w="5765"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《行政区划管理条例》第四条</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国务院民政部门负责全国行政区划的具体管理工作。县级以上地方人民政府民政部门负责本行政区域行政区划的具体管理工作。第七条</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下列行政区划的变更由国务院审批</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（二）自治州、县、自治县、市、市辖区的设立、撤销、更名和隶属关系的变更以及自治州、自治县、设区的市人民政府驻地的迁移；第八条</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县、市、市辖区的部分行政区域界线的变更，县、不设区的市、市辖区人民政府驻地的迁移，国务院授权省、自治区、直辖市人民政府审批；批准变更时，同时报送国务院备案。</w:t>
            </w:r>
          </w:p>
        </w:tc>
        <w:tc>
          <w:tcPr>
            <w:tcW w:w="440"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其他职权</w:t>
            </w: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受理</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县区级人民政府提出申请。</w:t>
            </w:r>
          </w:p>
        </w:tc>
        <w:tc>
          <w:tcPr>
            <w:tcW w:w="253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1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不履行或不正确履行职责，有下列情形的行政机关及相关工作人员应承担相应的责任：</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1</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不按照《地名管理条例》和本办法规定的地名命名、更名与销名的程序和权限作出审核意见的</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2</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不按照规定设置地名标志的</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3</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其他滥用职权、玩忽职守、徇私舞弊的行为。</w:t>
            </w:r>
          </w:p>
        </w:tc>
        <w:tc>
          <w:tcPr>
            <w:tcW w:w="93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市政府办</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20"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审查</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材料进行审核，实地查看。</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1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93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区划地名科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20"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决定</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提请市政府研究决定是否上报上一级政府。</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1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934"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市政府办</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20"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送达</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市政府研究同意后报送省政府。</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10" w:lineRule="exact"/>
              <w:ind w:firstLine="0" w:firstLineChars="0"/>
              <w:jc w:val="both"/>
              <w:rPr>
                <w:rFonts w:hint="eastAsia" w:ascii="仿宋_GB2312" w:hAnsi="仿宋_GB2312" w:eastAsia="仿宋_GB2312" w:cs="仿宋_GB2312"/>
                <w:color w:val="auto"/>
                <w:sz w:val="20"/>
                <w:szCs w:val="20"/>
                <w:highlight w:val="none"/>
                <w:u w:val="none" w:color="auto"/>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20" w:hRule="atLeast"/>
          <w:jc w:val="center"/>
        </w:trPr>
        <w:tc>
          <w:tcPr>
            <w:tcW w:w="52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lang w:val="en-US" w:eastAsia="zh-CN"/>
              </w:rPr>
            </w:pPr>
            <w:r>
              <w:rPr>
                <w:rFonts w:hint="eastAsia" w:ascii="仿宋_GB2312" w:hAnsi="仿宋_GB2312" w:eastAsia="仿宋_GB2312" w:cs="仿宋_GB2312"/>
                <w:color w:val="auto"/>
                <w:sz w:val="20"/>
                <w:szCs w:val="20"/>
                <w:highlight w:val="none"/>
                <w:u w:val="none" w:color="auto"/>
                <w:lang w:val="en-US" w:eastAsia="zh-CN"/>
              </w:rPr>
              <w:t>46</w:t>
            </w:r>
          </w:p>
        </w:tc>
        <w:tc>
          <w:tcPr>
            <w:tcW w:w="1112"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街道办事处的设立、撤销、更名审核，驻地迁移审核</w:t>
            </w:r>
          </w:p>
        </w:tc>
        <w:tc>
          <w:tcPr>
            <w:tcW w:w="5765"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lang w:eastAsia="zh-CN"/>
              </w:rPr>
            </w:pPr>
            <w:r>
              <w:rPr>
                <w:rFonts w:hint="eastAsia" w:ascii="仿宋_GB2312" w:hAnsi="仿宋_GB2312" w:eastAsia="仿宋_GB2312" w:cs="仿宋_GB2312"/>
                <w:color w:val="auto"/>
                <w:kern w:val="0"/>
                <w:sz w:val="20"/>
                <w:szCs w:val="20"/>
                <w:highlight w:val="none"/>
                <w:u w:val="none" w:color="auto"/>
              </w:rPr>
              <w:t>《行政区划管理条例》第十条</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依照法律、国家有关规定设立的地方人民政府的派出机关的撤销、更名、驻地迁移、管辖范围的确定和变更，由批准设立该派出机关的人民政府审批</w:t>
            </w:r>
            <w:r>
              <w:rPr>
                <w:rFonts w:hint="eastAsia" w:ascii="仿宋_GB2312" w:hAnsi="仿宋_GB2312" w:eastAsia="仿宋_GB2312" w:cs="仿宋_GB2312"/>
                <w:color w:val="auto"/>
                <w:kern w:val="0"/>
                <w:sz w:val="20"/>
                <w:szCs w:val="20"/>
                <w:highlight w:val="none"/>
                <w:u w:val="none" w:color="auto"/>
                <w:lang w:eastAsia="zh-CN"/>
              </w:rPr>
              <w:t>。</w:t>
            </w:r>
          </w:p>
        </w:tc>
        <w:tc>
          <w:tcPr>
            <w:tcW w:w="440"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其他职权</w:t>
            </w: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受理</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县区级人民政府提出申请。</w:t>
            </w:r>
          </w:p>
        </w:tc>
        <w:tc>
          <w:tcPr>
            <w:tcW w:w="253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10" w:lineRule="exact"/>
              <w:ind w:left="0" w:leftChars="0" w:right="0" w:rightChars="0" w:firstLine="0" w:firstLineChars="0"/>
              <w:jc w:val="both"/>
              <w:textAlignment w:val="center"/>
              <w:outlineLvl w:val="9"/>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不履行或不正确履行职责，有下列情形的行政机关及相关工作人员应承担相应的责任：</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1</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不按照《地名管理条例》和本办法规定的地名命名、更名与销名的程序和权限作出审核意见的</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2</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不按照规定设置地名标志的</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3</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其他滥用职权、玩忽职守、徇私舞弊的行为。</w:t>
            </w:r>
          </w:p>
        </w:tc>
        <w:tc>
          <w:tcPr>
            <w:tcW w:w="93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市政府办</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20"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审查</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材料进行审核，实地查看。</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10" w:lineRule="exact"/>
              <w:ind w:left="0" w:leftChars="0" w:right="0" w:rightChars="0" w:firstLine="0" w:firstLineChars="0"/>
              <w:jc w:val="both"/>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93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区划地名科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20"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决定</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提请市政府研究决定。</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10" w:lineRule="exact"/>
              <w:ind w:left="0" w:leftChars="0" w:right="0" w:rightChars="0" w:firstLine="0" w:firstLineChars="0"/>
              <w:jc w:val="both"/>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934"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市政府办</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20"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送达</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市政府研究同意后批复或上报省政府。</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10" w:lineRule="exact"/>
              <w:ind w:left="0" w:leftChars="0" w:right="0" w:rightChars="0" w:firstLine="0" w:firstLineChars="0"/>
              <w:jc w:val="both"/>
              <w:textAlignment w:val="center"/>
              <w:outlineLvl w:val="9"/>
              <w:rPr>
                <w:rFonts w:hint="eastAsia" w:ascii="仿宋_GB2312" w:hAnsi="仿宋_GB2312" w:eastAsia="仿宋_GB2312" w:cs="仿宋_GB2312"/>
                <w:color w:val="auto"/>
                <w:sz w:val="20"/>
                <w:szCs w:val="20"/>
                <w:highlight w:val="none"/>
                <w:u w:val="none" w:color="auto"/>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color w:val="auto"/>
                <w:sz w:val="20"/>
                <w:szCs w:val="20"/>
                <w:highlight w:val="none"/>
                <w:u w:val="none" w:color="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20" w:hRule="atLeast"/>
          <w:jc w:val="center"/>
        </w:trPr>
        <w:tc>
          <w:tcPr>
            <w:tcW w:w="52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lang w:val="en-US" w:eastAsia="zh-CN"/>
              </w:rPr>
              <w:t>47</w:t>
            </w:r>
          </w:p>
        </w:tc>
        <w:tc>
          <w:tcPr>
            <w:tcW w:w="1112"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道路（街巷）的命名、更名</w:t>
            </w:r>
          </w:p>
        </w:tc>
        <w:tc>
          <w:tcPr>
            <w:tcW w:w="5765"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w:t>
            </w:r>
            <w:r>
              <w:rPr>
                <w:rFonts w:hint="eastAsia" w:ascii="仿宋_GB2312" w:hAnsi="仿宋_GB2312" w:eastAsia="仿宋_GB2312" w:cs="仿宋_GB2312"/>
                <w:color w:val="auto"/>
                <w:kern w:val="0"/>
                <w:sz w:val="20"/>
                <w:szCs w:val="20"/>
                <w:highlight w:val="none"/>
                <w:u w:val="none" w:color="auto"/>
                <w:lang w:eastAsia="zh-CN"/>
              </w:rPr>
              <w:t>地名管理条例</w:t>
            </w:r>
            <w:r>
              <w:rPr>
                <w:rFonts w:hint="eastAsia" w:ascii="仿宋_GB2312" w:hAnsi="仿宋_GB2312" w:eastAsia="仿宋_GB2312" w:cs="仿宋_GB2312"/>
                <w:color w:val="auto"/>
                <w:kern w:val="0"/>
                <w:sz w:val="20"/>
                <w:szCs w:val="20"/>
                <w:highlight w:val="none"/>
                <w:u w:val="none" w:color="auto"/>
              </w:rPr>
              <w:t>》（国务院令第</w:t>
            </w:r>
            <w:r>
              <w:rPr>
                <w:rFonts w:hint="eastAsia" w:ascii="仿宋_GB2312" w:hAnsi="仿宋_GB2312" w:eastAsia="仿宋_GB2312" w:cs="仿宋_GB2312"/>
                <w:color w:val="auto"/>
                <w:kern w:val="0"/>
                <w:sz w:val="20"/>
                <w:szCs w:val="20"/>
                <w:highlight w:val="none"/>
                <w:u w:val="none" w:color="auto"/>
                <w:lang w:val="en-US" w:eastAsia="zh-CN"/>
              </w:rPr>
              <w:t>753</w:t>
            </w:r>
            <w:r>
              <w:rPr>
                <w:rFonts w:hint="eastAsia" w:ascii="仿宋_GB2312" w:hAnsi="仿宋_GB2312" w:eastAsia="仿宋_GB2312" w:cs="仿宋_GB2312"/>
                <w:color w:val="auto"/>
                <w:kern w:val="0"/>
                <w:sz w:val="20"/>
                <w:szCs w:val="20"/>
                <w:highlight w:val="none"/>
                <w:u w:val="none" w:color="auto"/>
              </w:rPr>
              <w:t>号）第十二条 批准地名命名、更名应当遵循下列规定：（五）街路巷的命名、更名，由直辖市、市、县人民政府批准；</w:t>
            </w:r>
            <w:r>
              <w:rPr>
                <w:rFonts w:hint="eastAsia" w:ascii="仿宋_GB2312" w:hAnsi="仿宋_GB2312" w:eastAsia="仿宋_GB2312" w:cs="仿宋_GB2312"/>
                <w:color w:val="auto"/>
                <w:kern w:val="0"/>
                <w:sz w:val="20"/>
                <w:szCs w:val="20"/>
                <w:highlight w:val="none"/>
                <w:u w:val="none" w:color="auto"/>
                <w:lang w:eastAsia="zh-CN"/>
              </w:rPr>
              <w:t>第七条</w:t>
            </w:r>
            <w:r>
              <w:rPr>
                <w:rFonts w:hint="eastAsia" w:ascii="仿宋_GB2312" w:hAnsi="仿宋_GB2312" w:eastAsia="仿宋_GB2312" w:cs="仿宋_GB2312"/>
                <w:color w:val="auto"/>
                <w:kern w:val="0"/>
                <w:sz w:val="20"/>
                <w:szCs w:val="20"/>
                <w:highlight w:val="none"/>
                <w:u w:val="none" w:color="auto"/>
                <w:lang w:val="en-US" w:eastAsia="zh-CN"/>
              </w:rPr>
              <w:t xml:space="preserve"> </w:t>
            </w:r>
            <w:r>
              <w:rPr>
                <w:rFonts w:hint="eastAsia" w:ascii="仿宋_GB2312" w:hAnsi="仿宋_GB2312" w:eastAsia="仿宋_GB2312" w:cs="仿宋_GB2312"/>
                <w:color w:val="auto"/>
                <w:kern w:val="0"/>
                <w:sz w:val="20"/>
                <w:szCs w:val="20"/>
                <w:highlight w:val="none"/>
                <w:u w:val="none" w:color="auto"/>
              </w:rPr>
              <w:t>国务院民政部门（以下称国务院地名行政主管部门）负责全国地名工作的统一监督管理。</w:t>
            </w:r>
            <w:r>
              <w:rPr>
                <w:rFonts w:hint="eastAsia" w:ascii="仿宋_GB2312" w:hAnsi="仿宋_GB2312" w:eastAsia="仿宋_GB2312" w:cs="仿宋_GB2312"/>
                <w:color w:val="auto"/>
                <w:kern w:val="0"/>
                <w:sz w:val="20"/>
                <w:szCs w:val="20"/>
                <w:highlight w:val="none"/>
                <w:u w:val="none" w:color="auto"/>
                <w:lang w:val="en-US" w:eastAsia="zh-CN"/>
              </w:rPr>
              <w:t>．．．</w:t>
            </w:r>
            <w:r>
              <w:rPr>
                <w:rFonts w:hint="eastAsia" w:ascii="仿宋_GB2312" w:hAnsi="仿宋_GB2312" w:eastAsia="仿宋_GB2312" w:cs="仿宋_GB2312"/>
                <w:color w:val="auto"/>
                <w:kern w:val="0"/>
                <w:sz w:val="20"/>
                <w:szCs w:val="20"/>
                <w:highlight w:val="none"/>
                <w:u w:val="none" w:color="auto"/>
              </w:rPr>
              <w:t>县级以上地方人民政府地名行政主管部门负责本行政区域的地名管理工作。县级以上地方人民政府其他有关部门按照本级人民政府规定的职责分工，负责本行政区域的相关地名管理工作。</w:t>
            </w:r>
          </w:p>
        </w:tc>
        <w:tc>
          <w:tcPr>
            <w:tcW w:w="440"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其他职权</w:t>
            </w: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受理</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textAlignment w:val="center"/>
              <w:outlineLvl w:val="9"/>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由民政部门提出方案。</w:t>
            </w:r>
          </w:p>
        </w:tc>
        <w:tc>
          <w:tcPr>
            <w:tcW w:w="253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10" w:lineRule="exact"/>
              <w:ind w:left="0" w:leftChars="0" w:right="0" w:rightChars="0" w:firstLine="0" w:firstLineChars="0"/>
              <w:jc w:val="both"/>
              <w:textAlignment w:val="center"/>
              <w:outlineLvl w:val="9"/>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不履行或不正确履行职责，有下列情形的行政机关及相关工作人员应承担相应的责任：</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1</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不按照《地名管理条例》和本办法规定的地名命名、更名与销名的程序和权限作出审核意见的</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2</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不按照规定设置地名标志的</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3</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其他滥用职权、玩忽职守、徇私舞弊的行为。</w:t>
            </w:r>
          </w:p>
        </w:tc>
        <w:tc>
          <w:tcPr>
            <w:tcW w:w="934"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区划地名科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20"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审查</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提交的文件、材料进行审核。</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sz w:val="20"/>
                <w:szCs w:val="20"/>
                <w:highlight w:val="none"/>
                <w:u w:val="none" w:color="auto"/>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20"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决定</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经材料审查，符合法规要求的报政府审批。</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p>
        </w:tc>
        <w:tc>
          <w:tcPr>
            <w:tcW w:w="934"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市政府办</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20"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送达</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市政府审批后实施。</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sz w:val="20"/>
                <w:szCs w:val="20"/>
                <w:highlight w:val="none"/>
                <w:u w:val="none" w:color="auto"/>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20" w:hRule="atLeast"/>
          <w:jc w:val="center"/>
        </w:trPr>
        <w:tc>
          <w:tcPr>
            <w:tcW w:w="52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lang w:val="en-US" w:eastAsia="zh-CN"/>
              </w:rPr>
              <w:t>48</w:t>
            </w:r>
          </w:p>
        </w:tc>
        <w:tc>
          <w:tcPr>
            <w:tcW w:w="1112"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门牌号码的编制发放</w:t>
            </w:r>
          </w:p>
        </w:tc>
        <w:tc>
          <w:tcPr>
            <w:tcW w:w="5765"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《河南省地名管理办法》第十四条</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居民院</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楼、门户</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和单位的门牌号由产权人或者管理人和单位向省辖市、县</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市</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民政部门提出申请</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由民政部门统一编制号码后向申请人发放门牌号。</w:t>
            </w:r>
          </w:p>
        </w:tc>
        <w:tc>
          <w:tcPr>
            <w:tcW w:w="440"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其他职权</w:t>
            </w: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受理</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申请、规划总平面图平面图。</w:t>
            </w:r>
          </w:p>
        </w:tc>
        <w:tc>
          <w:tcPr>
            <w:tcW w:w="2533"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不履行或不正确履行职责，有下列情形的行政机关及相关工作人员应承担相应的责任：</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1</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不按照《地名管理条例》和本办法规定的地名命名、更名与销名的程序和权限作出审核意见的</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2</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不按照规定设置地名标志的</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br w:type="textWrapping"/>
            </w:r>
            <w:r>
              <w:rPr>
                <w:rFonts w:hint="eastAsia" w:ascii="仿宋_GB2312" w:hAnsi="仿宋_GB2312" w:eastAsia="仿宋_GB2312" w:cs="仿宋_GB2312"/>
                <w:color w:val="auto"/>
                <w:kern w:val="0"/>
                <w:sz w:val="20"/>
                <w:szCs w:val="20"/>
                <w:highlight w:val="none"/>
                <w:u w:val="none" w:color="auto"/>
              </w:rPr>
              <w:t>3</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其他滥用职权、玩忽职守、徇私舞弊的行为。</w:t>
            </w:r>
          </w:p>
        </w:tc>
        <w:tc>
          <w:tcPr>
            <w:tcW w:w="934" w:type="dxa"/>
            <w:vMerge w:val="restart"/>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区划地名科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20"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审查</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提交的文件、材料进行审核。</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sz w:val="20"/>
                <w:szCs w:val="20"/>
                <w:highlight w:val="none"/>
                <w:u w:val="none" w:color="auto"/>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20"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决定</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经材料审查，符合法规要求发放门牌号码。</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sz w:val="20"/>
                <w:szCs w:val="20"/>
                <w:highlight w:val="none"/>
                <w:u w:val="none" w:color="auto"/>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20" w:hRule="atLeast"/>
          <w:jc w:val="center"/>
        </w:trPr>
        <w:tc>
          <w:tcPr>
            <w:tcW w:w="52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sz w:val="20"/>
                <w:szCs w:val="20"/>
                <w:highlight w:val="none"/>
                <w:u w:val="none" w:color="auto"/>
              </w:rPr>
            </w:pPr>
          </w:p>
        </w:tc>
        <w:tc>
          <w:tcPr>
            <w:tcW w:w="5765"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rPr>
                <w:rFonts w:hint="eastAsia" w:ascii="仿宋_GB2312" w:hAnsi="仿宋_GB2312" w:eastAsia="仿宋_GB2312" w:cs="仿宋_GB2312"/>
                <w:color w:val="auto"/>
                <w:sz w:val="20"/>
                <w:szCs w:val="20"/>
                <w:highlight w:val="none"/>
                <w:u w:val="none" w:color="auto"/>
              </w:rPr>
            </w:pPr>
          </w:p>
        </w:tc>
        <w:tc>
          <w:tcPr>
            <w:tcW w:w="440"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送达</w:t>
            </w:r>
          </w:p>
        </w:tc>
        <w:tc>
          <w:tcPr>
            <w:tcW w:w="3644" w:type="dxa"/>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邮寄或现场领取。</w:t>
            </w:r>
          </w:p>
        </w:tc>
        <w:tc>
          <w:tcPr>
            <w:tcW w:w="2533"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sz w:val="20"/>
                <w:szCs w:val="20"/>
                <w:highlight w:val="none"/>
                <w:u w:val="none" w:color="auto"/>
              </w:rPr>
            </w:pPr>
          </w:p>
        </w:tc>
        <w:tc>
          <w:tcPr>
            <w:tcW w:w="934" w:type="dxa"/>
            <w:vMerge w:val="continue"/>
            <w:noWrap w:val="0"/>
            <w:tcMar>
              <w:top w:w="15" w:type="dxa"/>
              <w:left w:w="15" w:type="dxa"/>
              <w:right w:w="15" w:type="dxa"/>
            </w:tcMar>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02" w:hRule="atLeast"/>
          <w:jc w:val="center"/>
        </w:trPr>
        <w:tc>
          <w:tcPr>
            <w:tcW w:w="52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2"/>
                <w:sz w:val="20"/>
                <w:szCs w:val="20"/>
                <w:highlight w:val="none"/>
                <w:u w:val="none" w:color="auto"/>
                <w:lang w:val="en-US" w:eastAsia="zh-CN" w:bidi="ar-SA"/>
              </w:rPr>
              <w:t>49</w:t>
            </w:r>
          </w:p>
        </w:tc>
        <w:tc>
          <w:tcPr>
            <w:tcW w:w="1112"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慈善信托备案</w:t>
            </w:r>
          </w:p>
        </w:tc>
        <w:tc>
          <w:tcPr>
            <w:tcW w:w="5765"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lang w:val="en-US" w:eastAsia="zh-CN"/>
              </w:rPr>
              <w:t>1．</w:t>
            </w:r>
            <w:r>
              <w:rPr>
                <w:rFonts w:hint="eastAsia" w:ascii="仿宋_GB2312" w:hAnsi="仿宋_GB2312" w:eastAsia="仿宋_GB2312" w:cs="仿宋_GB2312"/>
                <w:color w:val="auto"/>
                <w:spacing w:val="-6"/>
                <w:kern w:val="0"/>
                <w:sz w:val="20"/>
                <w:szCs w:val="20"/>
                <w:highlight w:val="none"/>
                <w:u w:val="none" w:color="auto"/>
              </w:rPr>
              <w:t>《中华人民共和国慈善法》第四十五条：</w:t>
            </w:r>
            <w:r>
              <w:rPr>
                <w:rFonts w:hint="eastAsia" w:ascii="仿宋_GB2312" w:hAnsi="仿宋_GB2312" w:eastAsia="仿宋_GB2312" w:cs="仿宋_GB2312"/>
                <w:color w:val="auto"/>
                <w:spacing w:val="-6"/>
                <w:kern w:val="0"/>
                <w:sz w:val="20"/>
                <w:szCs w:val="20"/>
                <w:highlight w:val="none"/>
                <w:u w:val="none" w:color="auto"/>
                <w:lang w:eastAsia="zh-CN"/>
              </w:rPr>
              <w:t>“</w:t>
            </w:r>
            <w:r>
              <w:rPr>
                <w:rFonts w:hint="eastAsia" w:ascii="仿宋_GB2312" w:hAnsi="仿宋_GB2312" w:eastAsia="仿宋_GB2312" w:cs="仿宋_GB2312"/>
                <w:color w:val="auto"/>
                <w:spacing w:val="-6"/>
                <w:kern w:val="0"/>
                <w:sz w:val="20"/>
                <w:szCs w:val="20"/>
                <w:highlight w:val="none"/>
                <w:u w:val="none" w:color="auto"/>
              </w:rPr>
              <w:t>设立慈善信托、确定受托人和监察人，应当采取书面形式。受托人应当在慈善信托文件签订之日起七日内，将相关文件向受托人所在地县级以上人民政府民政部门备案。</w:t>
            </w:r>
            <w:r>
              <w:rPr>
                <w:rFonts w:hint="eastAsia" w:ascii="仿宋_GB2312" w:hAnsi="仿宋_GB2312" w:eastAsia="仿宋_GB2312" w:cs="仿宋_GB2312"/>
                <w:color w:val="auto"/>
                <w:spacing w:val="-6"/>
                <w:kern w:val="0"/>
                <w:sz w:val="20"/>
                <w:szCs w:val="20"/>
                <w:highlight w:val="none"/>
                <w:u w:val="none" w:color="auto"/>
                <w:lang w:eastAsia="zh-CN"/>
              </w:rPr>
              <w:t>”</w:t>
            </w:r>
            <w:r>
              <w:rPr>
                <w:rFonts w:hint="eastAsia" w:ascii="仿宋_GB2312" w:hAnsi="仿宋_GB2312" w:eastAsia="仿宋_GB2312" w:cs="仿宋_GB2312"/>
                <w:color w:val="auto"/>
                <w:spacing w:val="-6"/>
                <w:kern w:val="0"/>
                <w:sz w:val="20"/>
                <w:szCs w:val="20"/>
                <w:highlight w:val="none"/>
                <w:u w:val="none" w:color="auto"/>
              </w:rPr>
              <w:t>第四十七条　设立慈善信托、确定受托人，应当采取书面形式。信托文件要求备案的，受托人应当将信托文件向县级以上人民政府民政部门备案。</w:t>
            </w:r>
            <w:r>
              <w:rPr>
                <w:rFonts w:hint="eastAsia" w:ascii="仿宋_GB2312" w:hAnsi="仿宋_GB2312" w:eastAsia="仿宋_GB2312" w:cs="仿宋_GB2312"/>
                <w:color w:val="auto"/>
                <w:spacing w:val="-6"/>
                <w:kern w:val="0"/>
                <w:sz w:val="20"/>
                <w:szCs w:val="20"/>
                <w:highlight w:val="none"/>
                <w:u w:val="none" w:color="auto"/>
              </w:rPr>
              <w:br w:type="textWrapping"/>
            </w:r>
            <w:r>
              <w:rPr>
                <w:rFonts w:hint="eastAsia" w:ascii="仿宋_GB2312" w:hAnsi="仿宋_GB2312" w:eastAsia="仿宋_GB2312" w:cs="仿宋_GB2312"/>
                <w:color w:val="auto"/>
                <w:spacing w:val="-6"/>
                <w:kern w:val="0"/>
                <w:sz w:val="20"/>
                <w:szCs w:val="20"/>
                <w:highlight w:val="none"/>
                <w:u w:val="none" w:color="auto"/>
                <w:lang w:val="en-US" w:eastAsia="zh-CN"/>
              </w:rPr>
              <w:t>2．</w:t>
            </w:r>
            <w:r>
              <w:rPr>
                <w:rFonts w:hint="eastAsia" w:ascii="仿宋_GB2312" w:hAnsi="仿宋_GB2312" w:eastAsia="仿宋_GB2312" w:cs="仿宋_GB2312"/>
                <w:color w:val="auto"/>
                <w:spacing w:val="-6"/>
                <w:kern w:val="0"/>
                <w:sz w:val="20"/>
                <w:szCs w:val="20"/>
                <w:highlight w:val="none"/>
                <w:u w:val="none" w:color="auto"/>
              </w:rPr>
              <w:t xml:space="preserve">《慈善信托管理办法》（银监发[2017]37号）第二十一条 </w:t>
            </w:r>
            <w:r>
              <w:rPr>
                <w:rFonts w:hint="eastAsia" w:ascii="仿宋_GB2312" w:hAnsi="仿宋_GB2312" w:eastAsia="仿宋_GB2312" w:cs="仿宋_GB2312"/>
                <w:color w:val="auto"/>
                <w:spacing w:val="-6"/>
                <w:kern w:val="0"/>
                <w:sz w:val="20"/>
                <w:szCs w:val="20"/>
                <w:highlight w:val="none"/>
                <w:u w:val="none" w:color="auto"/>
                <w:lang w:eastAsia="zh-CN"/>
              </w:rPr>
              <w:t>“</w:t>
            </w:r>
            <w:r>
              <w:rPr>
                <w:rFonts w:hint="eastAsia" w:ascii="仿宋_GB2312" w:hAnsi="仿宋_GB2312" w:eastAsia="仿宋_GB2312" w:cs="仿宋_GB2312"/>
                <w:color w:val="auto"/>
                <w:spacing w:val="-6"/>
                <w:kern w:val="0"/>
                <w:sz w:val="20"/>
                <w:szCs w:val="20"/>
                <w:highlight w:val="none"/>
                <w:u w:val="none" w:color="auto"/>
              </w:rPr>
              <w:t>慈善信托备案申请符合《慈善法》、《信托法》和本办法规定的，民政部门应当在收到备案申请材料之日起7日内出具备案回执；不符合规定的，应当在收到备案申请材料之日起7日内一次性书面告知理由和需要补正的相关材料。</w:t>
            </w:r>
            <w:r>
              <w:rPr>
                <w:rFonts w:hint="eastAsia" w:ascii="仿宋_GB2312" w:hAnsi="仿宋_GB2312" w:eastAsia="仿宋_GB2312" w:cs="仿宋_GB2312"/>
                <w:color w:val="auto"/>
                <w:spacing w:val="-6"/>
                <w:kern w:val="0"/>
                <w:sz w:val="20"/>
                <w:szCs w:val="20"/>
                <w:highlight w:val="none"/>
                <w:u w:val="none" w:color="auto"/>
                <w:lang w:eastAsia="zh-CN"/>
              </w:rPr>
              <w:t>”</w:t>
            </w:r>
          </w:p>
        </w:tc>
        <w:tc>
          <w:tcPr>
            <w:tcW w:w="440"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其他职权</w:t>
            </w: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收件</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收件责任：对办事人提供的材料进行核查，申请材料齐全，予以收件；材料不完整的，退回并告知原因。</w:t>
            </w:r>
          </w:p>
        </w:tc>
        <w:tc>
          <w:tcPr>
            <w:tcW w:w="253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3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spacing w:val="-6"/>
                <w:kern w:val="0"/>
                <w:sz w:val="20"/>
                <w:szCs w:val="20"/>
                <w:highlight w:val="none"/>
                <w:u w:val="none" w:color="auto"/>
                <w:lang w:val="en-US" w:eastAsia="zh-CN"/>
              </w:rPr>
              <w:t>不履行或不正确履行职责，有下列情形的行政机关及相关工作人员应承担相应的责任：</w:t>
            </w:r>
            <w:r>
              <w:rPr>
                <w:rFonts w:hint="eastAsia" w:ascii="仿宋_GB2312" w:hAnsi="仿宋_GB2312" w:eastAsia="仿宋_GB2312" w:cs="仿宋_GB2312"/>
                <w:color w:val="auto"/>
                <w:spacing w:val="-6"/>
                <w:kern w:val="0"/>
                <w:sz w:val="20"/>
                <w:szCs w:val="20"/>
                <w:highlight w:val="none"/>
                <w:u w:val="none" w:color="auto"/>
                <w:lang w:val="en-US" w:eastAsia="zh-CN"/>
              </w:rPr>
              <w:br w:type="textWrapping"/>
            </w:r>
            <w:r>
              <w:rPr>
                <w:rFonts w:hint="eastAsia" w:ascii="仿宋_GB2312" w:hAnsi="仿宋_GB2312" w:eastAsia="仿宋_GB2312" w:cs="仿宋_GB2312"/>
                <w:color w:val="auto"/>
                <w:spacing w:val="-6"/>
                <w:kern w:val="0"/>
                <w:sz w:val="20"/>
                <w:szCs w:val="20"/>
                <w:highlight w:val="none"/>
                <w:u w:val="none" w:color="auto"/>
                <w:lang w:val="en-US" w:eastAsia="zh-CN"/>
              </w:rPr>
              <w:t>1．未依法履行信息公开义务的；</w:t>
            </w:r>
            <w:r>
              <w:rPr>
                <w:rFonts w:hint="eastAsia" w:ascii="仿宋_GB2312" w:hAnsi="仿宋_GB2312" w:eastAsia="仿宋_GB2312" w:cs="仿宋_GB2312"/>
                <w:color w:val="auto"/>
                <w:spacing w:val="-6"/>
                <w:kern w:val="0"/>
                <w:sz w:val="20"/>
                <w:szCs w:val="20"/>
                <w:highlight w:val="none"/>
                <w:u w:val="none" w:color="auto"/>
                <w:lang w:val="en-US" w:eastAsia="zh-CN"/>
              </w:rPr>
              <w:br w:type="textWrapping"/>
            </w:r>
            <w:r>
              <w:rPr>
                <w:rFonts w:hint="eastAsia" w:ascii="仿宋_GB2312" w:hAnsi="仿宋_GB2312" w:eastAsia="仿宋_GB2312" w:cs="仿宋_GB2312"/>
                <w:color w:val="auto"/>
                <w:spacing w:val="-6"/>
                <w:kern w:val="0"/>
                <w:sz w:val="20"/>
                <w:szCs w:val="20"/>
                <w:highlight w:val="none"/>
                <w:u w:val="none" w:color="auto"/>
                <w:lang w:val="en-US" w:eastAsia="zh-CN"/>
              </w:rPr>
              <w:t>2．摊派或者变相摊派捐赠任务，强行指定志愿者、慈善组织提供服务的；</w:t>
            </w:r>
            <w:r>
              <w:rPr>
                <w:rFonts w:hint="eastAsia" w:ascii="仿宋_GB2312" w:hAnsi="仿宋_GB2312" w:eastAsia="仿宋_GB2312" w:cs="仿宋_GB2312"/>
                <w:color w:val="auto"/>
                <w:spacing w:val="-6"/>
                <w:kern w:val="0"/>
                <w:sz w:val="20"/>
                <w:szCs w:val="20"/>
                <w:highlight w:val="none"/>
                <w:u w:val="none" w:color="auto"/>
                <w:lang w:val="en-US" w:eastAsia="zh-CN"/>
              </w:rPr>
              <w:br w:type="textWrapping"/>
            </w:r>
            <w:r>
              <w:rPr>
                <w:rFonts w:hint="eastAsia" w:ascii="仿宋_GB2312" w:hAnsi="仿宋_GB2312" w:eastAsia="仿宋_GB2312" w:cs="仿宋_GB2312"/>
                <w:color w:val="auto"/>
                <w:spacing w:val="-6"/>
                <w:kern w:val="0"/>
                <w:sz w:val="20"/>
                <w:szCs w:val="20"/>
                <w:highlight w:val="none"/>
                <w:u w:val="none" w:color="auto"/>
                <w:lang w:val="en-US" w:eastAsia="zh-CN"/>
              </w:rPr>
              <w:t>3．未依法履行监督管理职责的；</w:t>
            </w:r>
            <w:r>
              <w:rPr>
                <w:rFonts w:hint="eastAsia" w:ascii="仿宋_GB2312" w:hAnsi="仿宋_GB2312" w:eastAsia="仿宋_GB2312" w:cs="仿宋_GB2312"/>
                <w:color w:val="auto"/>
                <w:spacing w:val="-6"/>
                <w:kern w:val="0"/>
                <w:sz w:val="20"/>
                <w:szCs w:val="20"/>
                <w:highlight w:val="none"/>
                <w:u w:val="none" w:color="auto"/>
                <w:lang w:val="en-US" w:eastAsia="zh-CN"/>
              </w:rPr>
              <w:br w:type="textWrapping"/>
            </w:r>
            <w:r>
              <w:rPr>
                <w:rFonts w:hint="eastAsia" w:ascii="仿宋_GB2312" w:hAnsi="仿宋_GB2312" w:eastAsia="仿宋_GB2312" w:cs="仿宋_GB2312"/>
                <w:color w:val="auto"/>
                <w:spacing w:val="-6"/>
                <w:kern w:val="0"/>
                <w:sz w:val="20"/>
                <w:szCs w:val="20"/>
                <w:highlight w:val="none"/>
                <w:u w:val="none" w:color="auto"/>
                <w:lang w:val="en-US" w:eastAsia="zh-CN"/>
              </w:rPr>
              <w:t>4．违法实施行政强制措施和行政处罚的；</w:t>
            </w:r>
            <w:r>
              <w:rPr>
                <w:rFonts w:hint="eastAsia" w:ascii="仿宋_GB2312" w:hAnsi="仿宋_GB2312" w:eastAsia="仿宋_GB2312" w:cs="仿宋_GB2312"/>
                <w:color w:val="auto"/>
                <w:spacing w:val="-6"/>
                <w:kern w:val="0"/>
                <w:sz w:val="20"/>
                <w:szCs w:val="20"/>
                <w:highlight w:val="none"/>
                <w:u w:val="none" w:color="auto"/>
                <w:lang w:val="en-US" w:eastAsia="zh-CN"/>
              </w:rPr>
              <w:br w:type="textWrapping"/>
            </w:r>
            <w:r>
              <w:rPr>
                <w:rFonts w:hint="eastAsia" w:ascii="仿宋_GB2312" w:hAnsi="仿宋_GB2312" w:eastAsia="仿宋_GB2312" w:cs="仿宋_GB2312"/>
                <w:color w:val="auto"/>
                <w:spacing w:val="-6"/>
                <w:kern w:val="0"/>
                <w:sz w:val="20"/>
                <w:szCs w:val="20"/>
                <w:highlight w:val="none"/>
                <w:u w:val="none" w:color="auto"/>
                <w:lang w:val="en-US" w:eastAsia="zh-CN"/>
              </w:rPr>
              <w:t>5．私分、挪用、截留或者侵占慈善财产的；</w:t>
            </w:r>
            <w:r>
              <w:rPr>
                <w:rFonts w:hint="eastAsia" w:ascii="仿宋_GB2312" w:hAnsi="仿宋_GB2312" w:eastAsia="仿宋_GB2312" w:cs="仿宋_GB2312"/>
                <w:color w:val="auto"/>
                <w:spacing w:val="-6"/>
                <w:kern w:val="0"/>
                <w:sz w:val="20"/>
                <w:szCs w:val="20"/>
                <w:highlight w:val="none"/>
                <w:u w:val="none" w:color="auto"/>
                <w:lang w:val="en-US" w:eastAsia="zh-CN"/>
              </w:rPr>
              <w:br w:type="textWrapping"/>
            </w:r>
            <w:r>
              <w:rPr>
                <w:rFonts w:hint="eastAsia" w:ascii="仿宋_GB2312" w:hAnsi="仿宋_GB2312" w:eastAsia="仿宋_GB2312" w:cs="仿宋_GB2312"/>
                <w:color w:val="auto"/>
                <w:spacing w:val="-6"/>
                <w:kern w:val="0"/>
                <w:sz w:val="20"/>
                <w:szCs w:val="20"/>
                <w:highlight w:val="none"/>
                <w:u w:val="none" w:color="auto"/>
                <w:lang w:val="en-US" w:eastAsia="zh-CN"/>
              </w:rPr>
              <w:t>6．其他滥用职权、玩忽职守、徇私舞弊的行为。</w:t>
            </w:r>
          </w:p>
        </w:tc>
        <w:tc>
          <w:tcPr>
            <w:tcW w:w="934"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lang w:val="en-US" w:eastAsia="zh-CN"/>
              </w:rPr>
              <w:t>行政审批服务科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color w:val="auto"/>
                <w:spacing w:val="-6"/>
                <w:kern w:val="0"/>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受理</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受理责任：对申请材料进行初审，材料符合相关要求的，予以受理，出具《受理通知书》；材料不符合相关要求的，不予受理，出具《不予受理通知书》，并说明理由。</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06"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color w:val="auto"/>
                <w:spacing w:val="-6"/>
                <w:kern w:val="0"/>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审核</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审核责任：对材料内容进行审核；按照法律法规规定，需启动特殊环节的，依法进行辅助审查。审核通过，上报审批；审核不通过，退回材料并告知原因。</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39"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color w:val="auto"/>
                <w:spacing w:val="-6"/>
                <w:kern w:val="0"/>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决定责任：作出决定，核发许可证明文件。对不准予批准的书面告知当事人，并说明理由。</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65"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color w:val="auto"/>
                <w:spacing w:val="-6"/>
                <w:kern w:val="0"/>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送达</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按规定送达当事人。</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color w:val="auto"/>
                <w:spacing w:val="-6"/>
                <w:kern w:val="0"/>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其他法律法规规章文件规定的应履行的责任。</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24" w:hRule="atLeast"/>
          <w:jc w:val="center"/>
        </w:trPr>
        <w:tc>
          <w:tcPr>
            <w:tcW w:w="52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r>
              <w:rPr>
                <w:rFonts w:hint="eastAsia" w:ascii="仿宋_GB2312" w:hAnsi="仿宋_GB2312" w:eastAsia="仿宋_GB2312" w:cs="仿宋_GB2312"/>
                <w:color w:val="auto"/>
                <w:sz w:val="20"/>
                <w:szCs w:val="20"/>
                <w:highlight w:val="none"/>
                <w:u w:val="none" w:color="auto"/>
                <w:lang w:val="en-US" w:eastAsia="zh-CN"/>
              </w:rPr>
              <w:t>50</w:t>
            </w:r>
          </w:p>
        </w:tc>
        <w:tc>
          <w:tcPr>
            <w:tcW w:w="1112"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非营利性养老机构备案</w:t>
            </w:r>
          </w:p>
        </w:tc>
        <w:tc>
          <w:tcPr>
            <w:tcW w:w="5765" w:type="dxa"/>
            <w:vMerge w:val="restart"/>
            <w:noWrap w:val="0"/>
            <w:vAlign w:val="center"/>
          </w:tcPr>
          <w:p>
            <w:pPr>
              <w:pStyle w:val="13"/>
              <w:keepNext w:val="0"/>
              <w:keepLines w:val="0"/>
              <w:pageBreakBefore w:val="0"/>
              <w:widowControl w:val="0"/>
              <w:kinsoku/>
              <w:wordWrap/>
              <w:overflowPunct w:val="0"/>
              <w:topLinePunct w:val="0"/>
              <w:autoSpaceDE/>
              <w:autoSpaceDN/>
              <w:bidi w:val="0"/>
              <w:adjustRightInd/>
              <w:snapToGrid/>
              <w:spacing w:before="0" w:beforeAutospacing="0" w:after="0" w:afterAutospacing="0" w:line="240" w:lineRule="exact"/>
              <w:ind w:right="0" w:rightChars="0" w:firstLine="0" w:firstLineChars="0"/>
              <w:jc w:val="both"/>
              <w:textAlignment w:val="auto"/>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spacing w:val="-6"/>
                <w:w w:val="100"/>
                <w:kern w:val="0"/>
                <w:sz w:val="20"/>
                <w:szCs w:val="20"/>
                <w:highlight w:val="none"/>
                <w:u w:val="none" w:color="auto"/>
              </w:rPr>
              <w:t>《中华人民共和国老年人权益保障法》第四章第四十三条</w:t>
            </w:r>
            <w:r>
              <w:rPr>
                <w:rFonts w:hint="eastAsia" w:ascii="仿宋_GB2312" w:hAnsi="仿宋_GB2312" w:eastAsia="仿宋_GB2312" w:cs="仿宋_GB2312"/>
                <w:color w:val="auto"/>
                <w:spacing w:val="-6"/>
                <w:w w:val="100"/>
                <w:kern w:val="0"/>
                <w:sz w:val="20"/>
                <w:szCs w:val="20"/>
                <w:highlight w:val="none"/>
                <w:u w:val="none" w:color="auto"/>
                <w:lang w:eastAsia="zh-CN"/>
              </w:rPr>
              <w:t>：</w:t>
            </w:r>
            <w:r>
              <w:rPr>
                <w:rFonts w:hint="eastAsia" w:ascii="仿宋_GB2312" w:hAnsi="仿宋_GB2312" w:eastAsia="仿宋_GB2312" w:cs="仿宋_GB2312"/>
                <w:color w:val="auto"/>
                <w:spacing w:val="-6"/>
                <w:w w:val="100"/>
                <w:kern w:val="0"/>
                <w:sz w:val="20"/>
                <w:szCs w:val="20"/>
                <w:highlight w:val="none"/>
                <w:u w:val="none" w:color="auto"/>
              </w:rPr>
              <w:t>设立公益性养老机构，应当依法办理相应的登记。</w:t>
            </w:r>
            <w:r>
              <w:rPr>
                <w:rFonts w:hint="eastAsia" w:ascii="仿宋_GB2312" w:hAnsi="仿宋_GB2312" w:eastAsia="仿宋_GB2312" w:cs="仿宋_GB2312"/>
                <w:b w:val="0"/>
                <w:bCs w:val="0"/>
                <w:color w:val="auto"/>
                <w:spacing w:val="-6"/>
                <w:w w:val="100"/>
                <w:kern w:val="0"/>
                <w:sz w:val="20"/>
                <w:szCs w:val="20"/>
                <w:highlight w:val="none"/>
                <w:u w:val="none" w:color="auto"/>
              </w:rPr>
              <w:t>《养老机构管理办法》第十条</w:t>
            </w:r>
            <w:r>
              <w:rPr>
                <w:rFonts w:hint="eastAsia" w:ascii="仿宋_GB2312" w:hAnsi="仿宋_GB2312" w:eastAsia="仿宋_GB2312" w:cs="仿宋_GB2312"/>
                <w:b w:val="0"/>
                <w:bCs w:val="0"/>
                <w:color w:val="auto"/>
                <w:spacing w:val="-6"/>
                <w:w w:val="100"/>
                <w:kern w:val="0"/>
                <w:sz w:val="20"/>
                <w:szCs w:val="20"/>
                <w:highlight w:val="none"/>
                <w:u w:val="none" w:color="auto"/>
                <w:lang w:val="en-US" w:eastAsia="zh-CN"/>
              </w:rPr>
              <w:t>：</w:t>
            </w:r>
            <w:r>
              <w:rPr>
                <w:rFonts w:hint="eastAsia" w:ascii="仿宋_GB2312" w:hAnsi="仿宋_GB2312" w:eastAsia="仿宋_GB2312" w:cs="仿宋_GB2312"/>
                <w:color w:val="auto"/>
                <w:spacing w:val="-6"/>
                <w:w w:val="100"/>
                <w:sz w:val="20"/>
                <w:szCs w:val="20"/>
                <w:highlight w:val="none"/>
                <w:u w:val="none" w:color="auto"/>
              </w:rPr>
              <w:t>营利性养老机构办理备案，应当在收住老年人后10个工作日以内向服务场所所在地的县级人民政府民政部门提出。非营利性养老机构办理备案，应当在收住老年人后10个工作日以内向登记管理机关同级的人民政府民政部门提出。十一条</w:t>
            </w:r>
            <w:r>
              <w:rPr>
                <w:rFonts w:hint="eastAsia" w:ascii="仿宋_GB2312" w:hAnsi="仿宋_GB2312" w:eastAsia="仿宋_GB2312" w:cs="仿宋_GB2312"/>
                <w:color w:val="auto"/>
                <w:spacing w:val="-6"/>
                <w:w w:val="100"/>
                <w:sz w:val="20"/>
                <w:szCs w:val="20"/>
                <w:highlight w:val="none"/>
                <w:u w:val="none" w:color="auto"/>
                <w:lang w:val="en-US" w:eastAsia="zh-CN"/>
              </w:rPr>
              <w:t>：养</w:t>
            </w:r>
            <w:r>
              <w:rPr>
                <w:rFonts w:hint="eastAsia" w:ascii="仿宋_GB2312" w:hAnsi="仿宋_GB2312" w:eastAsia="仿宋_GB2312" w:cs="仿宋_GB2312"/>
                <w:color w:val="auto"/>
                <w:spacing w:val="-6"/>
                <w:w w:val="100"/>
                <w:sz w:val="20"/>
                <w:szCs w:val="20"/>
                <w:highlight w:val="none"/>
                <w:u w:val="none" w:color="auto"/>
              </w:rPr>
              <w:t>老机构办理备案，应当向民政部门提交备案申请书、养老机构登记证书、符合本办法第四条要求的承诺书等材料，并对真实性负责。备案申请书应当包括下列内容：</w:t>
            </w:r>
            <w:r>
              <w:rPr>
                <w:rFonts w:hint="eastAsia" w:ascii="仿宋_GB2312" w:hAnsi="仿宋_GB2312" w:eastAsia="仿宋_GB2312" w:cs="仿宋_GB2312"/>
                <w:color w:val="auto"/>
                <w:spacing w:val="-6"/>
                <w:w w:val="100"/>
                <w:sz w:val="20"/>
                <w:szCs w:val="20"/>
                <w:highlight w:val="none"/>
                <w:u w:val="none" w:color="auto"/>
                <w:lang w:val="en-US" w:eastAsia="zh-CN"/>
              </w:rPr>
              <w:t>（</w:t>
            </w:r>
            <w:r>
              <w:rPr>
                <w:rFonts w:hint="eastAsia" w:ascii="仿宋_GB2312" w:hAnsi="仿宋_GB2312" w:eastAsia="仿宋_GB2312" w:cs="仿宋_GB2312"/>
                <w:color w:val="auto"/>
                <w:spacing w:val="-6"/>
                <w:w w:val="100"/>
                <w:sz w:val="20"/>
                <w:szCs w:val="20"/>
                <w:highlight w:val="none"/>
                <w:u w:val="none" w:color="auto"/>
              </w:rPr>
              <w:t>一</w:t>
            </w:r>
            <w:r>
              <w:rPr>
                <w:rFonts w:hint="eastAsia" w:ascii="仿宋_GB2312" w:hAnsi="仿宋_GB2312" w:eastAsia="仿宋_GB2312" w:cs="仿宋_GB2312"/>
                <w:color w:val="auto"/>
                <w:spacing w:val="-6"/>
                <w:w w:val="100"/>
                <w:sz w:val="20"/>
                <w:szCs w:val="20"/>
                <w:highlight w:val="none"/>
                <w:u w:val="none" w:color="auto"/>
                <w:lang w:val="en-US" w:eastAsia="zh-CN"/>
              </w:rPr>
              <w:t>）</w:t>
            </w:r>
            <w:r>
              <w:rPr>
                <w:rFonts w:hint="eastAsia" w:ascii="仿宋_GB2312" w:hAnsi="仿宋_GB2312" w:eastAsia="仿宋_GB2312" w:cs="仿宋_GB2312"/>
                <w:color w:val="auto"/>
                <w:spacing w:val="-6"/>
                <w:w w:val="100"/>
                <w:sz w:val="20"/>
                <w:szCs w:val="20"/>
                <w:highlight w:val="none"/>
                <w:u w:val="none" w:color="auto"/>
              </w:rPr>
              <w:t>养老机构基本情况，包括名称、住所、法定代表人或者主要负责人信息等</w:t>
            </w:r>
            <w:r>
              <w:rPr>
                <w:rFonts w:hint="eastAsia" w:ascii="仿宋_GB2312" w:hAnsi="仿宋_GB2312" w:eastAsia="仿宋_GB2312" w:cs="仿宋_GB2312"/>
                <w:color w:val="auto"/>
                <w:spacing w:val="-6"/>
                <w:w w:val="100"/>
                <w:sz w:val="20"/>
                <w:szCs w:val="20"/>
                <w:highlight w:val="none"/>
                <w:u w:val="none" w:color="auto"/>
                <w:lang w:eastAsia="zh-CN"/>
              </w:rPr>
              <w:t>；</w:t>
            </w:r>
            <w:r>
              <w:rPr>
                <w:rFonts w:hint="eastAsia" w:ascii="仿宋_GB2312" w:hAnsi="仿宋_GB2312" w:eastAsia="仿宋_GB2312" w:cs="仿宋_GB2312"/>
                <w:color w:val="auto"/>
                <w:spacing w:val="-6"/>
                <w:w w:val="100"/>
                <w:sz w:val="20"/>
                <w:szCs w:val="20"/>
                <w:highlight w:val="none"/>
                <w:u w:val="none" w:color="auto"/>
                <w:lang w:val="en-US" w:eastAsia="zh-CN"/>
              </w:rPr>
              <w:t>（二）服务场所权属；（三）养老床位数量；（四）服务设施面积；（五）联系人和联系方式。</w:t>
            </w:r>
            <w:r>
              <w:rPr>
                <w:rFonts w:hint="eastAsia" w:ascii="仿宋_GB2312" w:hAnsi="仿宋_GB2312" w:eastAsia="仿宋_GB2312" w:cs="仿宋_GB2312"/>
                <w:color w:val="auto"/>
                <w:spacing w:val="-6"/>
                <w:w w:val="100"/>
                <w:sz w:val="20"/>
                <w:szCs w:val="20"/>
                <w:highlight w:val="none"/>
                <w:u w:val="none" w:color="auto"/>
              </w:rPr>
              <w:t>民政部门应当加强信息化建设，逐步实现网上备案。</w:t>
            </w:r>
            <w:r>
              <w:rPr>
                <w:rFonts w:hint="eastAsia" w:ascii="仿宋_GB2312" w:hAnsi="仿宋_GB2312" w:eastAsia="仿宋_GB2312" w:cs="仿宋_GB2312"/>
                <w:color w:val="auto"/>
                <w:spacing w:val="-6"/>
                <w:w w:val="100"/>
                <w:sz w:val="20"/>
                <w:szCs w:val="20"/>
                <w:highlight w:val="none"/>
                <w:u w:val="none" w:color="auto"/>
                <w:lang w:eastAsia="zh-CN"/>
              </w:rPr>
              <w:t>第</w:t>
            </w:r>
            <w:r>
              <w:rPr>
                <w:rFonts w:hint="eastAsia" w:ascii="仿宋_GB2312" w:hAnsi="仿宋_GB2312" w:eastAsia="仿宋_GB2312" w:cs="仿宋_GB2312"/>
                <w:color w:val="auto"/>
                <w:spacing w:val="-6"/>
                <w:w w:val="100"/>
                <w:sz w:val="20"/>
                <w:szCs w:val="20"/>
                <w:highlight w:val="none"/>
                <w:u w:val="none" w:color="auto"/>
              </w:rPr>
              <w:t>十二条</w:t>
            </w:r>
            <w:r>
              <w:rPr>
                <w:rFonts w:hint="eastAsia" w:ascii="仿宋_GB2312" w:hAnsi="仿宋_GB2312" w:eastAsia="仿宋_GB2312" w:cs="仿宋_GB2312"/>
                <w:color w:val="auto"/>
                <w:spacing w:val="-6"/>
                <w:w w:val="100"/>
                <w:sz w:val="20"/>
                <w:szCs w:val="20"/>
                <w:highlight w:val="none"/>
                <w:u w:val="none" w:color="auto"/>
                <w:lang w:eastAsia="zh-CN"/>
              </w:rPr>
              <w:t>：</w:t>
            </w:r>
            <w:r>
              <w:rPr>
                <w:rFonts w:hint="eastAsia" w:ascii="仿宋_GB2312" w:hAnsi="仿宋_GB2312" w:eastAsia="仿宋_GB2312" w:cs="仿宋_GB2312"/>
                <w:color w:val="auto"/>
                <w:spacing w:val="-6"/>
                <w:w w:val="100"/>
                <w:sz w:val="20"/>
                <w:szCs w:val="20"/>
                <w:highlight w:val="none"/>
                <w:u w:val="none" w:color="auto"/>
              </w:rPr>
              <w:t>民政部门收到养老机构备案材料后，对材料齐全的，应当出具备案回执；材料不齐全的，应当指导养老机构补正。</w:t>
            </w:r>
          </w:p>
        </w:tc>
        <w:tc>
          <w:tcPr>
            <w:tcW w:w="440"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其他职权</w:t>
            </w: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收件</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综合受理窗口受理。</w:t>
            </w:r>
          </w:p>
        </w:tc>
        <w:tc>
          <w:tcPr>
            <w:tcW w:w="253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spacing w:val="-2"/>
                <w:kern w:val="0"/>
                <w:sz w:val="20"/>
                <w:szCs w:val="20"/>
                <w:highlight w:val="none"/>
                <w:u w:val="none" w:color="auto"/>
                <w:lang w:val="en-US" w:eastAsia="zh-CN" w:bidi="ar-SA"/>
              </w:rPr>
              <w:t>不履行或不正确履行职责，有下列情形的行政机关及相关工作人员应承担相应的责任：</w:t>
            </w:r>
            <w:r>
              <w:rPr>
                <w:rFonts w:hint="eastAsia" w:ascii="仿宋_GB2312" w:hAnsi="仿宋_GB2312" w:eastAsia="仿宋_GB2312" w:cs="仿宋_GB2312"/>
                <w:color w:val="auto"/>
                <w:spacing w:val="-2"/>
                <w:kern w:val="0"/>
                <w:sz w:val="20"/>
                <w:szCs w:val="20"/>
                <w:highlight w:val="none"/>
                <w:u w:val="none" w:color="auto"/>
                <w:lang w:val="en-US" w:eastAsia="zh-CN" w:bidi="ar-SA"/>
              </w:rPr>
              <w:br w:type="textWrapping"/>
            </w:r>
            <w:r>
              <w:rPr>
                <w:rFonts w:hint="eastAsia" w:ascii="仿宋_GB2312" w:hAnsi="仿宋_GB2312" w:eastAsia="仿宋_GB2312" w:cs="仿宋_GB2312"/>
                <w:color w:val="auto"/>
                <w:spacing w:val="-2"/>
                <w:kern w:val="0"/>
                <w:sz w:val="20"/>
                <w:szCs w:val="20"/>
                <w:highlight w:val="none"/>
                <w:u w:val="none" w:color="auto"/>
                <w:lang w:val="en-US" w:eastAsia="zh-CN" w:bidi="ar-SA"/>
              </w:rPr>
              <w:t>1．对养老机构负有管理和监督职责的部门及其工作人员滥用职权、玩忽职守、徇私舞弊的，对直接负责的主管人员和其他直接责任人员依法给予处分；构成犯罪的，依法追究刑事责任。</w:t>
            </w:r>
          </w:p>
        </w:tc>
        <w:tc>
          <w:tcPr>
            <w:tcW w:w="934"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lang w:val="en-US" w:eastAsia="zh-CN"/>
              </w:rPr>
              <w:t>行政审批服务科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24"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color w:val="auto"/>
                <w:spacing w:val="-6"/>
                <w:kern w:val="0"/>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受理</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民政部门受理。</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top"/>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top"/>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24"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color w:val="auto"/>
                <w:spacing w:val="-6"/>
                <w:kern w:val="0"/>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审核</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根据相关法律和政策审核。</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top"/>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top"/>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24"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color w:val="auto"/>
                <w:spacing w:val="-6"/>
                <w:kern w:val="0"/>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做出决定。</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top"/>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top"/>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24"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color w:val="auto"/>
                <w:spacing w:val="-6"/>
                <w:kern w:val="0"/>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送达</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结果送达。</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top"/>
              <w:rPr>
                <w:rFonts w:hint="eastAsia" w:ascii="仿宋_GB2312" w:hAnsi="仿宋_GB2312" w:eastAsia="仿宋_GB2312" w:cs="仿宋_GB2312"/>
                <w:color w:val="auto"/>
                <w:kern w:val="2"/>
                <w:sz w:val="20"/>
                <w:szCs w:val="20"/>
                <w:highlight w:val="none"/>
                <w:u w:val="none" w:color="auto"/>
                <w:lang w:val="en-US" w:eastAsia="zh-CN" w:bidi="ar-SA"/>
              </w:rPr>
            </w:pPr>
          </w:p>
        </w:tc>
        <w:tc>
          <w:tcPr>
            <w:tcW w:w="93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top"/>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94" w:hRule="atLeast"/>
          <w:jc w:val="center"/>
        </w:trPr>
        <w:tc>
          <w:tcPr>
            <w:tcW w:w="52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r>
              <w:rPr>
                <w:rFonts w:hint="eastAsia" w:ascii="仿宋_GB2312" w:hAnsi="仿宋_GB2312" w:eastAsia="仿宋_GB2312" w:cs="仿宋_GB2312"/>
                <w:color w:val="auto"/>
                <w:sz w:val="20"/>
                <w:szCs w:val="20"/>
                <w:highlight w:val="none"/>
                <w:u w:val="none" w:color="auto"/>
                <w:lang w:val="en-US" w:eastAsia="zh-CN"/>
              </w:rPr>
              <w:t>51</w:t>
            </w:r>
          </w:p>
        </w:tc>
        <w:tc>
          <w:tcPr>
            <w:tcW w:w="1112"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非营利性养老机构变更备案</w:t>
            </w:r>
          </w:p>
        </w:tc>
        <w:tc>
          <w:tcPr>
            <w:tcW w:w="5765"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b w:val="0"/>
                <w:bCs w:val="0"/>
                <w:color w:val="auto"/>
                <w:kern w:val="0"/>
                <w:sz w:val="20"/>
                <w:szCs w:val="20"/>
                <w:highlight w:val="none"/>
                <w:u w:val="none" w:color="auto"/>
              </w:rPr>
              <w:t>《中华人民共和国老年人权益保障法》第四十六条</w:t>
            </w:r>
            <w:r>
              <w:rPr>
                <w:rFonts w:hint="eastAsia" w:ascii="仿宋_GB2312" w:hAnsi="仿宋_GB2312" w:eastAsia="仿宋_GB2312" w:cs="仿宋_GB2312"/>
                <w:b w:val="0"/>
                <w:bCs w:val="0"/>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养老机构变更或者终止的，应当妥善安置收住的老年人，并依照规定到有关部门办理手续。有关部门应当为养老机构妥善安置老年人提供帮助。</w:t>
            </w:r>
          </w:p>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养老机构管理办法》第十三条：已经备案的养老机构变更名称、法定代表人或者主要负责人等登记事项，或者变更服务场所权属、养老床位数量、服务设施面积等事项的，应当及时向原备案民政部门办理变更备案。</w:t>
            </w:r>
          </w:p>
        </w:tc>
        <w:tc>
          <w:tcPr>
            <w:tcW w:w="440"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其他职权</w:t>
            </w: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收件</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综合受理窗口受理。</w:t>
            </w:r>
          </w:p>
        </w:tc>
        <w:tc>
          <w:tcPr>
            <w:tcW w:w="253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20" w:lineRule="exact"/>
              <w:ind w:firstLine="0" w:firstLineChars="0"/>
              <w:jc w:val="both"/>
              <w:textAlignment w:val="top"/>
              <w:rPr>
                <w:rFonts w:hint="eastAsia" w:ascii="仿宋_GB2312" w:hAnsi="仿宋_GB2312" w:eastAsia="仿宋_GB2312" w:cs="仿宋_GB2312"/>
                <w:color w:val="auto"/>
                <w:spacing w:val="0"/>
                <w:w w:val="100"/>
                <w:kern w:val="0"/>
                <w:sz w:val="20"/>
                <w:szCs w:val="20"/>
                <w:highlight w:val="none"/>
                <w:u w:val="none" w:color="auto"/>
                <w:lang w:val="en-US" w:eastAsia="zh-CN"/>
              </w:rPr>
            </w:pPr>
            <w:r>
              <w:rPr>
                <w:rFonts w:hint="eastAsia" w:ascii="仿宋_GB2312" w:hAnsi="仿宋_GB2312" w:eastAsia="仿宋_GB2312" w:cs="仿宋_GB2312"/>
                <w:color w:val="auto"/>
                <w:spacing w:val="0"/>
                <w:w w:val="100"/>
                <w:kern w:val="0"/>
                <w:sz w:val="20"/>
                <w:szCs w:val="20"/>
                <w:highlight w:val="none"/>
                <w:u w:val="none" w:color="auto"/>
                <w:lang w:val="en-US" w:eastAsia="zh-CN" w:bidi="ar-SA"/>
              </w:rPr>
              <w:t>不履行或不正确履行职责，有下列情形的行政机关及相关工作人员应承担相应的责任：</w:t>
            </w:r>
            <w:r>
              <w:rPr>
                <w:rFonts w:hint="eastAsia" w:ascii="仿宋_GB2312" w:hAnsi="仿宋_GB2312" w:eastAsia="仿宋_GB2312" w:cs="仿宋_GB2312"/>
                <w:color w:val="auto"/>
                <w:spacing w:val="0"/>
                <w:w w:val="100"/>
                <w:kern w:val="0"/>
                <w:sz w:val="20"/>
                <w:szCs w:val="20"/>
                <w:highlight w:val="none"/>
                <w:u w:val="none" w:color="auto"/>
                <w:lang w:val="en-US" w:eastAsia="zh-CN" w:bidi="ar-SA"/>
              </w:rPr>
              <w:br w:type="textWrapping"/>
            </w:r>
            <w:r>
              <w:rPr>
                <w:rFonts w:hint="eastAsia" w:ascii="仿宋_GB2312" w:hAnsi="仿宋_GB2312" w:eastAsia="仿宋_GB2312" w:cs="仿宋_GB2312"/>
                <w:color w:val="auto"/>
                <w:spacing w:val="0"/>
                <w:w w:val="100"/>
                <w:kern w:val="0"/>
                <w:sz w:val="20"/>
                <w:szCs w:val="20"/>
                <w:highlight w:val="none"/>
                <w:u w:val="none" w:color="auto"/>
                <w:lang w:val="en-US" w:eastAsia="zh-CN" w:bidi="ar-SA"/>
              </w:rPr>
              <w:t>1．对养老机构负有管理和监督职责的部门及其工作人员滥用职权、玩忽职守、徇私舞弊的，对直接负责的主管人员和其他直接责任人员依法给予处分；构成犯罪的，依法追究刑事责任。</w:t>
            </w:r>
          </w:p>
        </w:tc>
        <w:tc>
          <w:tcPr>
            <w:tcW w:w="934"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top"/>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lang w:val="en-US" w:eastAsia="zh-CN"/>
              </w:rPr>
              <w:t>行政审批服务科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94"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color w:val="auto"/>
                <w:spacing w:val="-6"/>
                <w:kern w:val="0"/>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受理</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民政部门受理。</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top"/>
              <w:rPr>
                <w:rFonts w:hint="eastAsia" w:ascii="仿宋_GB2312" w:hAnsi="仿宋_GB2312" w:eastAsia="仿宋_GB2312" w:cs="仿宋_GB2312"/>
                <w:color w:val="auto"/>
                <w:spacing w:val="0"/>
                <w:w w:val="100"/>
                <w:kern w:val="2"/>
                <w:sz w:val="20"/>
                <w:szCs w:val="20"/>
                <w:highlight w:val="none"/>
                <w:u w:val="none" w:color="auto"/>
                <w:lang w:val="en-US" w:eastAsia="zh-CN" w:bidi="ar-SA"/>
              </w:rPr>
            </w:pPr>
          </w:p>
        </w:tc>
        <w:tc>
          <w:tcPr>
            <w:tcW w:w="934"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top"/>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94"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color w:val="auto"/>
                <w:spacing w:val="-6"/>
                <w:kern w:val="0"/>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审核</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根据相关法律和政策审核。</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top"/>
              <w:rPr>
                <w:rFonts w:hint="eastAsia" w:ascii="仿宋_GB2312" w:hAnsi="仿宋_GB2312" w:eastAsia="仿宋_GB2312" w:cs="仿宋_GB2312"/>
                <w:color w:val="auto"/>
                <w:spacing w:val="0"/>
                <w:w w:val="100"/>
                <w:kern w:val="2"/>
                <w:sz w:val="20"/>
                <w:szCs w:val="20"/>
                <w:highlight w:val="none"/>
                <w:u w:val="none" w:color="auto"/>
                <w:lang w:val="en-US" w:eastAsia="zh-CN" w:bidi="ar-SA"/>
              </w:rPr>
            </w:pPr>
          </w:p>
        </w:tc>
        <w:tc>
          <w:tcPr>
            <w:tcW w:w="934"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top"/>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94"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color w:val="auto"/>
                <w:spacing w:val="-6"/>
                <w:kern w:val="0"/>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决定</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做出决定。</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top"/>
              <w:rPr>
                <w:rFonts w:hint="eastAsia" w:ascii="仿宋_GB2312" w:hAnsi="仿宋_GB2312" w:eastAsia="仿宋_GB2312" w:cs="仿宋_GB2312"/>
                <w:color w:val="auto"/>
                <w:spacing w:val="0"/>
                <w:w w:val="100"/>
                <w:kern w:val="2"/>
                <w:sz w:val="20"/>
                <w:szCs w:val="20"/>
                <w:highlight w:val="none"/>
                <w:u w:val="none" w:color="auto"/>
                <w:lang w:val="en-US" w:eastAsia="zh-CN" w:bidi="ar-SA"/>
              </w:rPr>
            </w:pPr>
          </w:p>
        </w:tc>
        <w:tc>
          <w:tcPr>
            <w:tcW w:w="934"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top"/>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94" w:hRule="atLeast"/>
          <w:jc w:val="center"/>
        </w:trPr>
        <w:tc>
          <w:tcPr>
            <w:tcW w:w="523"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p>
        </w:tc>
        <w:tc>
          <w:tcPr>
            <w:tcW w:w="1112"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color w:val="auto"/>
                <w:spacing w:val="-6"/>
                <w:kern w:val="0"/>
                <w:sz w:val="20"/>
                <w:szCs w:val="20"/>
                <w:highlight w:val="none"/>
                <w:u w:val="none" w:color="auto"/>
              </w:rPr>
            </w:pPr>
          </w:p>
        </w:tc>
        <w:tc>
          <w:tcPr>
            <w:tcW w:w="5765"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40"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仿宋_GB2312" w:hAnsi="仿宋_GB2312" w:eastAsia="仿宋_GB2312" w:cs="仿宋_GB2312"/>
                <w:color w:val="auto"/>
                <w:kern w:val="0"/>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送达</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结果送达。</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top"/>
              <w:rPr>
                <w:rFonts w:hint="eastAsia" w:ascii="仿宋_GB2312" w:hAnsi="仿宋_GB2312" w:eastAsia="仿宋_GB2312" w:cs="仿宋_GB2312"/>
                <w:color w:val="auto"/>
                <w:spacing w:val="0"/>
                <w:w w:val="100"/>
                <w:kern w:val="2"/>
                <w:sz w:val="20"/>
                <w:szCs w:val="20"/>
                <w:highlight w:val="none"/>
                <w:u w:val="none" w:color="auto"/>
                <w:lang w:val="en-US" w:eastAsia="zh-CN" w:bidi="ar-SA"/>
              </w:rPr>
            </w:pPr>
          </w:p>
        </w:tc>
        <w:tc>
          <w:tcPr>
            <w:tcW w:w="934"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top"/>
              <w:rPr>
                <w:rFonts w:hint="eastAsia" w:ascii="仿宋_GB2312" w:hAnsi="仿宋_GB2312" w:eastAsia="仿宋_GB2312" w:cs="仿宋_GB2312"/>
                <w:color w:val="auto"/>
                <w:kern w:val="2"/>
                <w:sz w:val="20"/>
                <w:szCs w:val="20"/>
                <w:highlight w:val="none"/>
                <w:u w:val="none" w:color="auto"/>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012" w:hRule="atLeast"/>
          <w:jc w:val="center"/>
        </w:trPr>
        <w:tc>
          <w:tcPr>
            <w:tcW w:w="523"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r>
              <w:rPr>
                <w:rFonts w:hint="eastAsia" w:ascii="仿宋_GB2312" w:hAnsi="仿宋_GB2312" w:eastAsia="仿宋_GB2312" w:cs="仿宋_GB2312"/>
                <w:color w:val="auto"/>
                <w:sz w:val="20"/>
                <w:szCs w:val="20"/>
                <w:highlight w:val="none"/>
                <w:u w:val="none" w:color="auto"/>
                <w:lang w:val="en-US" w:eastAsia="zh-CN"/>
              </w:rPr>
              <w:t>52</w:t>
            </w:r>
          </w:p>
        </w:tc>
        <w:tc>
          <w:tcPr>
            <w:tcW w:w="1112"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养老机构监管</w:t>
            </w:r>
          </w:p>
        </w:tc>
        <w:tc>
          <w:tcPr>
            <w:tcW w:w="5765"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中华人民共和国老年人权益保障法》第四十四条：地方各级人民政府加强对本行政区域养老机构管理工作的领导，建立养老机构综合监管制度。县级以上人民政府民政部门负责养老机构的指导、监督和管理，其他有关部门依照职责分工对养老机构实施监督。</w:t>
            </w:r>
          </w:p>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《养老机构管理办法》（中华人民共和国民政部令第66号）第三条：县级以上人民政府民政部门负责养老机构的指导、监督和管理。其他有关部门依照职责分工对养老机构实施监督。</w:t>
            </w:r>
          </w:p>
        </w:tc>
        <w:tc>
          <w:tcPr>
            <w:tcW w:w="440" w:type="dxa"/>
            <w:noWrap w:val="0"/>
            <w:vAlign w:val="center"/>
          </w:tcPr>
          <w:p>
            <w:pPr>
              <w:keepNext w:val="0"/>
              <w:keepLines w:val="0"/>
              <w:pageBreakBefore w:val="0"/>
              <w:widowControl w:val="0"/>
              <w:kinsoku/>
              <w:wordWrap/>
              <w:overflowPunct w:val="0"/>
              <w:topLinePunct w:val="0"/>
              <w:autoSpaceDE/>
              <w:autoSpaceDN/>
              <w:bidi w:val="0"/>
              <w:adjustRightInd/>
              <w:snapToGrid/>
              <w:spacing w:line="26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其他职权</w:t>
            </w: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60" w:lineRule="exact"/>
              <w:ind w:firstLine="0" w:firstLineChars="0"/>
              <w:jc w:val="center"/>
              <w:textAlignment w:val="center"/>
              <w:rPr>
                <w:rFonts w:hint="eastAsia" w:ascii="仿宋_GB2312" w:hAnsi="仿宋_GB2312" w:eastAsia="仿宋_GB2312" w:cs="仿宋_GB2312"/>
                <w:color w:val="auto"/>
                <w:spacing w:val="-6"/>
                <w:kern w:val="0"/>
                <w:sz w:val="20"/>
                <w:szCs w:val="20"/>
                <w:highlight w:val="none"/>
                <w:u w:val="none" w:color="auto"/>
                <w:lang w:val="en-US" w:eastAsia="zh-CN" w:bidi="ar-SA"/>
              </w:rPr>
            </w:pPr>
            <w:r>
              <w:rPr>
                <w:rFonts w:hint="eastAsia" w:ascii="仿宋_GB2312" w:hAnsi="仿宋_GB2312" w:eastAsia="仿宋_GB2312" w:cs="仿宋_GB2312"/>
                <w:color w:val="auto"/>
                <w:spacing w:val="-6"/>
                <w:kern w:val="0"/>
                <w:sz w:val="20"/>
                <w:szCs w:val="20"/>
                <w:highlight w:val="none"/>
                <w:u w:val="none" w:color="auto"/>
              </w:rPr>
              <w:t>对在市民政局备案的养老机构进行业务指导、监督检查、安全管理</w:t>
            </w:r>
            <w:r>
              <w:rPr>
                <w:rFonts w:hint="eastAsia" w:ascii="仿宋_GB2312" w:hAnsi="仿宋_GB2312" w:eastAsia="仿宋_GB2312" w:cs="仿宋_GB2312"/>
                <w:color w:val="auto"/>
                <w:spacing w:val="-6"/>
                <w:kern w:val="0"/>
                <w:sz w:val="20"/>
                <w:szCs w:val="20"/>
                <w:highlight w:val="none"/>
                <w:u w:val="none" w:color="auto"/>
                <w:lang w:eastAsia="zh-CN"/>
              </w:rPr>
              <w:t>。</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养老服务</w:t>
            </w:r>
            <w:r>
              <w:rPr>
                <w:rFonts w:hint="eastAsia" w:ascii="仿宋_GB2312" w:hAnsi="仿宋_GB2312" w:eastAsia="仿宋_GB2312" w:cs="仿宋_GB2312"/>
                <w:color w:val="auto"/>
                <w:kern w:val="0"/>
                <w:sz w:val="20"/>
                <w:szCs w:val="20"/>
                <w:highlight w:val="none"/>
                <w:u w:val="none" w:color="auto"/>
                <w:lang w:eastAsia="zh-CN"/>
              </w:rPr>
              <w:t>科</w:t>
            </w:r>
          </w:p>
        </w:tc>
        <w:tc>
          <w:tcPr>
            <w:tcW w:w="2533" w:type="dxa"/>
            <w:noWrap w:val="0"/>
            <w:vAlign w:val="center"/>
          </w:tcPr>
          <w:p>
            <w:pPr>
              <w:keepNext w:val="0"/>
              <w:keepLines w:val="0"/>
              <w:pageBreakBefore w:val="0"/>
              <w:widowControl w:val="0"/>
              <w:kinsoku/>
              <w:wordWrap/>
              <w:overflowPunct w:val="0"/>
              <w:topLinePunct w:val="0"/>
              <w:autoSpaceDE/>
              <w:autoSpaceDN/>
              <w:bidi w:val="0"/>
              <w:adjustRightInd/>
              <w:snapToGrid/>
              <w:spacing w:line="226" w:lineRule="exact"/>
              <w:ind w:firstLine="0" w:firstLineChars="0"/>
              <w:jc w:val="both"/>
              <w:textAlignment w:val="top"/>
              <w:rPr>
                <w:rFonts w:hint="eastAsia" w:ascii="仿宋_GB2312" w:hAnsi="仿宋_GB2312" w:eastAsia="仿宋_GB2312" w:cs="仿宋_GB2312"/>
                <w:color w:val="auto"/>
                <w:spacing w:val="0"/>
                <w:w w:val="100"/>
                <w:kern w:val="0"/>
                <w:sz w:val="20"/>
                <w:szCs w:val="20"/>
                <w:highlight w:val="none"/>
                <w:u w:val="none" w:color="auto"/>
              </w:rPr>
            </w:pPr>
            <w:r>
              <w:rPr>
                <w:rFonts w:hint="eastAsia" w:ascii="仿宋_GB2312" w:hAnsi="仿宋_GB2312" w:eastAsia="仿宋_GB2312" w:cs="仿宋_GB2312"/>
                <w:color w:val="auto"/>
                <w:spacing w:val="0"/>
                <w:w w:val="100"/>
                <w:kern w:val="0"/>
                <w:sz w:val="20"/>
                <w:szCs w:val="20"/>
                <w:highlight w:val="none"/>
                <w:u w:val="none" w:color="auto"/>
                <w:lang w:val="en-US" w:eastAsia="zh-CN" w:bidi="ar-SA"/>
              </w:rPr>
              <w:t>不履行或不正确履行职责，有下列情形的行政机关及相关工作人员应承担相应的责任：</w:t>
            </w:r>
            <w:r>
              <w:rPr>
                <w:rFonts w:hint="eastAsia" w:ascii="仿宋_GB2312" w:hAnsi="仿宋_GB2312" w:eastAsia="仿宋_GB2312" w:cs="仿宋_GB2312"/>
                <w:color w:val="auto"/>
                <w:spacing w:val="0"/>
                <w:w w:val="100"/>
                <w:kern w:val="0"/>
                <w:sz w:val="20"/>
                <w:szCs w:val="20"/>
                <w:highlight w:val="none"/>
                <w:u w:val="none" w:color="auto"/>
                <w:lang w:val="en-US" w:eastAsia="zh-CN" w:bidi="ar-SA"/>
              </w:rPr>
              <w:br w:type="textWrapping"/>
            </w:r>
            <w:r>
              <w:rPr>
                <w:rFonts w:hint="eastAsia" w:ascii="仿宋_GB2312" w:hAnsi="仿宋_GB2312" w:eastAsia="仿宋_GB2312" w:cs="仿宋_GB2312"/>
                <w:color w:val="auto"/>
                <w:spacing w:val="0"/>
                <w:w w:val="100"/>
                <w:kern w:val="0"/>
                <w:sz w:val="20"/>
                <w:szCs w:val="20"/>
                <w:highlight w:val="none"/>
                <w:u w:val="none" w:color="auto"/>
                <w:lang w:val="en-US" w:eastAsia="zh-CN" w:bidi="ar-SA"/>
              </w:rPr>
              <w:t>1．对养老机构负有管理和监督职责的部门及其工作人员滥用职权、玩忽职守、徇私舞弊的，对直接负责的主管人员和其他直接责任人员依法给予处分；构成犯罪的，依法追究刑事责任。</w:t>
            </w:r>
          </w:p>
        </w:tc>
        <w:tc>
          <w:tcPr>
            <w:tcW w:w="93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top"/>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rPr>
              <w:t>养老服务</w:t>
            </w:r>
            <w:r>
              <w:rPr>
                <w:rFonts w:hint="eastAsia" w:ascii="仿宋_GB2312" w:hAnsi="仿宋_GB2312" w:eastAsia="仿宋_GB2312" w:cs="仿宋_GB2312"/>
                <w:color w:val="auto"/>
                <w:kern w:val="0"/>
                <w:sz w:val="20"/>
                <w:szCs w:val="20"/>
                <w:highlight w:val="none"/>
                <w:u w:val="none" w:color="auto"/>
                <w:lang w:eastAsia="zh-CN"/>
              </w:rPr>
              <w:t>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77" w:hRule="atLeast"/>
          <w:jc w:val="center"/>
        </w:trPr>
        <w:tc>
          <w:tcPr>
            <w:tcW w:w="52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lang w:val="en-US" w:eastAsia="zh-CN"/>
              </w:rPr>
            </w:pPr>
            <w:r>
              <w:rPr>
                <w:rFonts w:hint="eastAsia" w:ascii="仿宋_GB2312" w:hAnsi="仿宋_GB2312" w:eastAsia="仿宋_GB2312" w:cs="仿宋_GB2312"/>
                <w:color w:val="auto"/>
                <w:sz w:val="20"/>
                <w:szCs w:val="20"/>
                <w:highlight w:val="none"/>
                <w:u w:val="none" w:color="auto"/>
                <w:lang w:val="en-US" w:eastAsia="zh-CN"/>
              </w:rPr>
              <w:t>53</w:t>
            </w:r>
          </w:p>
        </w:tc>
        <w:tc>
          <w:tcPr>
            <w:tcW w:w="1112"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6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kern w:val="0"/>
                <w:sz w:val="20"/>
                <w:szCs w:val="20"/>
                <w:highlight w:val="none"/>
                <w:u w:val="none" w:color="auto"/>
              </w:rPr>
              <w:t>撤销中国公民收养登记</w:t>
            </w:r>
          </w:p>
        </w:tc>
        <w:tc>
          <w:tcPr>
            <w:tcW w:w="5765"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6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rPr>
            </w:pPr>
            <w:r>
              <w:rPr>
                <w:rFonts w:hint="eastAsia" w:ascii="仿宋_GB2312" w:hAnsi="仿宋_GB2312" w:eastAsia="仿宋_GB2312" w:cs="仿宋_GB2312"/>
                <w:color w:val="auto"/>
                <w:sz w:val="20"/>
                <w:szCs w:val="20"/>
                <w:highlight w:val="none"/>
                <w:u w:val="none" w:color="auto"/>
                <w:lang w:eastAsia="zh-CN"/>
              </w:rPr>
              <w:t>《</w:t>
            </w:r>
            <w:r>
              <w:rPr>
                <w:rFonts w:hint="eastAsia" w:ascii="仿宋_GB2312" w:hAnsi="仿宋_GB2312" w:eastAsia="仿宋_GB2312" w:cs="仿宋_GB2312"/>
                <w:color w:val="auto"/>
                <w:sz w:val="20"/>
                <w:szCs w:val="20"/>
                <w:highlight w:val="none"/>
                <w:u w:val="none" w:color="auto"/>
              </w:rPr>
              <w:t>中国公民收养子女登记办法》</w:t>
            </w:r>
            <w:r>
              <w:rPr>
                <w:rFonts w:hint="eastAsia" w:ascii="仿宋_GB2312" w:hAnsi="仿宋_GB2312" w:eastAsia="仿宋_GB2312" w:cs="仿宋_GB2312"/>
                <w:color w:val="auto"/>
                <w:sz w:val="20"/>
                <w:szCs w:val="20"/>
                <w:highlight w:val="none"/>
                <w:u w:val="none" w:color="auto"/>
                <w:lang w:val="en-US" w:eastAsia="zh-CN"/>
              </w:rPr>
              <w:t>（</w:t>
            </w:r>
            <w:r>
              <w:rPr>
                <w:rFonts w:hint="eastAsia" w:ascii="仿宋_GB2312" w:hAnsi="仿宋_GB2312" w:eastAsia="仿宋_GB2312" w:cs="仿宋_GB2312"/>
                <w:color w:val="auto"/>
                <w:sz w:val="20"/>
                <w:szCs w:val="20"/>
                <w:highlight w:val="none"/>
                <w:u w:val="none" w:color="auto"/>
              </w:rPr>
              <w:t>民政部令第14号</w:t>
            </w:r>
            <w:r>
              <w:rPr>
                <w:rFonts w:hint="eastAsia" w:ascii="仿宋_GB2312" w:hAnsi="仿宋_GB2312" w:eastAsia="仿宋_GB2312" w:cs="仿宋_GB2312"/>
                <w:color w:val="auto"/>
                <w:sz w:val="20"/>
                <w:szCs w:val="20"/>
                <w:highlight w:val="none"/>
                <w:u w:val="none" w:color="auto"/>
                <w:lang w:val="en-US" w:eastAsia="zh-CN"/>
              </w:rPr>
              <w:t>）</w:t>
            </w:r>
            <w:r>
              <w:rPr>
                <w:rFonts w:hint="eastAsia" w:ascii="仿宋_GB2312" w:hAnsi="仿宋_GB2312" w:eastAsia="仿宋_GB2312" w:cs="仿宋_GB2312"/>
                <w:color w:val="auto"/>
                <w:sz w:val="20"/>
                <w:szCs w:val="20"/>
                <w:highlight w:val="none"/>
                <w:u w:val="none" w:color="auto"/>
              </w:rPr>
              <w:t>第十二条</w:t>
            </w:r>
            <w:r>
              <w:rPr>
                <w:rFonts w:hint="eastAsia" w:ascii="仿宋_GB2312" w:hAnsi="仿宋_GB2312" w:eastAsia="仿宋_GB2312" w:cs="仿宋_GB2312"/>
                <w:color w:val="auto"/>
                <w:sz w:val="20"/>
                <w:szCs w:val="20"/>
                <w:highlight w:val="none"/>
                <w:u w:val="none" w:color="auto"/>
                <w:lang w:eastAsia="zh-CN"/>
              </w:rPr>
              <w:t>：</w:t>
            </w:r>
            <w:r>
              <w:rPr>
                <w:rFonts w:hint="eastAsia" w:ascii="仿宋_GB2312" w:hAnsi="仿宋_GB2312" w:eastAsia="仿宋_GB2312" w:cs="仿宋_GB2312"/>
                <w:color w:val="auto"/>
                <w:sz w:val="20"/>
                <w:szCs w:val="20"/>
                <w:highlight w:val="none"/>
                <w:u w:val="none" w:color="auto"/>
              </w:rPr>
              <w:t>收养关系当事人弄虚作假骗取收养登记的，收养关系无效，由收养登记机关撤销登记，收缴收养登记证。</w:t>
            </w:r>
          </w:p>
        </w:tc>
        <w:tc>
          <w:tcPr>
            <w:tcW w:w="440"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60" w:lineRule="exact"/>
              <w:ind w:firstLine="0" w:firstLineChars="0"/>
              <w:jc w:val="center"/>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lang w:val="en-US" w:eastAsia="zh-CN"/>
              </w:rPr>
              <w:t>行政确认</w:t>
            </w: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6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收件</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6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综合受理窗口公示应提交的材料，一次性告知补正材料</w:t>
            </w:r>
            <w:r>
              <w:rPr>
                <w:rFonts w:hint="eastAsia" w:ascii="仿宋_GB2312" w:hAnsi="仿宋_GB2312" w:eastAsia="仿宋_GB2312" w:cs="仿宋_GB2312"/>
                <w:color w:val="auto"/>
                <w:kern w:val="0"/>
                <w:sz w:val="20"/>
                <w:szCs w:val="20"/>
                <w:highlight w:val="none"/>
                <w:u w:val="none" w:color="auto"/>
                <w:lang w:eastAsia="zh-CN"/>
              </w:rPr>
              <w:t>。</w:t>
            </w:r>
          </w:p>
        </w:tc>
        <w:tc>
          <w:tcPr>
            <w:tcW w:w="2533"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60" w:lineRule="exact"/>
              <w:ind w:firstLine="0" w:firstLineChars="0"/>
              <w:jc w:val="both"/>
              <w:textAlignment w:val="top"/>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sz w:val="20"/>
                <w:szCs w:val="20"/>
                <w:highlight w:val="none"/>
                <w:u w:val="none" w:color="auto"/>
                <w:lang w:eastAsia="zh-CN"/>
              </w:rPr>
              <w:t>不履行或不正确履行职责，有下列情形的行政机关及相关工作人员应承担相应的责任：</w:t>
            </w:r>
            <w:r>
              <w:rPr>
                <w:rFonts w:hint="eastAsia" w:ascii="仿宋_GB2312" w:hAnsi="仿宋_GB2312" w:eastAsia="仿宋_GB2312" w:cs="仿宋_GB2312"/>
                <w:color w:val="auto"/>
                <w:sz w:val="20"/>
                <w:szCs w:val="20"/>
                <w:highlight w:val="none"/>
                <w:u w:val="none" w:color="auto"/>
                <w:lang w:eastAsia="zh-CN"/>
              </w:rPr>
              <w:br w:type="textWrapping"/>
            </w:r>
            <w:r>
              <w:rPr>
                <w:rFonts w:hint="eastAsia" w:ascii="仿宋_GB2312" w:hAnsi="仿宋_GB2312" w:eastAsia="仿宋_GB2312" w:cs="仿宋_GB2312"/>
                <w:color w:val="auto"/>
                <w:sz w:val="20"/>
                <w:szCs w:val="20"/>
                <w:highlight w:val="none"/>
                <w:u w:val="none" w:color="auto"/>
                <w:lang w:eastAsia="zh-CN"/>
              </w:rPr>
              <w:t>1．</w:t>
            </w:r>
            <w:r>
              <w:rPr>
                <w:rFonts w:hint="eastAsia" w:ascii="仿宋_GB2312" w:hAnsi="仿宋_GB2312" w:eastAsia="仿宋_GB2312" w:cs="仿宋_GB2312"/>
                <w:color w:val="auto"/>
                <w:spacing w:val="-9"/>
                <w:sz w:val="20"/>
                <w:szCs w:val="20"/>
                <w:highlight w:val="none"/>
                <w:u w:val="none" w:color="auto"/>
                <w:lang w:eastAsia="zh-CN"/>
              </w:rPr>
              <w:t>为不符合收养登记条件的当事人办理收养登记的；</w:t>
            </w:r>
            <w:r>
              <w:rPr>
                <w:rFonts w:hint="eastAsia" w:ascii="仿宋_GB2312" w:hAnsi="仿宋_GB2312" w:eastAsia="仿宋_GB2312" w:cs="仿宋_GB2312"/>
                <w:color w:val="auto"/>
                <w:sz w:val="20"/>
                <w:szCs w:val="20"/>
                <w:highlight w:val="none"/>
                <w:u w:val="none" w:color="auto"/>
                <w:lang w:eastAsia="zh-CN"/>
              </w:rPr>
              <w:br w:type="textWrapping"/>
            </w:r>
            <w:r>
              <w:rPr>
                <w:rFonts w:hint="eastAsia" w:ascii="仿宋_GB2312" w:hAnsi="仿宋_GB2312" w:eastAsia="仿宋_GB2312" w:cs="仿宋_GB2312"/>
                <w:color w:val="auto"/>
                <w:sz w:val="20"/>
                <w:szCs w:val="20"/>
                <w:highlight w:val="none"/>
                <w:u w:val="none" w:color="auto"/>
                <w:lang w:eastAsia="zh-CN"/>
              </w:rPr>
              <w:t>2．依法应当予以登记而不予登记的；</w:t>
            </w:r>
            <w:r>
              <w:rPr>
                <w:rFonts w:hint="eastAsia" w:ascii="仿宋_GB2312" w:hAnsi="仿宋_GB2312" w:eastAsia="仿宋_GB2312" w:cs="仿宋_GB2312"/>
                <w:color w:val="auto"/>
                <w:sz w:val="20"/>
                <w:szCs w:val="20"/>
                <w:highlight w:val="none"/>
                <w:u w:val="none" w:color="auto"/>
                <w:lang w:eastAsia="zh-CN"/>
              </w:rPr>
              <w:br w:type="textWrapping"/>
            </w:r>
            <w:r>
              <w:rPr>
                <w:rFonts w:hint="eastAsia" w:ascii="仿宋_GB2312" w:hAnsi="仿宋_GB2312" w:eastAsia="仿宋_GB2312" w:cs="仿宋_GB2312"/>
                <w:color w:val="auto"/>
                <w:sz w:val="20"/>
                <w:szCs w:val="20"/>
                <w:highlight w:val="none"/>
                <w:u w:val="none" w:color="auto"/>
                <w:lang w:eastAsia="zh-CN"/>
              </w:rPr>
              <w:t>3．</w:t>
            </w:r>
            <w:r>
              <w:rPr>
                <w:rFonts w:hint="eastAsia" w:ascii="仿宋_GB2312" w:hAnsi="仿宋_GB2312" w:eastAsia="仿宋_GB2312" w:cs="仿宋_GB2312"/>
                <w:color w:val="auto"/>
                <w:spacing w:val="-9"/>
                <w:sz w:val="20"/>
                <w:szCs w:val="20"/>
                <w:highlight w:val="none"/>
                <w:u w:val="none" w:color="auto"/>
                <w:lang w:eastAsia="zh-CN"/>
              </w:rPr>
              <w:t>违反程序规定办理收养登记、解除收养关系登记、撤销收养登记及其他证明的；</w:t>
            </w:r>
            <w:r>
              <w:rPr>
                <w:rFonts w:hint="eastAsia" w:ascii="仿宋_GB2312" w:hAnsi="仿宋_GB2312" w:eastAsia="仿宋_GB2312" w:cs="仿宋_GB2312"/>
                <w:color w:val="auto"/>
                <w:sz w:val="20"/>
                <w:szCs w:val="20"/>
                <w:highlight w:val="none"/>
                <w:u w:val="none" w:color="auto"/>
                <w:lang w:eastAsia="zh-CN"/>
              </w:rPr>
              <w:br w:type="textWrapping"/>
            </w:r>
            <w:r>
              <w:rPr>
                <w:rFonts w:hint="eastAsia" w:ascii="仿宋_GB2312" w:hAnsi="仿宋_GB2312" w:eastAsia="仿宋_GB2312" w:cs="仿宋_GB2312"/>
                <w:color w:val="auto"/>
                <w:sz w:val="20"/>
                <w:szCs w:val="20"/>
                <w:highlight w:val="none"/>
                <w:u w:val="none" w:color="auto"/>
                <w:lang w:eastAsia="zh-CN"/>
              </w:rPr>
              <w:t>4．</w:t>
            </w:r>
            <w:r>
              <w:rPr>
                <w:rFonts w:hint="eastAsia" w:ascii="仿宋_GB2312" w:hAnsi="仿宋_GB2312" w:eastAsia="仿宋_GB2312" w:cs="仿宋_GB2312"/>
                <w:color w:val="auto"/>
                <w:spacing w:val="-9"/>
                <w:sz w:val="20"/>
                <w:szCs w:val="20"/>
                <w:highlight w:val="none"/>
                <w:u w:val="none" w:color="auto"/>
                <w:lang w:eastAsia="zh-CN"/>
              </w:rPr>
              <w:t>要求当事人提交《中华人民共和国收养法》、《外国人在中华人民共和国收养子女登记办法》和民政部《收养登记工作规范》规定以外的证件和证明材料的。</w:t>
            </w:r>
            <w:r>
              <w:rPr>
                <w:rFonts w:hint="eastAsia" w:ascii="仿宋_GB2312" w:hAnsi="仿宋_GB2312" w:eastAsia="仿宋_GB2312" w:cs="仿宋_GB2312"/>
                <w:color w:val="auto"/>
                <w:sz w:val="20"/>
                <w:szCs w:val="20"/>
                <w:highlight w:val="none"/>
                <w:u w:val="none" w:color="auto"/>
                <w:lang w:eastAsia="zh-CN"/>
              </w:rPr>
              <w:br w:type="textWrapping"/>
            </w:r>
            <w:r>
              <w:rPr>
                <w:rFonts w:hint="eastAsia" w:ascii="仿宋_GB2312" w:hAnsi="仿宋_GB2312" w:eastAsia="仿宋_GB2312" w:cs="仿宋_GB2312"/>
                <w:color w:val="auto"/>
                <w:sz w:val="20"/>
                <w:szCs w:val="20"/>
                <w:highlight w:val="none"/>
                <w:u w:val="none" w:color="auto"/>
                <w:lang w:eastAsia="zh-CN"/>
              </w:rPr>
              <w:t>（五）擅自提高收费标准、增加收费项目或者不使用规定收费票据的；</w:t>
            </w:r>
            <w:r>
              <w:rPr>
                <w:rFonts w:hint="eastAsia" w:ascii="仿宋_GB2312" w:hAnsi="仿宋_GB2312" w:eastAsia="仿宋_GB2312" w:cs="仿宋_GB2312"/>
                <w:color w:val="auto"/>
                <w:sz w:val="20"/>
                <w:szCs w:val="20"/>
                <w:highlight w:val="none"/>
                <w:u w:val="none" w:color="auto"/>
                <w:lang w:eastAsia="zh-CN"/>
              </w:rPr>
              <w:br w:type="textWrapping"/>
            </w:r>
            <w:r>
              <w:rPr>
                <w:rFonts w:hint="eastAsia" w:ascii="仿宋_GB2312" w:hAnsi="仿宋_GB2312" w:eastAsia="仿宋_GB2312" w:cs="仿宋_GB2312"/>
                <w:color w:val="auto"/>
                <w:sz w:val="20"/>
                <w:szCs w:val="20"/>
                <w:highlight w:val="none"/>
                <w:u w:val="none" w:color="auto"/>
                <w:lang w:eastAsia="zh-CN"/>
              </w:rPr>
              <w:t>（六）玩忽职守造成收养登记档案损毁的；</w:t>
            </w:r>
            <w:r>
              <w:rPr>
                <w:rFonts w:hint="eastAsia" w:ascii="仿宋_GB2312" w:hAnsi="仿宋_GB2312" w:eastAsia="仿宋_GB2312" w:cs="仿宋_GB2312"/>
                <w:color w:val="auto"/>
                <w:sz w:val="20"/>
                <w:szCs w:val="20"/>
                <w:highlight w:val="none"/>
                <w:u w:val="none" w:color="auto"/>
                <w:lang w:eastAsia="zh-CN"/>
              </w:rPr>
              <w:br w:type="textWrapping"/>
            </w:r>
            <w:r>
              <w:rPr>
                <w:rFonts w:hint="eastAsia" w:ascii="仿宋_GB2312" w:hAnsi="仿宋_GB2312" w:eastAsia="仿宋_GB2312" w:cs="仿宋_GB2312"/>
                <w:color w:val="auto"/>
                <w:sz w:val="20"/>
                <w:szCs w:val="20"/>
                <w:highlight w:val="none"/>
                <w:u w:val="none" w:color="auto"/>
                <w:lang w:eastAsia="zh-CN"/>
              </w:rPr>
              <w:t>（七）泄露当事人收养秘密并造成严重后果的；</w:t>
            </w:r>
            <w:r>
              <w:rPr>
                <w:rFonts w:hint="eastAsia" w:ascii="仿宋_GB2312" w:hAnsi="仿宋_GB2312" w:eastAsia="仿宋_GB2312" w:cs="仿宋_GB2312"/>
                <w:color w:val="auto"/>
                <w:sz w:val="20"/>
                <w:szCs w:val="20"/>
                <w:highlight w:val="none"/>
                <w:u w:val="none" w:color="auto"/>
                <w:lang w:eastAsia="zh-CN"/>
              </w:rPr>
              <w:br w:type="textWrapping"/>
            </w:r>
            <w:r>
              <w:rPr>
                <w:rFonts w:hint="eastAsia" w:ascii="仿宋_GB2312" w:hAnsi="仿宋_GB2312" w:eastAsia="仿宋_GB2312" w:cs="仿宋_GB2312"/>
                <w:color w:val="auto"/>
                <w:sz w:val="20"/>
                <w:szCs w:val="20"/>
                <w:highlight w:val="none"/>
                <w:u w:val="none" w:color="auto"/>
                <w:lang w:eastAsia="zh-CN"/>
              </w:rPr>
              <w:t>（八）购买使用伪造收养证书的；</w:t>
            </w:r>
            <w:r>
              <w:rPr>
                <w:rFonts w:hint="eastAsia" w:ascii="仿宋_GB2312" w:hAnsi="仿宋_GB2312" w:eastAsia="仿宋_GB2312" w:cs="仿宋_GB2312"/>
                <w:color w:val="auto"/>
                <w:sz w:val="20"/>
                <w:szCs w:val="20"/>
                <w:highlight w:val="none"/>
                <w:u w:val="none" w:color="auto"/>
                <w:lang w:eastAsia="zh-CN"/>
              </w:rPr>
              <w:br w:type="textWrapping"/>
            </w:r>
            <w:r>
              <w:rPr>
                <w:rFonts w:hint="eastAsia" w:ascii="仿宋_GB2312" w:hAnsi="仿宋_GB2312" w:eastAsia="仿宋_GB2312" w:cs="仿宋_GB2312"/>
                <w:color w:val="auto"/>
                <w:sz w:val="20"/>
                <w:szCs w:val="20"/>
                <w:highlight w:val="none"/>
                <w:u w:val="none" w:color="auto"/>
                <w:lang w:eastAsia="zh-CN"/>
              </w:rPr>
              <w:t>收养登记员违反规定办理收养登记，给当事人造成严重后果的，应当由收养登记机关承担对当事人的赔偿责任，并对承办人员进行追偿。</w:t>
            </w:r>
          </w:p>
        </w:tc>
        <w:tc>
          <w:tcPr>
            <w:tcW w:w="934"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top"/>
              <w:rPr>
                <w:rFonts w:hint="eastAsia" w:ascii="仿宋_GB2312" w:hAnsi="仿宋_GB2312" w:eastAsia="仿宋_GB2312" w:cs="仿宋_GB2312"/>
                <w:color w:val="auto"/>
                <w:kern w:val="0"/>
                <w:sz w:val="20"/>
                <w:szCs w:val="20"/>
                <w:highlight w:val="none"/>
                <w:u w:val="none" w:color="auto"/>
                <w:lang w:val="en-US" w:eastAsia="zh-CN"/>
              </w:rPr>
            </w:pPr>
            <w:r>
              <w:rPr>
                <w:rFonts w:hint="eastAsia" w:ascii="仿宋_GB2312" w:hAnsi="仿宋_GB2312" w:eastAsia="仿宋_GB2312" w:cs="仿宋_GB2312"/>
                <w:color w:val="auto"/>
                <w:kern w:val="0"/>
                <w:sz w:val="20"/>
                <w:szCs w:val="20"/>
                <w:highlight w:val="none"/>
                <w:u w:val="none" w:color="auto"/>
                <w:lang w:val="en-US" w:eastAsia="zh-CN"/>
              </w:rPr>
              <w:t>行政审批服务科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77" w:hRule="atLeast"/>
          <w:jc w:val="center"/>
        </w:trPr>
        <w:tc>
          <w:tcPr>
            <w:tcW w:w="52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1112"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5765"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受理</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对申请材料进行初步审核，受理或不予受理（不予受理的依法告知理由）</w:t>
            </w:r>
            <w:r>
              <w:rPr>
                <w:rFonts w:hint="eastAsia" w:ascii="仿宋_GB2312" w:hAnsi="仿宋_GB2312" w:eastAsia="仿宋_GB2312" w:cs="仿宋_GB2312"/>
                <w:color w:val="auto"/>
                <w:kern w:val="0"/>
                <w:sz w:val="20"/>
                <w:szCs w:val="20"/>
                <w:highlight w:val="none"/>
                <w:u w:val="none" w:color="auto"/>
                <w:lang w:eastAsia="zh-CN"/>
              </w:rPr>
              <w:t>。</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kern w:val="0"/>
                <w:sz w:val="20"/>
                <w:szCs w:val="20"/>
                <w:highlight w:val="none"/>
                <w:u w:val="none" w:color="auto"/>
              </w:rPr>
            </w:pPr>
          </w:p>
        </w:tc>
        <w:tc>
          <w:tcPr>
            <w:tcW w:w="934"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0"/>
                <w:sz w:val="20"/>
                <w:szCs w:val="20"/>
                <w:highlight w:val="none"/>
                <w:u w:val="none" w:color="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551" w:hRule="atLeast"/>
          <w:jc w:val="center"/>
        </w:trPr>
        <w:tc>
          <w:tcPr>
            <w:tcW w:w="52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0"/>
                <w:sz w:val="20"/>
                <w:szCs w:val="20"/>
                <w:highlight w:val="none"/>
                <w:u w:val="none" w:color="auto"/>
              </w:rPr>
            </w:pPr>
          </w:p>
        </w:tc>
        <w:tc>
          <w:tcPr>
            <w:tcW w:w="1112"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0"/>
                <w:sz w:val="20"/>
                <w:szCs w:val="20"/>
                <w:highlight w:val="none"/>
                <w:u w:val="none" w:color="auto"/>
              </w:rPr>
            </w:pPr>
          </w:p>
        </w:tc>
        <w:tc>
          <w:tcPr>
            <w:tcW w:w="5765"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0"/>
                <w:sz w:val="20"/>
                <w:szCs w:val="20"/>
                <w:highlight w:val="none"/>
                <w:u w:val="none" w:color="auto"/>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0"/>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审核</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lang w:val="en-US" w:eastAsia="zh-CN" w:bidi="ar-SA"/>
              </w:rPr>
              <w:t>收养关系当事人弄虚作假骗取收养登记的，收养关系无效，撤销登记，收缴收养登记证；不符合撤销收养条件的，告知当事人不予撤销的原因，并告知当事人可以向人民法院起诉。</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kern w:val="0"/>
                <w:sz w:val="20"/>
                <w:szCs w:val="20"/>
                <w:highlight w:val="none"/>
                <w:u w:val="none" w:color="auto"/>
              </w:rPr>
            </w:pPr>
          </w:p>
        </w:tc>
        <w:tc>
          <w:tcPr>
            <w:tcW w:w="934"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0"/>
                <w:sz w:val="20"/>
                <w:szCs w:val="20"/>
                <w:highlight w:val="none"/>
                <w:u w:val="none" w:color="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720" w:hRule="atLeast"/>
          <w:jc w:val="center"/>
        </w:trPr>
        <w:tc>
          <w:tcPr>
            <w:tcW w:w="52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0"/>
                <w:sz w:val="20"/>
                <w:szCs w:val="20"/>
                <w:highlight w:val="none"/>
                <w:u w:val="none" w:color="auto"/>
              </w:rPr>
            </w:pPr>
          </w:p>
        </w:tc>
        <w:tc>
          <w:tcPr>
            <w:tcW w:w="1112"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0"/>
                <w:sz w:val="20"/>
                <w:szCs w:val="20"/>
                <w:highlight w:val="none"/>
                <w:u w:val="none" w:color="auto"/>
              </w:rPr>
            </w:pPr>
          </w:p>
        </w:tc>
        <w:tc>
          <w:tcPr>
            <w:tcW w:w="5765"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0"/>
                <w:sz w:val="20"/>
                <w:szCs w:val="20"/>
                <w:highlight w:val="none"/>
                <w:u w:val="none" w:color="auto"/>
              </w:rPr>
            </w:pPr>
          </w:p>
        </w:tc>
        <w:tc>
          <w:tcPr>
            <w:tcW w:w="440"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0"/>
                <w:sz w:val="20"/>
                <w:szCs w:val="20"/>
                <w:highlight w:val="none"/>
                <w:u w:val="none" w:color="auto"/>
              </w:rPr>
            </w:pPr>
          </w:p>
        </w:tc>
        <w:tc>
          <w:tcPr>
            <w:tcW w:w="467"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送达</w:t>
            </w:r>
          </w:p>
        </w:tc>
        <w:tc>
          <w:tcPr>
            <w:tcW w:w="3644" w:type="dxa"/>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left"/>
              <w:textAlignment w:val="center"/>
              <w:rPr>
                <w:rFonts w:hint="eastAsia" w:ascii="仿宋_GB2312" w:hAnsi="仿宋_GB2312" w:eastAsia="仿宋_GB2312" w:cs="仿宋_GB2312"/>
                <w:color w:val="auto"/>
                <w:kern w:val="0"/>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lang w:val="en-US" w:eastAsia="zh-CN"/>
              </w:rPr>
              <w:t>将《关于撤销×××与×××收养登记决定书》送达每位当事人，</w:t>
            </w:r>
            <w:r>
              <w:rPr>
                <w:rFonts w:hint="eastAsia" w:ascii="仿宋_GB2312" w:hAnsi="仿宋_GB2312" w:eastAsia="仿宋_GB2312" w:cs="仿宋_GB2312"/>
                <w:color w:val="auto"/>
                <w:kern w:val="0"/>
                <w:sz w:val="20"/>
                <w:szCs w:val="20"/>
                <w:highlight w:val="none"/>
                <w:u w:val="none" w:color="auto"/>
                <w:lang w:val="en-US" w:eastAsia="zh-CN" w:bidi="ar-SA"/>
              </w:rPr>
              <w:t>收缴收养登记证。</w:t>
            </w:r>
          </w:p>
        </w:tc>
        <w:tc>
          <w:tcPr>
            <w:tcW w:w="2533"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rPr>
                <w:rFonts w:hint="eastAsia" w:ascii="仿宋_GB2312" w:hAnsi="仿宋_GB2312" w:eastAsia="仿宋_GB2312" w:cs="仿宋_GB2312"/>
                <w:color w:val="auto"/>
                <w:kern w:val="0"/>
                <w:sz w:val="20"/>
                <w:szCs w:val="20"/>
                <w:highlight w:val="none"/>
                <w:u w:val="none" w:color="auto"/>
              </w:rPr>
            </w:pPr>
          </w:p>
        </w:tc>
        <w:tc>
          <w:tcPr>
            <w:tcW w:w="934" w:type="dxa"/>
            <w:vMerge w:val="continue"/>
            <w:noWrap w:val="0"/>
            <w:vAlign w:val="top"/>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center"/>
              <w:rPr>
                <w:rFonts w:hint="eastAsia" w:ascii="仿宋_GB2312" w:hAnsi="仿宋_GB2312" w:eastAsia="仿宋_GB2312" w:cs="仿宋_GB2312"/>
                <w:color w:val="auto"/>
                <w:kern w:val="0"/>
                <w:sz w:val="20"/>
                <w:szCs w:val="20"/>
                <w:highlight w:val="none"/>
                <w:u w:val="none" w:color="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09" w:hRule="atLeast"/>
          <w:jc w:val="center"/>
        </w:trPr>
        <w:tc>
          <w:tcPr>
            <w:tcW w:w="15418" w:type="dxa"/>
            <w:gridSpan w:val="8"/>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服务电话：0377</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lang w:val="en-US" w:eastAsia="zh-CN"/>
              </w:rPr>
              <w:t>63187716</w:t>
            </w:r>
            <w:r>
              <w:rPr>
                <w:rFonts w:hint="eastAsia" w:ascii="仿宋_GB2312" w:hAnsi="仿宋_GB2312" w:eastAsia="仿宋_GB2312" w:cs="仿宋_GB2312"/>
                <w:color w:val="auto"/>
                <w:kern w:val="0"/>
                <w:sz w:val="20"/>
                <w:szCs w:val="20"/>
                <w:highlight w:val="none"/>
                <w:u w:val="none" w:color="auto"/>
              </w:rPr>
              <w:t xml:space="preserve">            投诉机构</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南阳市纪委监委驻市民政局纪检监察组                    投诉电话：0377</w:t>
            </w:r>
            <w:r>
              <w:rPr>
                <w:rFonts w:hint="eastAsia" w:ascii="仿宋_GB2312" w:hAnsi="仿宋_GB2312" w:eastAsia="仿宋_GB2312" w:cs="仿宋_GB2312"/>
                <w:color w:val="auto"/>
                <w:kern w:val="0"/>
                <w:sz w:val="20"/>
                <w:szCs w:val="20"/>
                <w:highlight w:val="none"/>
                <w:u w:val="none" w:color="auto"/>
                <w:lang w:eastAsia="zh-CN"/>
              </w:rPr>
              <w:t>—</w:t>
            </w:r>
            <w:r>
              <w:rPr>
                <w:rFonts w:hint="eastAsia" w:ascii="仿宋_GB2312" w:hAnsi="仿宋_GB2312" w:eastAsia="仿宋_GB2312" w:cs="仿宋_GB2312"/>
                <w:color w:val="auto"/>
                <w:kern w:val="0"/>
                <w:sz w:val="20"/>
                <w:szCs w:val="20"/>
                <w:highlight w:val="none"/>
                <w:u w:val="none" w:color="auto"/>
              </w:rPr>
              <w:t xml:space="preserve">63137277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48" w:hRule="atLeast"/>
          <w:jc w:val="center"/>
        </w:trPr>
        <w:tc>
          <w:tcPr>
            <w:tcW w:w="15418" w:type="dxa"/>
            <w:gridSpan w:val="8"/>
            <w:noWrap w:val="0"/>
            <w:vAlign w:val="center"/>
          </w:tcPr>
          <w:p>
            <w:pPr>
              <w:keepNext w:val="0"/>
              <w:keepLines w:val="0"/>
              <w:pageBreakBefore w:val="0"/>
              <w:widowControl w:val="0"/>
              <w:kinsoku/>
              <w:wordWrap/>
              <w:overflowPunct w:val="0"/>
              <w:topLinePunct w:val="0"/>
              <w:autoSpaceDE/>
              <w:autoSpaceDN/>
              <w:bidi w:val="0"/>
              <w:adjustRightInd/>
              <w:snapToGrid/>
              <w:spacing w:line="240" w:lineRule="exact"/>
              <w:ind w:firstLine="0" w:firstLineChars="0"/>
              <w:jc w:val="both"/>
              <w:textAlignment w:val="center"/>
              <w:rPr>
                <w:rFonts w:hint="eastAsia" w:ascii="仿宋_GB2312" w:hAnsi="仿宋_GB2312" w:eastAsia="仿宋_GB2312" w:cs="仿宋_GB2312"/>
                <w:color w:val="auto"/>
                <w:kern w:val="2"/>
                <w:sz w:val="20"/>
                <w:szCs w:val="20"/>
                <w:highlight w:val="none"/>
                <w:u w:val="none" w:color="auto"/>
                <w:lang w:val="en-US" w:eastAsia="zh-CN" w:bidi="ar-SA"/>
              </w:rPr>
            </w:pPr>
            <w:r>
              <w:rPr>
                <w:rFonts w:hint="eastAsia" w:ascii="仿宋_GB2312" w:hAnsi="仿宋_GB2312" w:eastAsia="仿宋_GB2312" w:cs="仿宋_GB2312"/>
                <w:color w:val="auto"/>
                <w:kern w:val="0"/>
                <w:sz w:val="20"/>
                <w:szCs w:val="20"/>
                <w:highlight w:val="none"/>
                <w:u w:val="none" w:color="auto"/>
              </w:rPr>
              <w:t>受理地点：南阳市范蠡路南区行政审批中心1号楼1楼综合受理窗口</w:t>
            </w:r>
          </w:p>
        </w:tc>
      </w:tr>
    </w:tbl>
    <w:p>
      <w:pPr>
        <w:pStyle w:val="2"/>
        <w:keepNext w:val="0"/>
        <w:keepLines w:val="0"/>
        <w:pageBreakBefore w:val="0"/>
        <w:widowControl w:val="0"/>
        <w:kinsoku/>
        <w:wordWrap/>
        <w:overflowPunct/>
        <w:topLinePunct w:val="0"/>
        <w:autoSpaceDE/>
        <w:autoSpaceDN/>
        <w:bidi w:val="0"/>
        <w:adjustRightInd/>
        <w:snapToGrid w:val="0"/>
        <w:spacing w:after="0" w:line="20" w:lineRule="exact"/>
        <w:ind w:left="0" w:leftChars="0" w:firstLine="0" w:firstLineChars="0"/>
        <w:textAlignment w:val="auto"/>
        <w:rPr>
          <w:rFonts w:hint="default"/>
          <w:color w:val="auto"/>
          <w:highlight w:val="none"/>
          <w:lang w:val="en-US" w:eastAsia="zh-CN"/>
        </w:rPr>
      </w:pPr>
    </w:p>
    <w:sectPr>
      <w:headerReference r:id="rId7" w:type="default"/>
      <w:footerReference r:id="rId8" w:type="default"/>
      <w:pgSz w:w="16838" w:h="11906" w:orient="landscape"/>
      <w:pgMar w:top="1417" w:right="1134" w:bottom="1134" w:left="1134" w:header="851" w:footer="680" w:gutter="0"/>
      <w:pgNumType w:fmt="decimal"/>
      <w:cols w:space="0" w:num="1"/>
      <w:rtlGutter w:val="0"/>
      <w:docGrid w:type="lines" w:linePitch="465" w:charSpace="0"/>
    </w:sectPr>
  </w:body>
</w:document>
</file>

<file path=word/customizations.xml><?xml version="1.0" encoding="utf-8"?>
<wne:tcg xmlns:r="http://schemas.openxmlformats.org/officeDocument/2006/relationships" xmlns:wne="http://schemas.microsoft.com/office/word/2006/wordml">
  <wne:keymaps>
    <wne:keymap wne:kcmPrimary="055A">
      <wne:acd wne:acdName="acd0"/>
    </wne:keymap>
    <wne:keymap wne:kcmPrimary="0553">
      <wne:acd wne:acdName="acd1"/>
    </wne:keymap>
  </wne:keymaps>
  <wne:acds>
    <wne:acd wne:argValue="AgBsUYdlOgBja4dl" wne:acdName="acd0" wne:fciIndexBasedOn="0065"/>
    <wne:acd wne:argValue="AgBsUYdlOgBja4dlKAApf9uPKQA=" wne:acdName="acd1"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9533326-97D1-48FE-950D-D7BDDAAAD68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embedRegular r:id="rId2" w:fontKey="{4E3A11A4-D514-4B76-ABAE-174300507842}"/>
  </w:font>
  <w:font w:name="方正小标宋简体">
    <w:panose1 w:val="02010601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3" w:fontKey="{39C4C390-4AC3-44E5-8044-EF773D4975BF}"/>
  </w:font>
  <w:font w:name="楷体_GB2312">
    <w:panose1 w:val="02010609030101010101"/>
    <w:charset w:val="86"/>
    <w:family w:val="auto"/>
    <w:pitch w:val="default"/>
    <w:sig w:usb0="00000001" w:usb1="080E0000" w:usb2="00000000" w:usb3="00000000" w:csb0="00040000" w:csb1="00000000"/>
    <w:embedRegular r:id="rId4" w:fontKey="{2F4DAC13-6E45-4ED9-A005-915DB5B323ED}"/>
  </w:font>
  <w:font w:name="仿宋">
    <w:panose1 w:val="02010609060101010101"/>
    <w:charset w:val="86"/>
    <w:family w:val="auto"/>
    <w:pitch w:val="default"/>
    <w:sig w:usb0="800002BF" w:usb1="38CF7CFA" w:usb2="00000016" w:usb3="00000000" w:csb0="00040001" w:csb1="00000000"/>
    <w:embedRegular r:id="rId5" w:fontKey="{95167D48-4540-4E7D-A5CF-13E2DFF85B3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- 1 -</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7"/>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- 1 -</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- 1 -</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- 1 -</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14</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7"/>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14</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p>
    <w:pPr>
      <w:pStyle w:val="8"/>
    </w:pPr>
  </w:p>
  <w:p>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23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5ZGI5MGUxYzdhMzk5YzIyMmU0MDdmNjA4M2QyNzQifQ=="/>
  </w:docVars>
  <w:rsids>
    <w:rsidRoot w:val="00000000"/>
    <w:rsid w:val="000B5CB2"/>
    <w:rsid w:val="00EA5B16"/>
    <w:rsid w:val="01C06764"/>
    <w:rsid w:val="0216715F"/>
    <w:rsid w:val="021C7630"/>
    <w:rsid w:val="02D71FFA"/>
    <w:rsid w:val="035C18FA"/>
    <w:rsid w:val="05E25CD6"/>
    <w:rsid w:val="082C60EA"/>
    <w:rsid w:val="0A6726FC"/>
    <w:rsid w:val="0C4D2C43"/>
    <w:rsid w:val="0F5D70C5"/>
    <w:rsid w:val="107C2883"/>
    <w:rsid w:val="11F8418B"/>
    <w:rsid w:val="120733B2"/>
    <w:rsid w:val="125044C4"/>
    <w:rsid w:val="1394551B"/>
    <w:rsid w:val="156306B4"/>
    <w:rsid w:val="17BD12E3"/>
    <w:rsid w:val="17CB7675"/>
    <w:rsid w:val="18131475"/>
    <w:rsid w:val="19151AC7"/>
    <w:rsid w:val="194505FE"/>
    <w:rsid w:val="199470D0"/>
    <w:rsid w:val="19AF1D8D"/>
    <w:rsid w:val="19BF78A1"/>
    <w:rsid w:val="1A377DFA"/>
    <w:rsid w:val="1CFD04C9"/>
    <w:rsid w:val="1D1C5E8C"/>
    <w:rsid w:val="1D26460D"/>
    <w:rsid w:val="1DCD0060"/>
    <w:rsid w:val="1E043695"/>
    <w:rsid w:val="21F56674"/>
    <w:rsid w:val="223413DD"/>
    <w:rsid w:val="22952FCD"/>
    <w:rsid w:val="233E2A78"/>
    <w:rsid w:val="2348022F"/>
    <w:rsid w:val="250757F1"/>
    <w:rsid w:val="25F36FC7"/>
    <w:rsid w:val="26013B19"/>
    <w:rsid w:val="26597D3C"/>
    <w:rsid w:val="26C467F8"/>
    <w:rsid w:val="279F1B2D"/>
    <w:rsid w:val="29FE6814"/>
    <w:rsid w:val="2B421339"/>
    <w:rsid w:val="2C3D6A1A"/>
    <w:rsid w:val="2C6732F6"/>
    <w:rsid w:val="2C9362F8"/>
    <w:rsid w:val="2E513812"/>
    <w:rsid w:val="2E6E151F"/>
    <w:rsid w:val="2EEE547C"/>
    <w:rsid w:val="32C1350D"/>
    <w:rsid w:val="352C5D76"/>
    <w:rsid w:val="35691E7B"/>
    <w:rsid w:val="36771529"/>
    <w:rsid w:val="37E5630E"/>
    <w:rsid w:val="39CB515A"/>
    <w:rsid w:val="3B460751"/>
    <w:rsid w:val="3CEA5A45"/>
    <w:rsid w:val="3DACE70F"/>
    <w:rsid w:val="3F5C43D8"/>
    <w:rsid w:val="3F5D4E72"/>
    <w:rsid w:val="40200357"/>
    <w:rsid w:val="42FD2973"/>
    <w:rsid w:val="44371BBD"/>
    <w:rsid w:val="44924A42"/>
    <w:rsid w:val="46E318F3"/>
    <w:rsid w:val="48E042B9"/>
    <w:rsid w:val="49FF5D33"/>
    <w:rsid w:val="4B191327"/>
    <w:rsid w:val="4C52317F"/>
    <w:rsid w:val="4C6E1878"/>
    <w:rsid w:val="4EB45E87"/>
    <w:rsid w:val="4F345ED2"/>
    <w:rsid w:val="4F8C6163"/>
    <w:rsid w:val="50491E17"/>
    <w:rsid w:val="510375BC"/>
    <w:rsid w:val="52706CA5"/>
    <w:rsid w:val="52CF3377"/>
    <w:rsid w:val="530C2955"/>
    <w:rsid w:val="53D628EC"/>
    <w:rsid w:val="53D8739D"/>
    <w:rsid w:val="56AD5F67"/>
    <w:rsid w:val="570A3D11"/>
    <w:rsid w:val="57C823C5"/>
    <w:rsid w:val="58500020"/>
    <w:rsid w:val="5A3E1D60"/>
    <w:rsid w:val="5AEF953B"/>
    <w:rsid w:val="5B025823"/>
    <w:rsid w:val="5B2949B5"/>
    <w:rsid w:val="5C1B3BA5"/>
    <w:rsid w:val="5D977DA1"/>
    <w:rsid w:val="5E0A577D"/>
    <w:rsid w:val="5F1D4F71"/>
    <w:rsid w:val="5FB93B00"/>
    <w:rsid w:val="605C4EB2"/>
    <w:rsid w:val="60B91909"/>
    <w:rsid w:val="61F46E55"/>
    <w:rsid w:val="629F123B"/>
    <w:rsid w:val="635D341B"/>
    <w:rsid w:val="64D6331D"/>
    <w:rsid w:val="65F47619"/>
    <w:rsid w:val="68B8584F"/>
    <w:rsid w:val="690F29B3"/>
    <w:rsid w:val="6B4F5D3F"/>
    <w:rsid w:val="6B78CAA6"/>
    <w:rsid w:val="6C1A7F04"/>
    <w:rsid w:val="6CC7CA5E"/>
    <w:rsid w:val="6D13030B"/>
    <w:rsid w:val="6D897868"/>
    <w:rsid w:val="6E223845"/>
    <w:rsid w:val="6F120983"/>
    <w:rsid w:val="71A1198F"/>
    <w:rsid w:val="7337187B"/>
    <w:rsid w:val="748E5B4B"/>
    <w:rsid w:val="755F26FD"/>
    <w:rsid w:val="7565053D"/>
    <w:rsid w:val="75DE53D0"/>
    <w:rsid w:val="760F4A49"/>
    <w:rsid w:val="77A23069"/>
    <w:rsid w:val="77C625CC"/>
    <w:rsid w:val="78116101"/>
    <w:rsid w:val="783C5A25"/>
    <w:rsid w:val="78CA1E86"/>
    <w:rsid w:val="7A5C1115"/>
    <w:rsid w:val="7AAA0099"/>
    <w:rsid w:val="7C5B1920"/>
    <w:rsid w:val="7CCF78AB"/>
    <w:rsid w:val="7EE329D1"/>
    <w:rsid w:val="7EF7AD71"/>
    <w:rsid w:val="7EFB37E8"/>
    <w:rsid w:val="7EFFEB6C"/>
    <w:rsid w:val="7F3F1C43"/>
    <w:rsid w:val="7F6DBABD"/>
    <w:rsid w:val="7FAB7934"/>
    <w:rsid w:val="A77599A5"/>
    <w:rsid w:val="AEBFECAE"/>
    <w:rsid w:val="AEC68DC3"/>
    <w:rsid w:val="BAF6B22E"/>
    <w:rsid w:val="BEF50C82"/>
    <w:rsid w:val="DEFF251C"/>
    <w:rsid w:val="E772C8D2"/>
    <w:rsid w:val="EF7E6EED"/>
    <w:rsid w:val="EF9B0FD5"/>
    <w:rsid w:val="EF9BE59A"/>
    <w:rsid w:val="F76D272E"/>
    <w:rsid w:val="F7EFAED9"/>
    <w:rsid w:val="F7EFDF63"/>
    <w:rsid w:val="F9E13424"/>
    <w:rsid w:val="FDE712AA"/>
    <w:rsid w:val="FEFF40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napToGrid w:val="0"/>
      <w:spacing w:line="600" w:lineRule="exact"/>
      <w:ind w:firstLine="1044" w:firstLineChars="200"/>
      <w:jc w:val="both"/>
    </w:pPr>
    <w:rPr>
      <w:rFonts w:ascii="仿宋_GB2312" w:hAnsi="仿宋_GB2312" w:eastAsia="仿宋_GB2312" w:cs="Times New Roman"/>
      <w:kern w:val="2"/>
      <w:sz w:val="32"/>
      <w:szCs w:val="24"/>
      <w:lang w:val="en-US" w:eastAsia="zh-CN" w:bidi="ar-SA"/>
    </w:rPr>
  </w:style>
  <w:style w:type="paragraph" w:styleId="3">
    <w:name w:val="heading 1"/>
    <w:basedOn w:val="1"/>
    <w:next w:val="1"/>
    <w:link w:val="12"/>
    <w:qFormat/>
    <w:uiPriority w:val="0"/>
    <w:pPr>
      <w:keepNext/>
      <w:keepLines/>
      <w:adjustRightInd w:val="0"/>
      <w:spacing w:beforeAutospacing="0" w:afterAutospacing="0" w:line="700" w:lineRule="exact"/>
      <w:ind w:firstLine="0" w:firstLineChars="0"/>
      <w:jc w:val="center"/>
      <w:outlineLvl w:val="0"/>
    </w:pPr>
    <w:rPr>
      <w:rFonts w:ascii="方正小标宋简体" w:hAnsi="方正小标宋简体" w:eastAsia="方正小标宋_GBK" w:cs="宋体"/>
      <w:bCs/>
      <w:kern w:val="44"/>
      <w:sz w:val="44"/>
      <w:szCs w:val="44"/>
    </w:rPr>
  </w:style>
  <w:style w:type="paragraph" w:styleId="4">
    <w:name w:val="heading 2"/>
    <w:basedOn w:val="1"/>
    <w:next w:val="1"/>
    <w:unhideWhenUsed/>
    <w:qFormat/>
    <w:uiPriority w:val="0"/>
    <w:pPr>
      <w:keepNext/>
      <w:keepLines/>
      <w:snapToGrid w:val="0"/>
      <w:spacing w:beforeLines="0" w:beforeAutospacing="0" w:afterLines="0" w:afterAutospacing="0" w:line="600" w:lineRule="exact"/>
      <w:ind w:firstLine="880" w:firstLineChars="200"/>
      <w:outlineLvl w:val="1"/>
    </w:pPr>
    <w:rPr>
      <w:rFonts w:ascii="黑体" w:hAnsi="黑体" w:eastAsia="黑体"/>
    </w:rPr>
  </w:style>
  <w:style w:type="paragraph" w:styleId="5">
    <w:name w:val="heading 3"/>
    <w:basedOn w:val="1"/>
    <w:next w:val="1"/>
    <w:semiHidden/>
    <w:unhideWhenUsed/>
    <w:qFormat/>
    <w:uiPriority w:val="0"/>
    <w:pPr>
      <w:keepNext/>
      <w:keepLines/>
      <w:snapToGrid w:val="0"/>
      <w:spacing w:beforeLines="0" w:beforeAutospacing="0" w:afterLines="0" w:afterAutospacing="0" w:line="600" w:lineRule="exact"/>
      <w:outlineLvl w:val="2"/>
    </w:pPr>
    <w:rPr>
      <w:rFonts w:ascii="楷体_GB2312" w:hAnsi="楷体_GB2312" w:eastAsia="楷体_GB2312"/>
      <w:b/>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afterAutospacing="0"/>
    </w:pPr>
  </w:style>
  <w:style w:type="paragraph" w:styleId="6">
    <w:name w:val="Plain Text"/>
    <w:basedOn w:val="1"/>
    <w:unhideWhenUsed/>
    <w:qFormat/>
    <w:uiPriority w:val="99"/>
    <w:rPr>
      <w:rFonts w:ascii="宋体" w:hAnsi="Courier New" w:cs="Courier New"/>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12">
    <w:name w:val="标题 1 Char"/>
    <w:link w:val="3"/>
    <w:semiHidden/>
    <w:qFormat/>
    <w:uiPriority w:val="0"/>
    <w:rPr>
      <w:rFonts w:ascii="方正小标宋简体" w:hAnsi="方正小标宋简体" w:eastAsia="方正小标宋_GBK" w:cs="宋体"/>
      <w:bCs/>
      <w:kern w:val="44"/>
      <w:sz w:val="44"/>
      <w:szCs w:val="44"/>
    </w:rPr>
  </w:style>
  <w:style w:type="paragraph" w:customStyle="1" w:styleId="13">
    <w:name w:val="Normal (Web)"/>
    <w:basedOn w:val="1"/>
    <w:qFormat/>
    <w:uiPriority w:val="0"/>
    <w:pPr>
      <w:spacing w:before="0" w:beforeAutospacing="1" w:after="0" w:afterAutospacing="1"/>
      <w:ind w:left="0" w:right="0"/>
      <w:jc w:val="left"/>
    </w:pPr>
    <w:rPr>
      <w:kern w:val="0"/>
      <w:sz w:val="24"/>
      <w:lang w:val="en-US" w:eastAsia="zh-CN"/>
    </w:rPr>
  </w:style>
  <w:style w:type="character" w:customStyle="1" w:styleId="14">
    <w:name w:val="content1"/>
    <w:basedOn w:val="11"/>
    <w:qFormat/>
    <w:uiPriority w:val="0"/>
    <w:rPr>
      <w:sz w:val="21"/>
      <w:szCs w:val="21"/>
    </w:rPr>
  </w:style>
  <w:style w:type="paragraph" w:customStyle="1" w:styleId="15">
    <w:name w:val="正文文本 21"/>
    <w:basedOn w:val="1"/>
    <w:qFormat/>
    <w:uiPriority w:val="0"/>
    <w:pPr>
      <w:spacing w:line="480" w:lineRule="auto"/>
    </w:pPr>
    <w:rPr>
      <w:rFonts w:ascii="Times New Roman" w:hAnsi="Times New Roma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microsoft.com/office/2006/relationships/keyMapCustomizations" Target="customizations.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38273</Words>
  <Characters>38590</Characters>
  <Lines>0</Lines>
  <Paragraphs>0</Paragraphs>
  <TotalTime>1</TotalTime>
  <ScaleCrop>false</ScaleCrop>
  <LinksUpToDate>false</LinksUpToDate>
  <CharactersWithSpaces>38661</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2022-04-25T01:02:00Z</dcterms:created>
  <dc:creator>Administrator</dc:creator>
  <cp:lastModifiedBy>Administrator</cp:lastModifiedBy>
  <cp:lastPrinted>2025-12-17T09:50:00Z</cp:lastPrinted>
  <dcterms:modified xsi:type="dcterms:W3CDTF">2025-12-18T03:15:38Z</dcterms:modified>
  <dc:title>附件1</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74D4FB4091504F479DC7D1B5C2AEA510_13</vt:lpwstr>
  </property>
  <property fmtid="{D5CDD505-2E9C-101B-9397-08002B2CF9AE}" pid="4" name="KSOTemplateDocerSaveRecord">
    <vt:lpwstr>eyJoZGlkIjoiNTA3NTU3MzQwYTQyYzk4N2E4OTQ3MzM0MjgxYjc5NjIiLCJ1c2VySWQiOiIxMTIyNTg1NTA5In0=</vt:lpwstr>
  </property>
</Properties>
</file>