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方正小标宋简体" w:hAnsi="黑体" w:eastAsia="方正小标宋简体" w:cs="黑体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黑体" w:eastAsia="方正小标宋简体" w:cs="黑体"/>
          <w:sz w:val="44"/>
          <w:szCs w:val="44"/>
        </w:rPr>
        <w:t>第WL37-B1街坊等11个区域控制</w:t>
      </w:r>
      <w:r>
        <w:rPr>
          <w:rFonts w:hint="eastAsia" w:ascii="方正小标宋简体" w:hAnsi="黑体" w:eastAsia="方正小标宋简体" w:cs="黑体"/>
          <w:color w:val="000000"/>
          <w:sz w:val="44"/>
          <w:szCs w:val="44"/>
        </w:rPr>
        <w:t>性详细规划主要控制指标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2051"/>
        <w:gridCol w:w="2626"/>
        <w:gridCol w:w="68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tblHeader/>
          <w:jc w:val="center"/>
        </w:trPr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hint="eastAsia" w:ascii="黑体" w:hAnsi="黑体" w:eastAsia="黑体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8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ascii="黑体" w:hAnsi="黑体" w:eastAsia="黑体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bCs/>
                <w:color w:val="000000"/>
                <w:sz w:val="24"/>
                <w:szCs w:val="24"/>
              </w:rPr>
              <w:t>规划名称</w:t>
            </w:r>
          </w:p>
        </w:tc>
        <w:tc>
          <w:tcPr>
            <w:tcW w:w="10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ascii="黑体" w:hAnsi="黑体" w:eastAsia="黑体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bCs/>
                <w:color w:val="000000"/>
                <w:sz w:val="24"/>
                <w:szCs w:val="24"/>
              </w:rPr>
              <w:t>规划基本情况</w:t>
            </w:r>
          </w:p>
        </w:tc>
        <w:tc>
          <w:tcPr>
            <w:tcW w:w="28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ascii="黑体" w:hAnsi="黑体" w:eastAsia="黑体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bCs/>
                <w:color w:val="000000"/>
                <w:sz w:val="24"/>
                <w:szCs w:val="24"/>
              </w:rPr>
              <w:t>主要控制指标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9" w:hRule="atLeast"/>
          <w:jc w:val="center"/>
        </w:trPr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hint="eastAsia" w:ascii="仿宋_GB2312" w:hAnsi="黑体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after="0"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卧龙区龙安路以东、京宛大道以南区域（第WL37-B1街坊）控制性详细规划</w:t>
            </w:r>
          </w:p>
        </w:tc>
        <w:tc>
          <w:tcPr>
            <w:tcW w:w="10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after="0"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该规划位于龙安路以东、京宛大道以南、龙发路以西、通捷路以北区域，规划总用地面积约1307.277亩（用地面积以实测为准）。</w:t>
            </w:r>
          </w:p>
        </w:tc>
        <w:tc>
          <w:tcPr>
            <w:tcW w:w="28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after="0" w:line="36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二类工业用地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约908.099亩，容积率不小于1.2，建筑系数不小于40%，建筑限高60米，绿地率不小于12%且不大于20%。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约128.795亩，容积率不大于0.1，建筑密度不大于5%，建筑限高12米，绿地率不小于65%。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防护绿地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约48.923亩，容积率不大于0.05，建筑密度不大于1%，建筑限高12米，绿地率不小于85%。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铁路用地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约20.060亩。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河流水面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约39.546亩。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约161.854亩。各类用地面积以实测为准。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3" w:hRule="atLeast"/>
          <w:jc w:val="center"/>
        </w:trPr>
        <w:tc>
          <w:tcPr>
            <w:tcW w:w="250" w:type="pct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hint="eastAsia" w:ascii="仿宋_GB2312" w:hAnsi="黑体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42" w:type="pct"/>
            <w:vAlign w:val="center"/>
          </w:tcPr>
          <w:p>
            <w:pPr>
              <w:pStyle w:val="2"/>
              <w:spacing w:after="0"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卧龙区龙升大道以西、通达路以北区域（第WL39-B4街坊）控制性详细规划</w:t>
            </w:r>
          </w:p>
        </w:tc>
        <w:tc>
          <w:tcPr>
            <w:tcW w:w="1078" w:type="pct"/>
            <w:vAlign w:val="center"/>
          </w:tcPr>
          <w:p>
            <w:pPr>
              <w:pStyle w:val="2"/>
              <w:spacing w:after="0"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该规划位于龙发路以东、综保路以南、龙升大道以西、通达路以北区域，规划总用地面积约381.559亩（用地面积以实测为准）。</w:t>
            </w:r>
          </w:p>
        </w:tc>
        <w:tc>
          <w:tcPr>
            <w:tcW w:w="2829" w:type="pct"/>
            <w:vAlign w:val="center"/>
          </w:tcPr>
          <w:p>
            <w:pPr>
              <w:pStyle w:val="2"/>
              <w:spacing w:after="0" w:line="36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二类物流仓储用地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约242.365亩，其中WL39-B4-1、WL39-B4-3、WL39-B4-5、WL39-B4-6地块容积率不小于1.0，建筑系数不小于40%，建筑限高50米，绿地率不小于12%且不大于20%；WL39-B4-8地块为现状保留。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消防用地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约11.231亩，容积率不大于1.0，建筑密度不大于45%，建筑限高36米，绿地率不小于25%。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防护绿地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约35.086亩，容积率不大于0.05，建筑密度不大于1%，建筑限高12米，绿地率不小于85%。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约92.877亩。各类用地面积以实测为准。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2" w:hRule="atLeast"/>
          <w:jc w:val="center"/>
        </w:trPr>
        <w:tc>
          <w:tcPr>
            <w:tcW w:w="250" w:type="pct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hint="eastAsia" w:ascii="仿宋_GB2312" w:hAnsi="黑体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42" w:type="pct"/>
            <w:vAlign w:val="center"/>
          </w:tcPr>
          <w:p>
            <w:pPr>
              <w:pStyle w:val="2"/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卧龙区龙岗大道以北、车站路以西、初昕大街以南、北京大道以东区域（第WL35-C2街坊）控制性详细规划</w:t>
            </w:r>
          </w:p>
        </w:tc>
        <w:tc>
          <w:tcPr>
            <w:tcW w:w="1078" w:type="pct"/>
            <w:vAlign w:val="center"/>
          </w:tcPr>
          <w:p>
            <w:pPr>
              <w:pStyle w:val="2"/>
              <w:spacing w:after="0"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该规划位于龙岗大道以北、车站路以西、初昕大街以南、北京大道以东区域，规划总用地面积约602.517亩（用地面积以实测为准）。</w:t>
            </w:r>
          </w:p>
        </w:tc>
        <w:tc>
          <w:tcPr>
            <w:tcW w:w="2829" w:type="pct"/>
            <w:vAlign w:val="center"/>
          </w:tcPr>
          <w:p>
            <w:pPr>
              <w:pStyle w:val="2"/>
              <w:spacing w:after="0" w:line="360" w:lineRule="exact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约126.574亩，容积率大于1.0且不大于3.1，建筑密度不大于22%，建筑限高80米，绿地率不小于35%。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中等职业教育用地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约326.968亩，其中WL35-C2-3地块容积率不大于1.2，建筑密度不大于20%，建筑限高80米，绿地率不小于45%；WL35-C2-4、WL35-C2-5、WL35-C2-6地块容积率不大于1.2，建筑密度不大于20%，建筑限高50米，绿地率不小于45%。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约48.847亩，容积</w:t>
            </w:r>
          </w:p>
          <w:p>
            <w:pPr>
              <w:pStyle w:val="2"/>
              <w:spacing w:after="0" w:line="360" w:lineRule="exact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率不大于0.1，建筑密度不大于5%，建筑限高12米，绿地率不小于65%。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约97.557亩。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河流水面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约2.571亩。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各类用地面积以实测为准。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8" w:hRule="atLeast"/>
          <w:jc w:val="center"/>
        </w:trPr>
        <w:tc>
          <w:tcPr>
            <w:tcW w:w="250" w:type="pct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hint="eastAsia" w:ascii="仿宋_GB2312" w:hAnsi="黑体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42" w:type="pct"/>
            <w:vAlign w:val="center"/>
          </w:tcPr>
          <w:p>
            <w:pPr>
              <w:pStyle w:val="2"/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卧龙区京宛大道以南、望山楼大街以北、南都路以西、丽华大街以东区域（第WL03-A3街坊）控制性详细规划</w:t>
            </w:r>
          </w:p>
        </w:tc>
        <w:tc>
          <w:tcPr>
            <w:tcW w:w="1078" w:type="pct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该规划位于京宛大道以南、望山楼大街以北、南都路以西、丽华大街以东区域，规划总用地面积约145.051亩（用地面积以实测为准）。</w:t>
            </w:r>
          </w:p>
        </w:tc>
        <w:tc>
          <w:tcPr>
            <w:tcW w:w="2829" w:type="pct"/>
            <w:vAlign w:val="center"/>
          </w:tcPr>
          <w:p>
            <w:pPr>
              <w:pStyle w:val="2"/>
              <w:spacing w:after="0" w:line="36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95.703亩，其中WL03-A3-2地块33.307亩、WL03-A3-4地块38.266亩，容积率不小于1.0且不大于2.2，建筑密度不大于22%，建筑限高48米，绿地率不小于35%；WL03-A3-3地块24.129亩，按已批已建指标执行（容积率不小于1.0且不大于2.2，建筑密度不大于22%，建筑限高40米，绿地率不小于35%）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约4.191亩，容积率不大于0.1，建筑密度不大于5%，建筑限高12米，绿地率不小于65%。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防护绿地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约10.885亩，容积率不大于0.05，建筑密度不大于1%，建筑限高12米，绿地率不小于85%。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约34.272亩。各类用地面积以实测为准。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8" w:hRule="atLeast"/>
          <w:jc w:val="center"/>
        </w:trPr>
        <w:tc>
          <w:tcPr>
            <w:tcW w:w="250" w:type="pct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hint="eastAsia" w:ascii="仿宋_GB2312" w:hAnsi="黑体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842" w:type="pct"/>
            <w:vAlign w:val="center"/>
          </w:tcPr>
          <w:p>
            <w:pPr>
              <w:pStyle w:val="2"/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卧龙区望山楼大街以南、杜诗路以北、邓禹路以西区域（第WL04-A3街坊）控制性详细规划</w:t>
            </w:r>
          </w:p>
        </w:tc>
        <w:tc>
          <w:tcPr>
            <w:tcW w:w="1078" w:type="pct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该规划位于望山楼大街以南、杜诗路以北、邓禹路以西区域，规划总用地面积约178.048亩（用地面积以实测为准）。</w:t>
            </w:r>
          </w:p>
        </w:tc>
        <w:tc>
          <w:tcPr>
            <w:tcW w:w="2829" w:type="pct"/>
            <w:vAlign w:val="center"/>
          </w:tcPr>
          <w:p>
            <w:pPr>
              <w:pStyle w:val="2"/>
              <w:spacing w:after="0" w:line="36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商业用地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约12.900亩，容积率不小于1.0且不大于1.4，建筑密度不大于45%，建筑限高12米，绿地率不小于25%。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约114.348亩，为现状保留。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约12.226亩，容积率不大于0.1，建筑密度不大于5%，建筑限高12米，绿地率不小于65%。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约38.574亩。各类用地面积以实测为准。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4" w:hRule="atLeast"/>
          <w:jc w:val="center"/>
        </w:trPr>
        <w:tc>
          <w:tcPr>
            <w:tcW w:w="250" w:type="pct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hint="eastAsia" w:ascii="仿宋_GB2312" w:hAnsi="黑体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842" w:type="pct"/>
            <w:vAlign w:val="center"/>
          </w:tcPr>
          <w:p>
            <w:pPr>
              <w:pStyle w:val="2"/>
              <w:spacing w:after="0" w:line="36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宛城区泰山路以东、赵河路以南区域（第WQ21-D3~D5、WQ22-B3街坊）控制性详细规划</w:t>
            </w:r>
          </w:p>
        </w:tc>
        <w:tc>
          <w:tcPr>
            <w:tcW w:w="1078" w:type="pct"/>
            <w:vAlign w:val="center"/>
          </w:tcPr>
          <w:p>
            <w:pPr>
              <w:pStyle w:val="2"/>
              <w:spacing w:after="0"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该规划位于泰山路以东、赵河路以南、城南大道以西、涧河大道南支路以北区域，规划总用地面积约1343.732亩（用地面积以实测为准）。</w:t>
            </w:r>
          </w:p>
        </w:tc>
        <w:tc>
          <w:tcPr>
            <w:tcW w:w="2829" w:type="pct"/>
            <w:vAlign w:val="center"/>
          </w:tcPr>
          <w:p>
            <w:pPr>
              <w:pStyle w:val="2"/>
              <w:spacing w:after="0" w:line="36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二类工业用地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847.514亩，其中WQ21-D3-1、WQ21-D4-1、WQ21-D4-3、WQ21-D5-1、WQ21-D5-2、WQ22-B3-2、WQ22-B3-5地块容积率不小于1.2，建筑系数不小于40%，建筑限高50米，绿地率不小于12%且不大于20%；WQ21-D3-3地块容积率不小于1.5，建筑系数不小于40%，建筑限高50米，绿地率不小于12%且不大于20%；WQ21-D4-2地块为现状保留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老年人社会福利用地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约108.525亩，容积率不大于2.5，建筑密度不大于22%，建筑限高60米，绿地率不小于40%。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消防用地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约10.543亩，容积率不大于1.0，建筑密度不大于45%，建筑限高36米，绿地率不小于25%。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防护绿地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约123.224亩，容积率不大于0.05，建筑密度不大于1%，建筑限高12米，绿地率不小于85%。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约253.926亩。各类用地面积以实测为准。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3" w:hRule="atLeast"/>
          <w:jc w:val="center"/>
        </w:trPr>
        <w:tc>
          <w:tcPr>
            <w:tcW w:w="250" w:type="pct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hint="eastAsia" w:ascii="仿宋_GB2312" w:hAnsi="黑体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842" w:type="pct"/>
            <w:vAlign w:val="center"/>
          </w:tcPr>
          <w:p>
            <w:pPr>
              <w:pStyle w:val="2"/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宛城区华山路以东、南环路以北区域（第WQ22-B5、C4、D1、D2街坊）控制性详细规划</w:t>
            </w:r>
          </w:p>
        </w:tc>
        <w:tc>
          <w:tcPr>
            <w:tcW w:w="1078" w:type="pct"/>
            <w:vAlign w:val="center"/>
          </w:tcPr>
          <w:p>
            <w:pPr>
              <w:pStyle w:val="2"/>
              <w:spacing w:after="0"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该规划位于华山路以东、南环路以北区域，规划总用地面积约3133.261亩（用地面积以实测为准）。</w:t>
            </w:r>
          </w:p>
        </w:tc>
        <w:tc>
          <w:tcPr>
            <w:tcW w:w="2829" w:type="pct"/>
            <w:vAlign w:val="center"/>
          </w:tcPr>
          <w:p>
            <w:pPr>
              <w:pStyle w:val="2"/>
              <w:spacing w:after="0" w:line="320" w:lineRule="exact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面积约88.697亩，容积率大于1.0且不大于2.5，建筑密度不大于22%，建筑限高54米，绿地率不小于35%，配套设施为党建用房、物业用房、养老设施、幼儿园、公共厕所、垃圾收集点等。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二类工业用地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总面积约1773.391亩，其中WQ22-B5-19地块容积率不小于1.0，建筑系数不小于40%，建筑限高50米，绿地率不小于12%且不大于20%，配套设施为公共厕所、垃圾收集点等；WQ22-B5-4、WQ22-B5-6、WQ22-B5-21、WQ22-B5-23、WQ22-B5-24、WQ22-C4-7、WQ22-C4-8、WQ22-C4-13、WQ22-C4-17、WQ22-C4-21、WQ22-D1-2、WQ22-D1-7、WQ22-D1-10、WQ22-D2-2、WQ22-D2-3、WQ22-D2-7地块容积率不小于1.2，建筑系数不小于40%，建筑限高50米，绿地率不小于12%且不大于20%，配套设施为公共厕所、垃圾收集点等；已批用地按规划条件执行。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公用设施营业网点用地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总面积约16.524亩，容积率不小于0.1且不大于0.3，建筑密度不大于35%，建筑限高15米，绿地率不小于20%，配套设施为公共厕所、垃圾收集点等。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消防用地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面积约13.026亩，容积率不大于1.0，建筑密度不大于45%，建筑限高36米，绿地率不小于25%。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供电用地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面积约5.364亩，容积率不大于0.5，建筑密度不大于45%，建筑限高15米，绿地率不小于25%。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社会停车场用地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面积约5.181亩，容积率不大于0.5，建筑密度不大于10%，建筑限高12米，绿地率不小于20%，配套设施为公共厕所、垃圾收集点等。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总面积约377.418亩，容积率不大于0.1，建筑密度不大于5%，建筑限高12米，绿地率不小于65%。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防护绿地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总面积约99.184亩，容积率不大于0.05，建筑密度不大于1%，建筑限高12米，绿地率不小于85%。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面积约529.776亩。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河流水面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面积约203.322亩。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沟渠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面积约21.378亩。各类用地面积以实测为准。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2" w:hRule="atLeast"/>
          <w:jc w:val="center"/>
        </w:trPr>
        <w:tc>
          <w:tcPr>
            <w:tcW w:w="250" w:type="pct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hint="eastAsia" w:ascii="仿宋_GB2312" w:hAnsi="黑体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842" w:type="pct"/>
            <w:vAlign w:val="center"/>
          </w:tcPr>
          <w:p>
            <w:pPr>
              <w:pStyle w:val="2"/>
              <w:spacing w:after="0"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示范区黄河北路以东、京宛大道以北区域（第SF07-D2、SF07-F1街坊）控制性详细规划</w:t>
            </w:r>
          </w:p>
        </w:tc>
        <w:tc>
          <w:tcPr>
            <w:tcW w:w="1078" w:type="pct"/>
            <w:vAlign w:val="center"/>
          </w:tcPr>
          <w:p>
            <w:pPr>
              <w:pStyle w:val="2"/>
              <w:spacing w:after="0"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该规划位于黄河北路以东、渭水街以南、东环路以西、京宛大道以北区域，规划总用地面积约896.281亩（用地面积以实测为准）。</w:t>
            </w:r>
          </w:p>
        </w:tc>
        <w:tc>
          <w:tcPr>
            <w:tcW w:w="2829" w:type="pct"/>
            <w:vAlign w:val="center"/>
          </w:tcPr>
          <w:p>
            <w:pPr>
              <w:pStyle w:val="2"/>
              <w:spacing w:after="0" w:line="32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279.606亩，其中SF07-D2-2、SF07-D2-6地块容积率大于1.0且不大于2.5，建筑密度不大于22%，建筑限高80米，绿地率不小于35%；SF07-F1-6地块容积率大于1.0且不大于2.8，建筑密度不大于22%，建筑限高80米，绿地率不小于35%；SF07-F1-7地块容积率大于1.0且不大于1.8，建筑密度不大于30%，建筑限高36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二类城镇住宅用地、商业用地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约35.163亩，容积率大于1.0且不大于3.0，建筑密度不大于28%，建筑限高80米，绿地率不小于35%，地上商业建筑面积占地上总建筑面积比例不大于11%。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留白用地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约40.768亩。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交通场站用地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约8.954亩，容积率不大于0.5，建筑密度不大于10%，建筑限高24米，绿地率不小于20%。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约268.386亩，容积率不大于0.1，建筑密度不大于5%，建筑限高12米，绿地率不小于65%；SF07-F1-3、SF07-F1-11、SF07-F1-12、SF07-F1-13总面积约154.888亩，为现状保留地块。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河流水面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约91.206亩。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约172.198亩。各类用地面积以实测为准。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  <w:jc w:val="center"/>
        </w:trPr>
        <w:tc>
          <w:tcPr>
            <w:tcW w:w="250" w:type="pct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hint="eastAsia" w:ascii="仿宋_GB2312" w:hAnsi="黑体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842" w:type="pct"/>
            <w:vAlign w:val="center"/>
          </w:tcPr>
          <w:p>
            <w:pPr>
              <w:pStyle w:val="2"/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示范区魏营路以东、规划路以南、羊山路以西、区间路以北区域（第SF28-L4街坊）控制性详细规划</w:t>
            </w:r>
          </w:p>
        </w:tc>
        <w:tc>
          <w:tcPr>
            <w:tcW w:w="1078" w:type="pct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该规划位于魏营路以东、规划路以南、羊山路以西、区间路以北区域，规划总用地面积约95.171亩（用地面积以实测为准）。</w:t>
            </w:r>
          </w:p>
        </w:tc>
        <w:tc>
          <w:tcPr>
            <w:tcW w:w="2829" w:type="pct"/>
            <w:vAlign w:val="center"/>
          </w:tcPr>
          <w:p>
            <w:pPr>
              <w:pStyle w:val="2"/>
              <w:spacing w:after="0" w:line="32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约74.841亩，其中SF28-L4-01地块22.788亩，容积率不小于1.0且不大于2.5，建筑密度不大于25%，建筑限高45米，绿地率不小于35%；SF28-L4-02地块52.053亩，容积率不小于1.0且不大于2.5，建筑密度不大于22%，建筑限高45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约1.994亩，容积率不大于0.1，建筑密度不大于5%，建筑限高12米，绿地率不小于65%。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约18.336亩。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各类用地面积以实测为准。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250" w:type="pct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hint="eastAsia" w:ascii="仿宋_GB2312" w:hAnsi="黑体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842" w:type="pct"/>
            <w:vAlign w:val="center"/>
          </w:tcPr>
          <w:p>
            <w:pPr>
              <w:pStyle w:val="2"/>
              <w:spacing w:after="0"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南阳市北京大道以西、麒麟路以南区域控制性详细规划</w:t>
            </w:r>
          </w:p>
        </w:tc>
        <w:tc>
          <w:tcPr>
            <w:tcW w:w="1078" w:type="pct"/>
            <w:vAlign w:val="center"/>
          </w:tcPr>
          <w:p>
            <w:pPr>
              <w:pStyle w:val="2"/>
              <w:spacing w:after="0"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该规划位于博望路以东、麒麟路以南、北京大道以西、子明大街以北区域，规划总用地面积约280.104亩（用地面积以实测为准）。</w:t>
            </w:r>
          </w:p>
        </w:tc>
        <w:tc>
          <w:tcPr>
            <w:tcW w:w="2829" w:type="pct"/>
            <w:vAlign w:val="center"/>
          </w:tcPr>
          <w:p>
            <w:pPr>
              <w:pStyle w:val="2"/>
              <w:spacing w:after="0" w:line="320" w:lineRule="exact"/>
              <w:rPr>
                <w:rFonts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约98.402亩，容积率大于1.0且不大于2.5，建筑密度不大于22%，建筑限高54米，绿地率不小于35%。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商业用地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约4.452亩，容积率不小于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1.0且不大于2.5，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建筑密度不大于50%，建筑限高54米，绿地率不小于25%。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消防用地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约23.635亩，容积率不大于0.8，建筑密度不大于45%，建筑限高24米，绿地率不小于20%。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公共交通场站用地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约40.738亩，容积率不大于0.5，建筑密度不大于10%，建筑限高24米，绿地率不小于20%。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约37.108亩，容积率不大于0.1，建筑密度不大于5%，建筑限高12米，绿地率不小于65%。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约75.768亩。各类用地面积以实测为准。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0" w:hRule="atLeast"/>
          <w:jc w:val="center"/>
        </w:trPr>
        <w:tc>
          <w:tcPr>
            <w:tcW w:w="250" w:type="pct"/>
            <w:vAlign w:val="center"/>
          </w:tcPr>
          <w:p>
            <w:pPr>
              <w:pStyle w:val="2"/>
              <w:spacing w:after="0" w:line="360" w:lineRule="exact"/>
              <w:jc w:val="center"/>
              <w:rPr>
                <w:rFonts w:hint="eastAsia" w:ascii="仿宋_GB2312" w:hAnsi="黑体" w:eastAsia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 w:cs="仿宋_GB2312"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842" w:type="pct"/>
            <w:vAlign w:val="center"/>
          </w:tcPr>
          <w:p>
            <w:pPr>
              <w:pStyle w:val="2"/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官庄工区五一路以南、黄山路以西、大庆路以北、泰山路以东区域（第GZ09-A2街坊）控制性详细规划</w:t>
            </w:r>
          </w:p>
        </w:tc>
        <w:tc>
          <w:tcPr>
            <w:tcW w:w="1078" w:type="pct"/>
            <w:vAlign w:val="center"/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该规划位于五一路以南、黄山路以西、大庆路以北、泰山路以东区域，规划总用地面积约480.385亩（用地面积以实测为准）。</w:t>
            </w:r>
          </w:p>
        </w:tc>
        <w:tc>
          <w:tcPr>
            <w:tcW w:w="2829" w:type="pct"/>
            <w:vAlign w:val="center"/>
          </w:tcPr>
          <w:p>
            <w:pPr>
              <w:pStyle w:val="2"/>
              <w:spacing w:after="0" w:line="360" w:lineRule="exact"/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约314.838亩，其中GZ09-A2-6地块面积约29.595亩，容积率大于1.0且不大于1.6，建筑密度不大于32%，建筑限高27米，绿地率不小于35%；GZ09-A2-4、GZ09-A2-5地块为现状保留。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文化用地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约10.286亩，容积率不大于1.5，建筑密度不大于40%，建筑限高24米，绿地率不小于35%。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体育用地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约11.428亩，容积率不大于1.5，建筑密度不大于40%，建筑限高24米，绿地率不小于40%。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供水用地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约58.707亩，容积率不大于1.0，建筑密度不大于45%，建筑限高24米，绿地率不小于35%。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机关团体用地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约9.160亩，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商业用地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约11.449亩，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其他商业服务业用地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约7.781亩，均为现状保留。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约56.736亩。各类用地面积以实测为准。</w:t>
            </w:r>
          </w:p>
        </w:tc>
      </w:tr>
    </w:tbl>
    <w:p/>
    <w:sectPr>
      <w:pgSz w:w="16838" w:h="11906" w:orient="landscape"/>
      <w:pgMar w:top="1361" w:right="2438" w:bottom="1361" w:left="243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BDFD989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770</Words>
  <Characters>4392</Characters>
  <Lines>36</Lines>
  <Paragraphs>10</Paragraphs>
  <TotalTime>7</TotalTime>
  <ScaleCrop>false</ScaleCrop>
  <LinksUpToDate>false</LinksUpToDate>
  <CharactersWithSpaces>5152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2017-05-12T12:47:00Z</dcterms:created>
  <dc:creator>系统管理员</dc:creator>
  <cp:lastModifiedBy>kylin</cp:lastModifiedBy>
  <cp:lastPrinted>2025-11-13T15:31:00Z</cp:lastPrinted>
  <dcterms:modified xsi:type="dcterms:W3CDTF">2025-11-28T08:34:25Z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</Properties>
</file>