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1924D9">
      <w:pPr>
        <w:spacing w:after="120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</w:p>
    <w:p w14:paraId="390C065D">
      <w:pPr>
        <w:pStyle w:val="2"/>
        <w:jc w:val="center"/>
        <w:rPr>
          <w:rFonts w:hint="eastAsia" w:ascii="黑体" w:hAnsi="黑体" w:eastAsia="黑体" w:cs="黑体"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第WQ18-B1街坊等7个区域控制</w:t>
      </w:r>
      <w:r>
        <w:rPr>
          <w:rFonts w:hint="eastAsia" w:ascii="黑体" w:hAnsi="黑体" w:eastAsia="黑体" w:cs="黑体"/>
          <w:color w:val="000000"/>
          <w:sz w:val="36"/>
          <w:szCs w:val="36"/>
        </w:rPr>
        <w:t>性详细规划主要控制指标</w:t>
      </w:r>
    </w:p>
    <w:tbl>
      <w:tblPr>
        <w:tblStyle w:val="4"/>
        <w:tblW w:w="153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2466"/>
        <w:gridCol w:w="3274"/>
        <w:gridCol w:w="8857"/>
      </w:tblGrid>
      <w:tr w14:paraId="3E6AD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F53E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95251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规划名称</w:t>
            </w:r>
          </w:p>
        </w:tc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3002F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规划基本情况</w:t>
            </w:r>
          </w:p>
        </w:tc>
        <w:tc>
          <w:tcPr>
            <w:tcW w:w="8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D0FA2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主要控制指标</w:t>
            </w:r>
          </w:p>
        </w:tc>
      </w:tr>
      <w:tr w14:paraId="48F21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0" w:hRule="atLeast"/>
          <w:jc w:val="center"/>
        </w:trPr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C5DF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6691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宛城区白河大道以东、润汐大街以北区域（第WQ18-B1街坊）控制性详细规划</w:t>
            </w:r>
          </w:p>
        </w:tc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F7C21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该规划位于白河大道以东、黄河路以南、长江路以西、润汐大街以北区域，规划总用地面积约428.394亩（用地面积以实测为准）。</w:t>
            </w:r>
          </w:p>
        </w:tc>
        <w:tc>
          <w:tcPr>
            <w:tcW w:w="8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7CEF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二类城镇住宅用地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约185.436亩，其中WQ18-B1-2地块容积率大于1.0且不大于2.5，建筑密度不大于22%，建筑限高80米，绿地率不小于35%；WQ18-B1-1地块为现状保留。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中小学用地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约53.100亩，容积率不大于1.0，建筑密度不大于25%，建筑限高24米，绿地率不小于35%。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商业用地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约23.653亩，容积率不小于1.0且不大于2.0，建筑密度不大于50%，建筑限高24米，绿地率不小于25%。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科研用地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约23.978亩，容积率不大于2.5，建筑密度不大于30%，建筑限高80米，绿地率不小于35%。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约58.926亩，容积率不大于0.1，建筑密度不大于5%，建筑限高12米，绿地率不小于65%。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约83.301亩。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各类用地面积以实测为准。</w:t>
            </w:r>
          </w:p>
        </w:tc>
      </w:tr>
      <w:tr w14:paraId="26704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  <w:jc w:val="center"/>
        </w:trPr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33889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06DF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宛城区珠江路以东、潘河路以北区域（第WQ18-C4街坊）控制性详细规划</w:t>
            </w:r>
          </w:p>
        </w:tc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33F20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该规划位于珠江路以东、润汐大街以南、云露山大街以西、潘河路以北区域，规划总用地面积约107.254亩（用地面积以实测为准）。</w:t>
            </w:r>
          </w:p>
        </w:tc>
        <w:tc>
          <w:tcPr>
            <w:tcW w:w="8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F597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二类城镇住宅用地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约72.886亩，容积率大于1.0且不大于2.5，建筑密度不大于22%，建筑限高80米，绿地率不小于35%。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面积约8.613亩，容积率不大于0.1，建筑密度不大于5%，建筑限高12米，绿地率不小于65%。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约25.755亩。各类用地面积以实测为准。</w:t>
            </w:r>
          </w:p>
        </w:tc>
      </w:tr>
      <w:tr w14:paraId="564D2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2" w:hRule="atLeast"/>
          <w:jc w:val="center"/>
        </w:trPr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AB1D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CA326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宛城区赵河路以南、燕山路以西区域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第GX08-C2街坊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控制性详细规划</w:t>
            </w:r>
          </w:p>
        </w:tc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32D1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该规划位于赵河路以南、燕山路以西区域，规划总用地面积约85.377亩（用地面积以实测为准）。</w:t>
            </w:r>
          </w:p>
        </w:tc>
        <w:tc>
          <w:tcPr>
            <w:tcW w:w="8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2EE6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二类城镇住宅用地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约59.969亩，其中GX08-C2-01地块30.000亩、GX08-C2-02地块29.969亩，容积率大于1.0且不大于2.2，建筑密度不大于22%，建筑限高54米，绿地率不小于35%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约4.422亩，容积率不大于0.1，建筑密度不大于5%，建筑限高12米，绿地率不小于65%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约20.986亩。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各类用地面积以实测为准。</w:t>
            </w:r>
          </w:p>
        </w:tc>
      </w:tr>
      <w:tr w14:paraId="55007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2" w:hRule="atLeast"/>
          <w:jc w:val="center"/>
        </w:trPr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47289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70A5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宛城区丹江路以南、嵩山路以西区域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第W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Q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22-A8街坊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控制性详细规划</w:t>
            </w:r>
          </w:p>
        </w:tc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72BC4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该规划位于丹江路以南、嵩山路以西区域，规划总用地面积约234.212亩（用地面积以实测为准）。</w:t>
            </w:r>
          </w:p>
        </w:tc>
        <w:tc>
          <w:tcPr>
            <w:tcW w:w="8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1CFD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二类工业用地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约164.719亩，其中WQ22-A8-01地块75.462亩，容积率不小于1.2，建筑系数不小于40%，建筑限高50米，绿地率不小于12%且不大于20%；WQ22-A8-02地块89.257亩，为现状保留地块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防护绿地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约24.413亩，容积率不大于0.05，建筑密度不大于1%，建筑限高12米，绿地率不小于85%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约45.080亩。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各类用地面积以实测为准。</w:t>
            </w:r>
          </w:p>
        </w:tc>
      </w:tr>
      <w:tr w14:paraId="32440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2" w:hRule="atLeast"/>
          <w:jc w:val="center"/>
        </w:trPr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E26E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7D5C9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示范区长江中路以北、嵩山路西支路以西区域（第SF27-B9街坊）控制性详细规划</w:t>
            </w:r>
          </w:p>
        </w:tc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A13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该规划位于滔河路东支路以东、兴隆路以南、嵩山路西支路以西、长江中路以北区域，规划总用地面积约134.691亩（用地面积以实测为准）。</w:t>
            </w:r>
          </w:p>
        </w:tc>
        <w:tc>
          <w:tcPr>
            <w:tcW w:w="8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BEDA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二类城镇住宅用地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约83.808亩，容积率大于1.0且不大于2.5，建筑密度不大于22%，建筑限高80米，绿地率不小于35%。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商业用地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约27.986亩，容积率不小于1.0且不大于2.0，建筑密度不大于50%，建筑限高60米，绿地率不小于25%。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约22.897亩。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各类用地面积以实测为准。</w:t>
            </w:r>
          </w:p>
        </w:tc>
      </w:tr>
      <w:tr w14:paraId="71510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2" w:hRule="atLeast"/>
          <w:jc w:val="center"/>
        </w:trPr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3D689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603D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示范区白河北路以东、泗洲路以南、老界岭南路以西、裕州路以北区域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第SF20-B1街坊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控制性详细规划</w:t>
            </w:r>
          </w:p>
        </w:tc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AE15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该规划位于白河北路以东、泗洲路以南、老界岭南路以西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裕州路以北区域，规划总用地面积约164.242亩（用地面积以实测为准）。</w:t>
            </w:r>
          </w:p>
        </w:tc>
        <w:tc>
          <w:tcPr>
            <w:tcW w:w="8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22A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二类城镇住宅用地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约108.253亩，其中SF20-B1-01地块32.466亩，容积率大于1.0且不大于2.2，建筑密度不大于22%，建筑限高45米，绿地率不小于40%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SF20-B1-02地块75.787亩，容积率大于1.0且不大于2.2，建筑密度不大于25%，建筑限高43米，绿地率不小于40%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防护绿地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约12.198亩，容积率不大于0.05，建筑密度不大于1%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建筑限高12米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绿地率不小于85%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约43.791亩。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各类用地面积以实测为准。</w:t>
            </w:r>
          </w:p>
        </w:tc>
      </w:tr>
      <w:tr w14:paraId="182B7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2E07C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6DFD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卧龙区石桥镇玉灵二线以北、麦河以东区域控制性详细规划</w:t>
            </w:r>
          </w:p>
        </w:tc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8575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该规划位于卧龙区石桥镇玉灵二线以北、麦河以东，规划总用地面积约19.055亩（用地面积以实测为准）。</w:t>
            </w:r>
          </w:p>
        </w:tc>
        <w:tc>
          <w:tcPr>
            <w:tcW w:w="8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0E598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二类城镇住宅用地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约12.116亩，容积率大于1.0且不大于1.6，建筑密度不大于32%，建筑限高27米，绿地率不小于35%。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约2.559亩，容积率不大于0.1，建筑密度不大于5%，建筑限高12米，绿地率不小于65%。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约4.380亩。各类用地面积以实测为准。</w:t>
            </w:r>
          </w:p>
        </w:tc>
      </w:tr>
    </w:tbl>
    <w:p w14:paraId="5BC551B1">
      <w:pPr>
        <w:keepNext w:val="0"/>
        <w:keepLines w:val="0"/>
        <w:pageBreakBefore w:val="0"/>
        <w:widowControl w:val="0"/>
        <w:tabs>
          <w:tab w:val="left" w:pos="5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0" w:lineRule="exact"/>
        <w:textAlignment w:val="auto"/>
        <w:rPr>
          <w:rFonts w:hint="eastAsia" w:ascii="Calibri" w:hAnsi="Calibri"/>
          <w:color w:val="FF0000"/>
          <w:szCs w:val="24"/>
        </w:rPr>
      </w:pPr>
    </w:p>
    <w:p w14:paraId="7BA46BBB">
      <w:pPr>
        <w:rPr>
          <w:rFonts w:ascii="仿宋_GB2312" w:eastAsia="仿宋_GB2312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pgNumType w:fmt="numberInDash"/>
          <w:cols w:space="425" w:num="1"/>
          <w:docGrid w:type="lines" w:linePitch="312" w:charSpace="0"/>
        </w:sectPr>
      </w:pPr>
    </w:p>
    <w:p w14:paraId="10DFF8F6">
      <w:pPr>
        <w:rPr>
          <w:rFonts w:ascii="仿宋_GB2312" w:eastAsia="仿宋_GB2312"/>
          <w:sz w:val="32"/>
          <w:szCs w:val="32"/>
        </w:rPr>
      </w:pPr>
    </w:p>
    <w:p w14:paraId="78AD83AF">
      <w:pPr>
        <w:rPr>
          <w:rFonts w:ascii="仿宋_GB2312" w:eastAsia="仿宋_GB2312"/>
          <w:sz w:val="32"/>
          <w:szCs w:val="32"/>
        </w:rPr>
      </w:pPr>
    </w:p>
    <w:p w14:paraId="29CC8431">
      <w:pPr>
        <w:rPr>
          <w:rFonts w:ascii="仿宋_GB2312" w:eastAsia="仿宋_GB2312"/>
          <w:sz w:val="32"/>
          <w:szCs w:val="32"/>
        </w:rPr>
      </w:pPr>
    </w:p>
    <w:p w14:paraId="7023CAFF">
      <w:pPr>
        <w:rPr>
          <w:rFonts w:ascii="仿宋_GB2312" w:eastAsia="仿宋_GB2312"/>
          <w:sz w:val="32"/>
          <w:szCs w:val="32"/>
        </w:rPr>
      </w:pPr>
    </w:p>
    <w:p w14:paraId="516F2F3F">
      <w:pPr>
        <w:rPr>
          <w:rFonts w:ascii="仿宋_GB2312" w:eastAsia="仿宋_GB2312"/>
          <w:sz w:val="32"/>
          <w:szCs w:val="32"/>
        </w:rPr>
      </w:pPr>
    </w:p>
    <w:p w14:paraId="6F4A924E">
      <w:pPr>
        <w:rPr>
          <w:rFonts w:ascii="仿宋_GB2312" w:eastAsia="仿宋_GB2312"/>
          <w:sz w:val="32"/>
          <w:szCs w:val="32"/>
        </w:rPr>
      </w:pPr>
    </w:p>
    <w:p w14:paraId="44A0D3D2">
      <w:pPr>
        <w:rPr>
          <w:rFonts w:ascii="仿宋_GB2312" w:eastAsia="仿宋_GB2312"/>
          <w:sz w:val="32"/>
          <w:szCs w:val="32"/>
        </w:rPr>
      </w:pPr>
    </w:p>
    <w:p w14:paraId="4DEFB4FA">
      <w:pPr>
        <w:rPr>
          <w:rFonts w:ascii="仿宋_GB2312" w:eastAsia="仿宋_GB2312"/>
          <w:sz w:val="32"/>
          <w:szCs w:val="32"/>
        </w:rPr>
      </w:pPr>
    </w:p>
    <w:p w14:paraId="17F454C1">
      <w:pPr>
        <w:rPr>
          <w:rFonts w:ascii="仿宋_GB2312" w:eastAsia="仿宋_GB2312"/>
          <w:sz w:val="32"/>
          <w:szCs w:val="32"/>
        </w:rPr>
      </w:pPr>
    </w:p>
    <w:p w14:paraId="401793D1">
      <w:pPr>
        <w:rPr>
          <w:rFonts w:ascii="仿宋_GB2312" w:eastAsia="仿宋_GB2312"/>
          <w:sz w:val="32"/>
          <w:szCs w:val="32"/>
        </w:rPr>
      </w:pPr>
    </w:p>
    <w:p w14:paraId="5507091C">
      <w:pPr>
        <w:rPr>
          <w:rFonts w:ascii="仿宋_GB2312" w:eastAsia="仿宋_GB2312"/>
          <w:sz w:val="32"/>
          <w:szCs w:val="32"/>
        </w:rPr>
      </w:pPr>
    </w:p>
    <w:p w14:paraId="50F88078">
      <w:pPr>
        <w:rPr>
          <w:rFonts w:ascii="仿宋_GB2312" w:eastAsia="仿宋_GB2312"/>
          <w:sz w:val="32"/>
          <w:szCs w:val="32"/>
        </w:rPr>
      </w:pPr>
    </w:p>
    <w:p w14:paraId="539C5F4D">
      <w:pPr>
        <w:rPr>
          <w:rFonts w:ascii="仿宋_GB2312" w:eastAsia="仿宋_GB2312"/>
          <w:sz w:val="32"/>
          <w:szCs w:val="32"/>
        </w:rPr>
      </w:pPr>
    </w:p>
    <w:p w14:paraId="7400783E">
      <w:pPr>
        <w:rPr>
          <w:rFonts w:ascii="仿宋_GB2312" w:eastAsia="仿宋_GB2312"/>
          <w:sz w:val="32"/>
          <w:szCs w:val="32"/>
        </w:rPr>
      </w:pPr>
    </w:p>
    <w:p w14:paraId="68A3BB07">
      <w:pPr>
        <w:rPr>
          <w:rFonts w:ascii="仿宋_GB2312" w:eastAsia="仿宋_GB2312"/>
          <w:sz w:val="32"/>
          <w:szCs w:val="32"/>
        </w:rPr>
      </w:pPr>
    </w:p>
    <w:p w14:paraId="3BAE4963">
      <w:pPr>
        <w:rPr>
          <w:rFonts w:ascii="仿宋_GB2312" w:eastAsia="仿宋_GB2312"/>
          <w:sz w:val="32"/>
          <w:szCs w:val="32"/>
        </w:rPr>
      </w:pPr>
    </w:p>
    <w:p w14:paraId="42D9FECA">
      <w:pPr>
        <w:rPr>
          <w:rFonts w:ascii="仿宋_GB2312" w:eastAsia="仿宋_GB2312"/>
          <w:sz w:val="32"/>
          <w:szCs w:val="32"/>
        </w:rPr>
      </w:pPr>
    </w:p>
    <w:tbl>
      <w:tblPr>
        <w:tblStyle w:val="5"/>
        <w:tblW w:w="8845" w:type="dxa"/>
        <w:jc w:val="center"/>
        <w:tblBorders>
          <w:top w:val="single" w:color="FF0000" w:sz="12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9"/>
        <w:gridCol w:w="318"/>
        <w:gridCol w:w="3628"/>
      </w:tblGrid>
      <w:tr w14:paraId="181E8125">
        <w:tblPrEx>
          <w:tblBorders>
            <w:top w:val="single" w:color="FF0000" w:sz="12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5" w:type="dxa"/>
            <w:gridSpan w:val="3"/>
            <w:tcBorders>
              <w:top w:val="nil"/>
              <w:left w:val="nil"/>
              <w:bottom w:val="single" w:color="000000" w:sz="18" w:space="0"/>
              <w:right w:val="nil"/>
            </w:tcBorders>
          </w:tcPr>
          <w:p w14:paraId="7F2CD77A">
            <w:pPr>
              <w:ind w:firstLine="200" w:firstLineChars="200"/>
              <w:rPr>
                <w:rFonts w:ascii="仿宋_GB2312" w:eastAsia="仿宋_GB2312"/>
                <w:sz w:val="10"/>
                <w:szCs w:val="10"/>
              </w:rPr>
            </w:pPr>
          </w:p>
        </w:tc>
      </w:tr>
      <w:tr w14:paraId="67986CC8">
        <w:tblPrEx>
          <w:tblBorders>
            <w:top w:val="single" w:color="FF0000" w:sz="12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9" w:type="dxa"/>
            <w:tcBorders>
              <w:top w:val="single" w:color="000000" w:sz="18" w:space="0"/>
              <w:left w:val="nil"/>
              <w:bottom w:val="single" w:color="000000" w:sz="12" w:space="0"/>
              <w:right w:val="nil"/>
            </w:tcBorders>
          </w:tcPr>
          <w:p w14:paraId="2A5F187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主办：</w:t>
            </w:r>
            <w:bookmarkStart w:id="0" w:name="主办2"/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市自然资源和规划局</w:t>
            </w:r>
            <w:bookmarkEnd w:id="0"/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</w:t>
            </w:r>
          </w:p>
        </w:tc>
        <w:tc>
          <w:tcPr>
            <w:tcW w:w="39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3795CB06">
            <w:pPr>
              <w:jc w:val="right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督办：</w:t>
            </w:r>
            <w:bookmarkStart w:id="1" w:name="督办"/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市政府办公室五科</w:t>
            </w:r>
            <w:bookmarkEnd w:id="1"/>
          </w:p>
        </w:tc>
      </w:tr>
      <w:tr w14:paraId="67A69C6E">
        <w:tblPrEx>
          <w:tblBorders>
            <w:top w:val="single" w:color="FF0000" w:sz="12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5" w:type="dxa"/>
            <w:gridSpan w:val="3"/>
            <w:tcBorders>
              <w:top w:val="single" w:color="000000" w:sz="12" w:space="0"/>
              <w:left w:val="nil"/>
              <w:bottom w:val="single" w:color="000000" w:themeColor="text1" w:sz="4" w:space="0"/>
              <w:right w:val="nil"/>
            </w:tcBorders>
          </w:tcPr>
          <w:p w14:paraId="1177BED0">
            <w:pPr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抄送</w:t>
            </w:r>
            <w:r>
              <w:rPr>
                <w:rFonts w:ascii="仿宋_GB2312" w:eastAsia="仿宋_GB2312"/>
                <w:sz w:val="32"/>
                <w:szCs w:val="32"/>
              </w:rPr>
              <w:t>：</w:t>
            </w:r>
            <w:bookmarkStart w:id="2" w:name="抄送"/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宛城区、卧龙区人民政府，城乡一体化示范区管委会</w:t>
            </w:r>
            <w:bookmarkEnd w:id="2"/>
          </w:p>
        </w:tc>
      </w:tr>
      <w:tr w14:paraId="1E3DFC5D">
        <w:tblPrEx>
          <w:tblBorders>
            <w:top w:val="single" w:color="FF0000" w:sz="12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17" w:type="dxa"/>
            <w:gridSpan w:val="2"/>
            <w:tcBorders>
              <w:top w:val="single" w:color="000000" w:themeColor="text1" w:sz="4" w:space="0"/>
              <w:left w:val="nil"/>
              <w:bottom w:val="single" w:color="000000" w:sz="18" w:space="0"/>
              <w:right w:val="nil"/>
            </w:tcBorders>
          </w:tcPr>
          <w:p w14:paraId="1856BC8B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南阳市人民政府办公室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</w:t>
            </w:r>
          </w:p>
        </w:tc>
        <w:tc>
          <w:tcPr>
            <w:tcW w:w="3628" w:type="dxa"/>
            <w:tcBorders>
              <w:top w:val="single" w:color="000000" w:themeColor="text1" w:sz="4" w:space="0"/>
              <w:left w:val="nil"/>
              <w:bottom w:val="single" w:color="000000" w:sz="18" w:space="0"/>
              <w:right w:val="nil"/>
            </w:tcBorders>
          </w:tcPr>
          <w:p w14:paraId="459D78CD">
            <w:pPr>
              <w:jc w:val="both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bookmarkStart w:id="3" w:name="年"/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20XX</w:t>
            </w:r>
            <w:bookmarkEnd w:id="3"/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年</w:t>
            </w:r>
            <w:bookmarkStart w:id="4" w:name="月"/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XX</w:t>
            </w:r>
            <w:bookmarkEnd w:id="4"/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月</w:t>
            </w:r>
            <w:bookmarkStart w:id="5" w:name="日"/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XX</w:t>
            </w:r>
            <w:bookmarkEnd w:id="5"/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日印发</w:t>
            </w:r>
          </w:p>
        </w:tc>
      </w:tr>
    </w:tbl>
    <w:p w14:paraId="00FB6FEA"/>
    <w:p w14:paraId="10F2EFA4">
      <w:bookmarkStart w:id="6" w:name="_GoBack"/>
      <w:bookmarkEnd w:id="6"/>
    </w:p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EA46F1"/>
    <w:rsid w:val="7DEA4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2025-10-20T02:40:00Z</dcterms:created>
  <dc:creator>zkyyyy</dc:creator>
  <cp:lastModifiedBy>zkyyyy</cp:lastModifiedBy>
  <dcterms:modified xsi:type="dcterms:W3CDTF">2025-10-20T02:40:55Z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90FC0419342D411DA80FA9B27F9682DD_11</vt:lpwstr>
  </property>
  <property fmtid="{D5CDD505-2E9C-101B-9397-08002B2CF9AE}" pid="4" name="KSOTemplateDocerSaveRecord">
    <vt:lpwstr>eyJoZGlkIjoiNmU5MGVmOThhYzdlNWRiMTY3ZWZiMjY5OWVlNjk5NWYiLCJ1c2VySWQiOiIzODI2MDExMzIifQ==</vt:lpwstr>
  </property>
</Properties>
</file>