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8177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ascii="黑体" w:hAnsi="宋体" w:eastAsia="黑体" w:cs="黑体"/>
          <w:b/>
          <w:bCs/>
          <w:color w:val="333333"/>
          <w:sz w:val="44"/>
          <w:szCs w:val="44"/>
        </w:rPr>
        <w:t>关于</w:t>
      </w:r>
      <w:r>
        <w:rPr>
          <w:rFonts w:hint="eastAsia" w:ascii="黑体" w:hAnsi="宋体" w:eastAsia="黑体" w:cs="黑体"/>
          <w:b/>
          <w:bCs/>
          <w:color w:val="333333"/>
          <w:sz w:val="44"/>
          <w:szCs w:val="44"/>
        </w:rPr>
        <w:t>202</w:t>
      </w:r>
      <w:r>
        <w:rPr>
          <w:rFonts w:hint="eastAsia" w:ascii="黑体" w:hAnsi="宋体" w:eastAsia="黑体" w:cs="黑体"/>
          <w:b/>
          <w:bCs/>
          <w:color w:val="333333"/>
          <w:sz w:val="44"/>
          <w:szCs w:val="44"/>
          <w:lang w:val="en-US" w:eastAsia="zh-CN"/>
        </w:rPr>
        <w:t>4</w:t>
      </w:r>
      <w:r>
        <w:rPr>
          <w:rFonts w:hint="eastAsia" w:ascii="黑体" w:hAnsi="宋体" w:eastAsia="黑体" w:cs="黑体"/>
          <w:b/>
          <w:bCs/>
          <w:color w:val="333333"/>
          <w:sz w:val="44"/>
          <w:szCs w:val="44"/>
        </w:rPr>
        <w:t>年县本级第</w:t>
      </w:r>
      <w:r>
        <w:rPr>
          <w:rFonts w:hint="eastAsia" w:ascii="黑体" w:hAnsi="宋体" w:eastAsia="黑体" w:cs="黑体"/>
          <w:b/>
          <w:bCs/>
          <w:color w:val="333333"/>
          <w:sz w:val="44"/>
          <w:szCs w:val="44"/>
          <w:lang w:eastAsia="zh-CN"/>
        </w:rPr>
        <w:t>二</w:t>
      </w:r>
      <w:r>
        <w:rPr>
          <w:rFonts w:hint="eastAsia" w:ascii="黑体" w:hAnsi="宋体" w:eastAsia="黑体" w:cs="黑体"/>
          <w:b/>
          <w:bCs/>
          <w:color w:val="333333"/>
          <w:sz w:val="44"/>
          <w:szCs w:val="44"/>
        </w:rPr>
        <w:t>批衔接补助资金</w:t>
      </w:r>
    </w:p>
    <w:p w14:paraId="1DC3BD3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b/>
          <w:bCs/>
          <w:color w:val="333333"/>
          <w:sz w:val="44"/>
          <w:szCs w:val="44"/>
        </w:rPr>
        <w:t>使用计划的公示公告</w:t>
      </w:r>
    </w:p>
    <w:p w14:paraId="4915CFB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7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ascii="仿宋" w:hAnsi="仿宋" w:eastAsia="仿宋" w:cs="仿宋"/>
          <w:color w:val="333333"/>
          <w:sz w:val="32"/>
          <w:szCs w:val="32"/>
        </w:rPr>
        <w:t>桐柏县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年度第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批县本级衔接补助资金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210.3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已经县人大常委会批复，结合项目库准备情况，经县委农村工作领导小组研究，重点解决农业特色产业发展、壮大村集体经济等项目资金。按照《国务院扶贫办 财政部印发〈关于完善扶贫资金项目公告公示制度的指导意见〉的通知》等文件精神，现进行公示。</w:t>
      </w:r>
    </w:p>
    <w:p w14:paraId="58B7742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7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如有意见建议，请发函或致电桐柏县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农业农村局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，电话：0377-68111869，电子信箱：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tbfpbghjj@163.com</w:t>
      </w:r>
    </w:p>
    <w:p w14:paraId="69751FB1"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</w:t>
      </w:r>
    </w:p>
    <w:p w14:paraId="3539218F"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 w14:paraId="1FD7F3E2"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 w14:paraId="5795B32E"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桐柏县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农业农村</w:t>
      </w:r>
      <w:r>
        <w:rPr>
          <w:rFonts w:hint="eastAsia" w:ascii="仿宋" w:hAnsi="仿宋" w:eastAsia="仿宋" w:cs="仿宋_GB2312"/>
          <w:sz w:val="32"/>
          <w:szCs w:val="32"/>
        </w:rPr>
        <w:t>局</w:t>
      </w:r>
    </w:p>
    <w:p w14:paraId="0380B660">
      <w:pPr>
        <w:widowControl/>
        <w:spacing w:beforeAutospacing="1" w:afterAutospacing="1"/>
        <w:ind w:firstLine="11520" w:firstLineChars="36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 w14:paraId="0028255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 </w:t>
      </w:r>
    </w:p>
    <w:tbl>
      <w:tblPr>
        <w:tblStyle w:val="3"/>
        <w:tblpPr w:vertAnchor="text" w:horzAnchor="page" w:tblpX="107" w:tblpY="438"/>
        <w:tblW w:w="16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228"/>
        <w:gridCol w:w="708"/>
        <w:gridCol w:w="709"/>
        <w:gridCol w:w="1417"/>
        <w:gridCol w:w="3982"/>
        <w:gridCol w:w="764"/>
        <w:gridCol w:w="709"/>
        <w:gridCol w:w="851"/>
        <w:gridCol w:w="3404"/>
        <w:gridCol w:w="2126"/>
      </w:tblGrid>
      <w:tr w14:paraId="6146C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338" w:type="dxa"/>
            <w:gridSpan w:val="11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9D743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桐柏县</w:t>
            </w:r>
            <w:r>
              <w:rPr>
                <w:rFonts w:hint="default" w:ascii="Calibri" w:hAnsi="Calibri" w:eastAsia="微软雅黑" w:cs="Calibri"/>
                <w:b/>
                <w:bCs/>
                <w:sz w:val="44"/>
                <w:szCs w:val="44"/>
              </w:rPr>
              <w:t>202</w:t>
            </w:r>
            <w:r>
              <w:rPr>
                <w:rFonts w:hint="eastAsia" w:ascii="Calibri" w:hAnsi="Calibri" w:eastAsia="微软雅黑" w:cs="Calibri"/>
                <w:b/>
                <w:bCs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年本级第二批衔接补助资金使用计划公示公告</w:t>
            </w:r>
          </w:p>
        </w:tc>
      </w:tr>
      <w:tr w14:paraId="09E48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70E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1955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项目地点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657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项目性质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989E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项目类别</w:t>
            </w:r>
          </w:p>
        </w:tc>
        <w:tc>
          <w:tcPr>
            <w:tcW w:w="14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6DD8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3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A4C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项目内容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7A5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投入资金规模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24C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责任</w:t>
            </w:r>
            <w:r>
              <w:rPr>
                <w:rFonts w:hint="default" w:ascii="Calibri" w:hAnsi="Calibri" w:eastAsia="微软雅黑" w:cs="Calibri"/>
                <w:b/>
                <w:bCs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34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5097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绩效目标</w:t>
            </w:r>
          </w:p>
        </w:tc>
        <w:tc>
          <w:tcPr>
            <w:tcW w:w="21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B20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利益联结机制</w:t>
            </w:r>
          </w:p>
        </w:tc>
      </w:tr>
      <w:tr w14:paraId="381BC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0AEA2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4F9E87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D0C6E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269795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E332E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D4C2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（建设任务）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D56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AA5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县级资金</w:t>
            </w: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626153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4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239E6B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B2117F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2F2F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F53A5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D92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朱庄镇粉坊村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39AA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产业发展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56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加工业（含配套基础设施）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869A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2024年朱庄镇乡村振兴产业园香菇深加工项目</w:t>
            </w:r>
          </w:p>
        </w:tc>
        <w:tc>
          <w:tcPr>
            <w:tcW w:w="3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548B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.新建标准化钢构厂房1500平方米左右，窗户、门、地坪等附属；2.食用菌休闲食品生产设备；3.坡地挖方回填碾压等土方整理平衡、生产路等；4.供水供电及其相应配套等设施；5.厂房内部隔断及安装（包含净化板、电气、不锈钢设备、给排水等部分）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4CCF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572.3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B43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140.3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1603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科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技局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1EB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.产出指标：新增标准化钢构厂房1500平方米左右，新增食用菌休闲食品生产设备，新增生产路、供水供电及其配套等设施,新增厂房内部隔断及安装等设施。2.经济效益：每年增加村集体经济收入≥22万元，安排务工就业20人，其中低收入人口12人，人均年工资增加1万元。3.社会效益指标：受益群众满意度≥97%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BD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资产产权归粉坊村集体所有，每年增加村集体经济收入≥22万元，安排务工就业20人，其中低收入人口12人，人均年工资增加1万元。</w:t>
            </w:r>
          </w:p>
        </w:tc>
      </w:tr>
      <w:tr w14:paraId="4358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6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49C5B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3186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安棚镇朱洼村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5C2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产业发展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70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加工业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E1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2024年安棚镇朱洼村标准化厂房项目</w:t>
            </w:r>
          </w:p>
        </w:tc>
        <w:tc>
          <w:tcPr>
            <w:tcW w:w="3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7E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1、拟建标准化厂房面积约3000㎡。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2、毛石挡土墙长度60m左右。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3、仓库约400㎡。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4、道路约400㎡。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5、其它附属设施。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1BF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10CD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C35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农业农村局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7D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经济效益：1.村集体收益约20万元以上。2.带动周边100余人务工，每人每年增收10000元以上。3.租赁给企业，年生产总值400万以上。社会效益：群众满意度≥97%。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AEA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产权归村集体所有。1.村集体收益20万元，部分定向用于脱贫人口。2.带动周围100余人务工，其中脱贫群众30余人以上，每人每年增收10000元以上。</w:t>
            </w:r>
          </w:p>
        </w:tc>
      </w:tr>
      <w:tr w14:paraId="78489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E7610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B3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城郊乡刘湾村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2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4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种养加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27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2024年城郊乡刘湾村茶叶加工基地</w:t>
            </w:r>
          </w:p>
        </w:tc>
        <w:tc>
          <w:tcPr>
            <w:tcW w:w="3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3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新建茶叶加工车间1728平方米及附属设施，并配套必要的加工设备。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03B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55B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E4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桐柏县茶艾产业发展中心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00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产出指标：新建茶加工车间1728平方米及附属设施，并配套必要的加工设备。2、经济指标：壮大村集体经济，年增加村集体经济收入不少于9.6万元。3、社会效益：推动茶产业向多元化发展，进一步发挥茶叶价值，辐射联动周边群众就业100人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1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产权归集体所有，年增加村集体经济收入不少于9.6万元；推动茶产业向多元化发展，收购群众鲜叶，带动周边群众就业100人，户均增收2万元以上。</w:t>
            </w:r>
          </w:p>
        </w:tc>
      </w:tr>
    </w:tbl>
    <w:p w14:paraId="7CA6DE3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 </w:t>
      </w:r>
    </w:p>
    <w:p w14:paraId="09724F1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sz w:val="18"/>
          <w:szCs w:val="18"/>
        </w:rPr>
        <w:t> </w:t>
      </w:r>
    </w:p>
    <w:p w14:paraId="0225A232">
      <w:pPr>
        <w:pStyle w:val="2"/>
        <w:keepNext w:val="0"/>
        <w:keepLines w:val="0"/>
        <w:widowControl/>
        <w:suppressLineNumbers w:val="0"/>
        <w:spacing w:before="312" w:beforeAutospacing="0" w:after="312" w:afterAutospacing="0"/>
        <w:ind w:left="0" w:right="0" w:firstLine="560"/>
        <w:jc w:val="both"/>
        <w:rPr>
          <w:rFonts w:hint="default" w:ascii="等线" w:hAnsi="等线" w:eastAsia="等线" w:cs="等线"/>
          <w:sz w:val="28"/>
          <w:szCs w:val="28"/>
        </w:rPr>
      </w:pPr>
      <w:r>
        <w:rPr>
          <w:rFonts w:hint="default" w:ascii="等线" w:hAnsi="等线" w:eastAsia="等线" w:cs="等线"/>
          <w:sz w:val="28"/>
          <w:szCs w:val="28"/>
        </w:rPr>
        <w:t> </w:t>
      </w:r>
    </w:p>
    <w:p w14:paraId="1BA85AB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AxMzU2MjIxZjE0NzYwMTQ0NzAwNjg4NjZjNGQifQ=="/>
  </w:docVars>
  <w:rsids>
    <w:rsidRoot w:val="1846383F"/>
    <w:rsid w:val="0AC16917"/>
    <w:rsid w:val="15BD3CC4"/>
    <w:rsid w:val="1846383F"/>
    <w:rsid w:val="60D96770"/>
    <w:rsid w:val="79D1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color w:val="000000"/>
      <w:u w:val="none"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00"/>
      <w:sz w:val="18"/>
      <w:szCs w:val="18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disabled"/>
    <w:basedOn w:val="4"/>
    <w:qFormat/>
    <w:uiPriority w:val="0"/>
    <w:rPr>
      <w:color w:val="DDDDDD"/>
      <w:bdr w:val="single" w:color="EEEEEE" w:sz="6" w:space="0"/>
    </w:rPr>
  </w:style>
  <w:style w:type="character" w:customStyle="1" w:styleId="14">
    <w:name w:val="current1"/>
    <w:basedOn w:val="4"/>
    <w:qFormat/>
    <w:uiPriority w:val="0"/>
    <w:rPr>
      <w:b/>
      <w:bCs/>
      <w:color w:val="FFFFFF"/>
      <w:bdr w:val="single" w:color="000099" w:sz="6" w:space="0"/>
      <w:shd w:val="clear" w:fill="000099"/>
    </w:rPr>
  </w:style>
  <w:style w:type="character" w:customStyle="1" w:styleId="15">
    <w:name w:val="prev31"/>
    <w:basedOn w:val="4"/>
    <w:qFormat/>
    <w:uiPriority w:val="0"/>
    <w:rPr>
      <w:shd w:val="clear" w:fill="336699"/>
    </w:rPr>
  </w:style>
  <w:style w:type="character" w:customStyle="1" w:styleId="16">
    <w:name w:val="prev21"/>
    <w:basedOn w:val="4"/>
    <w:qFormat/>
    <w:uiPriority w:val="0"/>
    <w:rPr>
      <w:shd w:val="clear" w:fill="336699"/>
    </w:rPr>
  </w:style>
  <w:style w:type="character" w:customStyle="1" w:styleId="17">
    <w:name w:val="prev11"/>
    <w:basedOn w:val="4"/>
    <w:qFormat/>
    <w:uiPriority w:val="0"/>
    <w:rPr>
      <w:shd w:val="clear" w:fill="336699"/>
    </w:rPr>
  </w:style>
  <w:style w:type="character" w:customStyle="1" w:styleId="18">
    <w:name w:val="next11"/>
    <w:basedOn w:val="4"/>
    <w:qFormat/>
    <w:uiPriority w:val="0"/>
    <w:rPr>
      <w:shd w:val="clear" w:fill="FF0000"/>
    </w:rPr>
  </w:style>
  <w:style w:type="character" w:customStyle="1" w:styleId="19">
    <w:name w:val="next21"/>
    <w:basedOn w:val="4"/>
    <w:qFormat/>
    <w:uiPriority w:val="0"/>
    <w:rPr>
      <w:shd w:val="clear" w:fill="FF0000"/>
    </w:rPr>
  </w:style>
  <w:style w:type="character" w:customStyle="1" w:styleId="20">
    <w:name w:val="next31"/>
    <w:basedOn w:val="4"/>
    <w:qFormat/>
    <w:uiPriority w:val="0"/>
    <w:rPr>
      <w:shd w:val="clear" w:fill="FF0000"/>
    </w:rPr>
  </w:style>
  <w:style w:type="character" w:customStyle="1" w:styleId="21">
    <w:name w:val="prent1"/>
    <w:basedOn w:val="4"/>
    <w:qFormat/>
    <w:uiPriority w:val="0"/>
  </w:style>
  <w:style w:type="character" w:customStyle="1" w:styleId="22">
    <w:name w:val="next1"/>
    <w:basedOn w:val="4"/>
    <w:qFormat/>
    <w:uiPriority w:val="0"/>
    <w:rPr>
      <w:shd w:val="clear" w:fill="FF0000"/>
    </w:rPr>
  </w:style>
  <w:style w:type="character" w:customStyle="1" w:styleId="23">
    <w:name w:val="next2"/>
    <w:basedOn w:val="4"/>
    <w:qFormat/>
    <w:uiPriority w:val="0"/>
    <w:rPr>
      <w:shd w:val="clear" w:fill="FF0000"/>
    </w:rPr>
  </w:style>
  <w:style w:type="character" w:customStyle="1" w:styleId="24">
    <w:name w:val="prev1"/>
    <w:basedOn w:val="4"/>
    <w:qFormat/>
    <w:uiPriority w:val="0"/>
    <w:rPr>
      <w:shd w:val="clear" w:fill="336699"/>
    </w:rPr>
  </w:style>
  <w:style w:type="character" w:customStyle="1" w:styleId="25">
    <w:name w:val="prev2"/>
    <w:basedOn w:val="4"/>
    <w:qFormat/>
    <w:uiPriority w:val="0"/>
    <w:rPr>
      <w:shd w:val="clear" w:fill="336699"/>
    </w:rPr>
  </w:style>
  <w:style w:type="character" w:customStyle="1" w:styleId="26">
    <w:name w:val="prev3"/>
    <w:basedOn w:val="4"/>
    <w:qFormat/>
    <w:uiPriority w:val="0"/>
    <w:rPr>
      <w:shd w:val="clear" w:fill="336699"/>
    </w:rPr>
  </w:style>
  <w:style w:type="character" w:customStyle="1" w:styleId="27">
    <w:name w:val="current"/>
    <w:basedOn w:val="4"/>
    <w:qFormat/>
    <w:uiPriority w:val="0"/>
    <w:rPr>
      <w:b/>
      <w:bCs/>
      <w:color w:val="FFFFFF"/>
      <w:bdr w:val="single" w:color="000099" w:sz="6" w:space="0"/>
      <w:shd w:val="clear" w:fill="0000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1111</Words>
  <Characters>1248</Characters>
  <Lines>0</Lines>
  <Paragraphs>0</Paragraphs>
  <TotalTime>5</TotalTime>
  <ScaleCrop>false</ScaleCrop>
  <LinksUpToDate>false</LinksUpToDate>
  <CharactersWithSpaces>1259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2024-03-26T09:32:00Z</dcterms:created>
  <dc:creator>luckyz&amp;g</dc:creator>
  <cp:lastModifiedBy>蜉蝣</cp:lastModifiedBy>
  <dcterms:modified xsi:type="dcterms:W3CDTF">2024-09-27T01:01:48Z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BF30CEC42CEF44AC9AE2B30A7D109C10_13</vt:lpwstr>
  </property>
</Properties>
</file>