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07D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桐柏县202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年举借债务情况说明</w:t>
      </w:r>
    </w:p>
    <w:p w14:paraId="50F7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年末本地区、本级及所属地区地方政府债务限额623427万元、余额决算数543083万元。</w:t>
      </w:r>
    </w:p>
    <w:p w14:paraId="39231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年末本地区、本级及所属地区地方政府债券发行594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万元、还本付息决算数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41667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C52C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年末本地区、本级及所属地区发行新增债券资金66271万元。其中，一般债券新增6871万元，主要用于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2023年桐柏县高标准农田示范区项目195万元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桐柏县小型水库安全运行751万元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；3、桐柏县城区盘古大道等六条路提升改造工程1535万元；4、桐柏县淮河第四级拦河坝工程1290万元；5、桐柏县凤凰山公园提升改造项目1800万元；6、桐柏县大同街、淮安街等（三座）桥梁加宽工程项目1300万元；</w:t>
      </w:r>
      <w:r>
        <w:rPr>
          <w:rFonts w:hint="eastAsia" w:ascii="仿宋" w:hAnsi="仿宋" w:eastAsia="仿宋" w:cs="仿宋"/>
          <w:sz w:val="28"/>
          <w:szCs w:val="28"/>
        </w:rPr>
        <w:t>。专项债券新增59400万元，主要用于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桐柏县淮河源全域乡村振兴产业融合示范园建设项目4200万元；2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桐柏县新能源汽车公共充电服务基础设施建设项目5600万元；3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桐柏县茶叶交易市场建设项目10000万元；4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桐柏县化工园区新型医药产业园项目4000万元；5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桐柏县城关镇东环社区棚户区改造（一期）项目12300万元；6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2023年桐柏县高标准农田示范区项目4000万元；7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桐柏县中医健康医养服务中心建设项目8000万元；8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桐柏县再生水回用工程4300万元；9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桐柏县应急制造产业园3000万元；10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桐柏县碱业化工标准化厂房建设项目4000万元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736A4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FhOWUxMThiN2I1MDVhYjBkODE2NzhhN2RkNDcifQ=="/>
  </w:docVars>
  <w:rsids>
    <w:rsidRoot w:val="00000000"/>
    <w:rsid w:val="323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好乖</cp:lastModifiedBy>
  <dcterms:modified xsi:type="dcterms:W3CDTF">2024-09-11T01:23:31Z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196824DABF0646BB9ABE99125879FAAE_12</vt:lpwstr>
  </property>
</Properties>
</file>