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FF14B">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400" w:lineRule="exact"/>
        <w:ind w:right="0"/>
        <w:jc w:val="both"/>
        <w:textAlignment w:val="auto"/>
        <w:rPr>
          <w:rFonts w:hint="eastAsia" w:ascii="黑体" w:hAnsi="黑体" w:eastAsia="黑体" w:cs="黑体"/>
          <w:snapToGrid/>
          <w:color w:val="auto"/>
          <w:spacing w:val="20"/>
          <w:kern w:val="2"/>
          <w:sz w:val="28"/>
          <w:szCs w:val="28"/>
          <w:highlight w:val="none"/>
          <w:lang w:val="en-US" w:eastAsia="zh-CN" w:bidi="ar"/>
        </w:rPr>
      </w:pPr>
      <w:r>
        <w:rPr>
          <w:rFonts w:hint="eastAsia" w:ascii="黑体" w:hAnsi="黑体" w:eastAsia="黑体" w:cs="黑体"/>
          <w:snapToGrid/>
          <w:color w:val="auto"/>
          <w:spacing w:val="20"/>
          <w:kern w:val="2"/>
          <w:sz w:val="28"/>
          <w:szCs w:val="28"/>
          <w:highlight w:val="none"/>
          <w:lang w:val="en-US" w:eastAsia="zh-CN" w:bidi="ar"/>
        </w:rPr>
        <w:t>桐柏县十六届人大</w:t>
      </w:r>
    </w:p>
    <w:p w14:paraId="567A7600">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400" w:lineRule="exact"/>
        <w:ind w:right="0"/>
        <w:jc w:val="both"/>
        <w:textAlignment w:val="auto"/>
        <w:rPr>
          <w:rFonts w:hint="eastAsia" w:ascii="黑体" w:hAnsi="黑体" w:eastAsia="黑体" w:cs="黑体"/>
          <w:snapToGrid/>
          <w:color w:val="auto"/>
          <w:kern w:val="2"/>
          <w:sz w:val="28"/>
          <w:szCs w:val="28"/>
          <w:highlight w:val="none"/>
          <w:lang w:val="en-US" w:eastAsia="zh-CN" w:bidi="ar"/>
        </w:rPr>
      </w:pPr>
      <w:r>
        <w:rPr>
          <w:rFonts w:hint="eastAsia" w:ascii="黑体" w:hAnsi="黑体" w:eastAsia="黑体" w:cs="黑体"/>
          <w:snapToGrid/>
          <w:color w:val="auto"/>
          <w:kern w:val="2"/>
          <w:sz w:val="28"/>
          <w:szCs w:val="28"/>
          <w:highlight w:val="none"/>
          <w:lang w:val="en-US" w:eastAsia="zh-CN" w:bidi="ar"/>
        </w:rPr>
        <w:t>五次会议文件三十二</w:t>
      </w:r>
    </w:p>
    <w:p w14:paraId="7E2558E0">
      <w:pPr>
        <w:keepNext w:val="0"/>
        <w:keepLines w:val="0"/>
        <w:pageBreakBefore w:val="0"/>
        <w:kinsoku/>
        <w:wordWrap/>
        <w:topLinePunct/>
        <w:bidi w:val="0"/>
        <w:spacing w:line="265" w:lineRule="auto"/>
        <w:jc w:val="both"/>
        <w:rPr>
          <w:rFonts w:ascii="Arial"/>
          <w:sz w:val="21"/>
        </w:rPr>
      </w:pPr>
    </w:p>
    <w:p w14:paraId="5EED7439">
      <w:pPr>
        <w:keepNext w:val="0"/>
        <w:keepLines w:val="0"/>
        <w:pageBreakBefore w:val="0"/>
        <w:kinsoku/>
        <w:wordWrap/>
        <w:topLinePunct/>
        <w:bidi w:val="0"/>
        <w:spacing w:line="265" w:lineRule="auto"/>
        <w:jc w:val="both"/>
        <w:rPr>
          <w:rFonts w:ascii="Arial"/>
          <w:sz w:val="21"/>
        </w:rPr>
      </w:pPr>
    </w:p>
    <w:p w14:paraId="6300B92F">
      <w:pPr>
        <w:keepNext w:val="0"/>
        <w:keepLines w:val="0"/>
        <w:pageBreakBefore w:val="0"/>
        <w:kinsoku/>
        <w:wordWrap/>
        <w:topLinePunct/>
        <w:bidi w:val="0"/>
        <w:spacing w:line="266" w:lineRule="auto"/>
        <w:jc w:val="both"/>
        <w:rPr>
          <w:rFonts w:ascii="Arial"/>
          <w:sz w:val="21"/>
        </w:rPr>
      </w:pPr>
    </w:p>
    <w:p w14:paraId="1F62825D">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680" w:lineRule="exact"/>
        <w:ind w:right="0"/>
        <w:jc w:val="center"/>
        <w:textAlignment w:val="auto"/>
        <w:rPr>
          <w:rFonts w:hint="eastAsia" w:ascii="方正小标宋简体" w:hAnsi="方正小标宋简体" w:eastAsia="方正小标宋简体" w:cs="方正小标宋简体"/>
          <w:snapToGrid/>
          <w:kern w:val="2"/>
          <w:sz w:val="44"/>
          <w:szCs w:val="44"/>
          <w:lang w:val="en-US" w:eastAsia="zh-CN" w:bidi="ar"/>
        </w:rPr>
      </w:pPr>
      <w:r>
        <w:rPr>
          <w:rFonts w:hint="eastAsia" w:ascii="方正小标宋简体" w:hAnsi="方正小标宋简体" w:eastAsia="方正小标宋简体" w:cs="方正小标宋简体"/>
          <w:snapToGrid/>
          <w:kern w:val="2"/>
          <w:sz w:val="44"/>
          <w:szCs w:val="44"/>
          <w:lang w:val="en-US" w:eastAsia="zh-CN" w:bidi="ar"/>
        </w:rPr>
        <w:t>关于桐柏县2023年预算执行情况和</w:t>
      </w:r>
    </w:p>
    <w:p w14:paraId="01606B7C">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680" w:lineRule="exact"/>
        <w:ind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napToGrid/>
          <w:kern w:val="2"/>
          <w:sz w:val="44"/>
          <w:szCs w:val="44"/>
          <w:lang w:val="en-US" w:eastAsia="zh-CN" w:bidi="ar"/>
        </w:rPr>
        <w:t>2024年预算草案的报告</w:t>
      </w:r>
    </w:p>
    <w:p w14:paraId="5C9EE6B6">
      <w:pPr>
        <w:keepNext w:val="0"/>
        <w:keepLines w:val="0"/>
        <w:pageBreakBefore w:val="0"/>
        <w:widowControl w:val="0"/>
        <w:kinsoku/>
        <w:wordWrap/>
        <w:overflowPunct/>
        <w:topLinePunct/>
        <w:autoSpaceDE/>
        <w:autoSpaceDN/>
        <w:bidi w:val="0"/>
        <w:adjustRightInd/>
        <w:snapToGrid/>
        <w:spacing w:line="560" w:lineRule="exact"/>
        <w:jc w:val="center"/>
        <w:textAlignment w:val="baseline"/>
        <w:rPr>
          <w:rFonts w:hint="eastAsia" w:ascii="楷体_GB2312" w:eastAsia="楷体_GB2312" w:hAnsiTheme="minorHAnsi" w:cstheme="minorBidi"/>
          <w:snapToGrid/>
          <w:color w:val="auto"/>
          <w:spacing w:val="-11"/>
          <w:kern w:val="2"/>
          <w:sz w:val="32"/>
          <w:szCs w:val="32"/>
          <w:highlight w:val="yellow"/>
          <w:lang w:val="en-US" w:eastAsia="zh-CN" w:bidi="ar-SA"/>
        </w:rPr>
      </w:pPr>
      <w:r>
        <w:rPr>
          <w:rFonts w:hint="eastAsia" w:ascii="楷体_GB2312" w:eastAsia="楷体_GB2312" w:hAnsiTheme="minorHAnsi" w:cstheme="minorBidi"/>
          <w:snapToGrid/>
          <w:color w:val="auto"/>
          <w:spacing w:val="-11"/>
          <w:kern w:val="2"/>
          <w:sz w:val="32"/>
          <w:szCs w:val="32"/>
          <w:highlight w:val="none"/>
          <w:lang w:val="en-US" w:eastAsia="zh-CN" w:bidi="ar-SA"/>
        </w:rPr>
        <w:t>--2024年3月2日在桐柏县第十六届人民代表大会第五次会议上</w:t>
      </w:r>
    </w:p>
    <w:p w14:paraId="3CDAFC4B">
      <w:pPr>
        <w:keepNext w:val="0"/>
        <w:keepLines w:val="0"/>
        <w:pageBreakBefore w:val="0"/>
        <w:kinsoku/>
        <w:wordWrap/>
        <w:overflowPunct/>
        <w:topLinePunct/>
        <w:bidi w:val="0"/>
        <w:adjustRightInd w:val="0"/>
        <w:snapToGrid w:val="0"/>
        <w:spacing w:line="560" w:lineRule="exact"/>
        <w:ind w:left="0"/>
        <w:jc w:val="center"/>
        <w:textAlignment w:val="baseline"/>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桐柏县财政局局长  王广武</w:t>
      </w:r>
    </w:p>
    <w:p w14:paraId="016D0C13">
      <w:pPr>
        <w:pStyle w:val="2"/>
        <w:rPr>
          <w:rFonts w:hint="eastAsia"/>
          <w:lang w:val="en-US" w:eastAsia="zh-CN"/>
        </w:rPr>
      </w:pPr>
    </w:p>
    <w:p w14:paraId="1BBD5CF7">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560" w:lineRule="exact"/>
        <w:ind w:right="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各位代表：</w:t>
      </w:r>
    </w:p>
    <w:p w14:paraId="00209A99">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kern w:val="2"/>
          <w:sz w:val="32"/>
          <w:szCs w:val="32"/>
          <w:lang w:val="en-US" w:eastAsia="zh-CN" w:bidi="ar"/>
        </w:rPr>
        <w:t>受县政府委托，现将2023年预算执行情况和2024年预算草案提请</w:t>
      </w:r>
      <w:r>
        <w:rPr>
          <w:rFonts w:hint="eastAsia" w:ascii="仿宋_GB2312" w:hAnsi="仿宋_GB2312" w:eastAsia="仿宋_GB2312" w:cs="仿宋_GB2312"/>
          <w:snapToGrid/>
          <w:color w:val="auto"/>
          <w:kern w:val="2"/>
          <w:sz w:val="32"/>
          <w:szCs w:val="32"/>
          <w:highlight w:val="none"/>
          <w:lang w:val="en-US" w:eastAsia="zh-CN" w:bidi="ar"/>
        </w:rPr>
        <w:t>县十六届人大第五次会议</w:t>
      </w:r>
      <w:r>
        <w:rPr>
          <w:rFonts w:hint="eastAsia" w:ascii="仿宋_GB2312" w:hAnsi="仿宋_GB2312" w:eastAsia="仿宋_GB2312" w:cs="仿宋_GB2312"/>
          <w:snapToGrid/>
          <w:kern w:val="2"/>
          <w:sz w:val="32"/>
          <w:szCs w:val="32"/>
          <w:lang w:val="en-US" w:eastAsia="zh-CN" w:bidi="ar"/>
        </w:rPr>
        <w:t>审查，并请各位政协委员和其他列席人员提出意见。</w:t>
      </w:r>
    </w:p>
    <w:p w14:paraId="792FEA0B">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 w:hAnsi="仿宋" w:eastAsia="仿宋" w:cs="仿宋"/>
          <w:snapToGrid/>
          <w:kern w:val="2"/>
          <w:sz w:val="32"/>
          <w:szCs w:val="32"/>
          <w:lang w:val="en-US" w:eastAsia="zh-CN" w:bidi="ar"/>
        </w:rPr>
      </w:pPr>
      <w:r>
        <w:rPr>
          <w:rFonts w:hint="eastAsia" w:ascii="黑体" w:hAnsi="黑体" w:eastAsia="黑体" w:cs="黑体"/>
          <w:snapToGrid/>
          <w:kern w:val="2"/>
          <w:sz w:val="32"/>
          <w:szCs w:val="32"/>
          <w:lang w:val="en-US" w:eastAsia="zh-CN" w:bidi="ar"/>
        </w:rPr>
        <w:t>一、2023年预算执行情况</w:t>
      </w:r>
    </w:p>
    <w:p w14:paraId="78C42AD9">
      <w:pPr>
        <w:pStyle w:val="2"/>
        <w:keepNext w:val="0"/>
        <w:keepLines w:val="0"/>
        <w:pageBreakBefore w:val="0"/>
        <w:widowControl/>
        <w:kinsoku/>
        <w:wordWrap/>
        <w:overflowPunct/>
        <w:topLinePunct/>
        <w:autoSpaceDE w:val="0"/>
        <w:autoSpaceDN w:val="0"/>
        <w:bidi w:val="0"/>
        <w:adjustRightInd w:val="0"/>
        <w:snapToGrid w:val="0"/>
        <w:spacing w:after="0" w:line="560" w:lineRule="exact"/>
        <w:ind w:firstLine="640" w:firstLineChars="200"/>
        <w:jc w:val="both"/>
        <w:textAlignment w:val="baseline"/>
        <w:rPr>
          <w:rFonts w:hint="eastAsia" w:ascii="仿宋_GB2312" w:hAnsi="仿宋_GB2312" w:eastAsia="仿宋_GB2312" w:cs="仿宋_GB2312"/>
          <w:snapToGrid/>
          <w:color w:val="000000"/>
          <w:kern w:val="2"/>
          <w:sz w:val="32"/>
          <w:szCs w:val="32"/>
          <w:highlight w:val="none"/>
          <w:lang w:val="en-US" w:eastAsia="zh-CN" w:bidi="ar"/>
        </w:rPr>
      </w:pPr>
      <w:r>
        <w:rPr>
          <w:rFonts w:hint="eastAsia" w:ascii="仿宋_GB2312" w:hAnsi="仿宋_GB2312" w:eastAsia="仿宋_GB2312" w:cs="仿宋_GB2312"/>
          <w:snapToGrid/>
          <w:color w:val="000000"/>
          <w:kern w:val="2"/>
          <w:sz w:val="32"/>
          <w:szCs w:val="32"/>
          <w:lang w:val="en-US" w:eastAsia="zh-CN" w:bidi="ar"/>
        </w:rPr>
        <w:t>2023年，是全面贯彻党的二十大精神的开局之年，是三年新冠疫情防控转段后经济恢复发展的一年，更是我县奋勇争先、更加出彩的攻坚之年。面对严峻复杂的形势，针对艰巨繁重的发展任务，全县上下在县委的坚强领导下，主动对标高质量高效率跨越发展目标，全面落实县委经济工作会议精神，统筹民生保障和经济</w:t>
      </w:r>
      <w:r>
        <w:rPr>
          <w:rFonts w:hint="eastAsia" w:ascii="仿宋_GB2312" w:hAnsi="仿宋_GB2312" w:eastAsia="仿宋_GB2312" w:cs="仿宋_GB2312"/>
          <w:snapToGrid/>
          <w:color w:val="000000"/>
          <w:kern w:val="2"/>
          <w:sz w:val="32"/>
          <w:szCs w:val="32"/>
          <w:highlight w:val="none"/>
          <w:lang w:val="en-US" w:eastAsia="zh-CN" w:bidi="ar"/>
        </w:rPr>
        <w:t>社会发展，总体上保持经济稳中有进、稳中趋好的发展态势，财政预算执行情况较好。</w:t>
      </w:r>
    </w:p>
    <w:p w14:paraId="5150D899">
      <w:pPr>
        <w:keepNext w:val="0"/>
        <w:keepLines w:val="0"/>
        <w:pageBreakBefore w:val="0"/>
        <w:kinsoku/>
        <w:wordWrap/>
        <w:topLinePunct/>
        <w:bidi w:val="0"/>
        <w:snapToGrid w:val="0"/>
        <w:spacing w:line="560" w:lineRule="exact"/>
        <w:ind w:left="0" w:right="0" w:firstLine="659" w:firstLineChars="200"/>
        <w:jc w:val="both"/>
        <w:outlineLvl w:val="0"/>
        <w:rPr>
          <w:rFonts w:hint="eastAsia" w:ascii="楷体_GB2312" w:hAnsi="楷体_GB2312" w:eastAsia="楷体_GB2312" w:cs="楷体_GB2312"/>
          <w:b/>
          <w:bCs/>
          <w:spacing w:val="4"/>
          <w:sz w:val="32"/>
          <w:szCs w:val="32"/>
          <w:highlight w:val="none"/>
          <w:lang w:val="en-US" w:eastAsia="zh-CN"/>
        </w:rPr>
      </w:pPr>
      <w:r>
        <w:rPr>
          <w:rFonts w:hint="eastAsia" w:ascii="楷体_GB2312" w:hAnsi="楷体_GB2312" w:eastAsia="楷体_GB2312" w:cs="楷体_GB2312"/>
          <w:b/>
          <w:bCs/>
          <w:spacing w:val="4"/>
          <w:sz w:val="32"/>
          <w:szCs w:val="32"/>
          <w:highlight w:val="none"/>
          <w:lang w:eastAsia="zh-CN"/>
        </w:rPr>
        <w:t>（</w:t>
      </w:r>
      <w:r>
        <w:rPr>
          <w:rFonts w:hint="eastAsia" w:ascii="楷体_GB2312" w:hAnsi="楷体_GB2312" w:eastAsia="楷体_GB2312" w:cs="楷体_GB2312"/>
          <w:b/>
          <w:bCs/>
          <w:spacing w:val="4"/>
          <w:sz w:val="32"/>
          <w:szCs w:val="32"/>
          <w:highlight w:val="none"/>
          <w:lang w:val="en-US" w:eastAsia="zh-CN"/>
        </w:rPr>
        <w:t>一</w:t>
      </w:r>
      <w:r>
        <w:rPr>
          <w:rFonts w:hint="eastAsia" w:ascii="楷体_GB2312" w:hAnsi="楷体_GB2312" w:eastAsia="楷体_GB2312" w:cs="楷体_GB2312"/>
          <w:b/>
          <w:bCs/>
          <w:spacing w:val="4"/>
          <w:sz w:val="32"/>
          <w:szCs w:val="32"/>
          <w:highlight w:val="none"/>
          <w:lang w:eastAsia="zh-CN"/>
        </w:rPr>
        <w:t>）</w:t>
      </w:r>
      <w:r>
        <w:rPr>
          <w:rFonts w:hint="eastAsia" w:ascii="楷体_GB2312" w:hAnsi="楷体_GB2312" w:eastAsia="楷体_GB2312" w:cs="楷体_GB2312"/>
          <w:b/>
          <w:bCs/>
          <w:spacing w:val="4"/>
          <w:sz w:val="32"/>
          <w:szCs w:val="32"/>
          <w:highlight w:val="none"/>
          <w:lang w:val="en-US" w:eastAsia="zh-CN"/>
        </w:rPr>
        <w:t>2023年预算收支情况</w:t>
      </w:r>
    </w:p>
    <w:p w14:paraId="0ED0485C">
      <w:pPr>
        <w:keepNext w:val="0"/>
        <w:keepLines w:val="0"/>
        <w:pageBreakBefore w:val="0"/>
        <w:widowControl w:val="0"/>
        <w:numPr>
          <w:ilvl w:val="0"/>
          <w:numId w:val="0"/>
        </w:numPr>
        <w:kinsoku/>
        <w:wordWrap/>
        <w:overflowPunct/>
        <w:topLinePunct/>
        <w:autoSpaceDE w:val="0"/>
        <w:autoSpaceDN w:val="0"/>
        <w:bidi w:val="0"/>
        <w:adjustRightInd w:val="0"/>
        <w:snapToGrid w:val="0"/>
        <w:spacing w:line="560" w:lineRule="exact"/>
        <w:ind w:right="0" w:rightChars="0" w:firstLine="663" w:firstLineChars="200"/>
        <w:jc w:val="both"/>
        <w:textAlignment w:val="baseline"/>
        <w:outlineLvl w:val="0"/>
        <w:rPr>
          <w:rFonts w:hint="eastAsia" w:ascii="仿宋_GB2312" w:hAnsi="仿宋_GB2312" w:eastAsia="仿宋_GB2312" w:cs="仿宋_GB2312"/>
          <w:spacing w:val="13"/>
          <w:sz w:val="32"/>
          <w:szCs w:val="32"/>
          <w:highlight w:val="none"/>
        </w:rPr>
      </w:pPr>
      <w:r>
        <w:rPr>
          <w:rFonts w:hint="eastAsia" w:ascii="仿宋_GB2312" w:hAnsi="仿宋_GB2312" w:eastAsia="仿宋_GB2312" w:cs="仿宋_GB2312"/>
          <w:b/>
          <w:bCs/>
          <w:spacing w:val="5"/>
          <w:sz w:val="32"/>
          <w:szCs w:val="32"/>
          <w:highlight w:val="none"/>
          <w:lang w:val="en-US" w:eastAsia="zh-CN"/>
        </w:rPr>
        <w:t>1.一般公共预算</w:t>
      </w:r>
    </w:p>
    <w:p w14:paraId="74D00195">
      <w:pPr>
        <w:keepNext w:val="0"/>
        <w:keepLines w:val="0"/>
        <w:pageBreakBefore w:val="0"/>
        <w:widowControl w:val="0"/>
        <w:numPr>
          <w:ilvl w:val="0"/>
          <w:numId w:val="0"/>
        </w:numPr>
        <w:kinsoku/>
        <w:wordWrap/>
        <w:overflowPunct/>
        <w:topLinePunct/>
        <w:autoSpaceDE w:val="0"/>
        <w:autoSpaceDN w:val="0"/>
        <w:bidi w:val="0"/>
        <w:adjustRightInd w:val="0"/>
        <w:snapToGrid w:val="0"/>
        <w:spacing w:line="560" w:lineRule="exact"/>
        <w:ind w:right="0" w:rightChars="0" w:firstLine="692" w:firstLineChars="200"/>
        <w:jc w:val="both"/>
        <w:textAlignment w:val="baseline"/>
        <w:outlineLvl w:val="0"/>
        <w:rPr>
          <w:rFonts w:hint="eastAsia" w:ascii="仿宋_GB2312" w:hAnsi="仿宋_GB2312" w:eastAsia="仿宋_GB2312" w:cs="仿宋_GB2312"/>
          <w:spacing w:val="13"/>
          <w:sz w:val="32"/>
          <w:szCs w:val="32"/>
          <w:highlight w:val="none"/>
        </w:rPr>
      </w:pPr>
      <w:r>
        <w:rPr>
          <w:rFonts w:hint="eastAsia" w:ascii="仿宋_GB2312" w:hAnsi="仿宋_GB2312" w:eastAsia="仿宋_GB2312" w:cs="仿宋_GB2312"/>
          <w:spacing w:val="13"/>
          <w:sz w:val="32"/>
          <w:szCs w:val="32"/>
          <w:highlight w:val="none"/>
          <w:lang w:val="en-US" w:eastAsia="zh-CN"/>
        </w:rPr>
        <w:t>2023</w:t>
      </w:r>
      <w:r>
        <w:rPr>
          <w:rFonts w:hint="eastAsia" w:ascii="仿宋_GB2312" w:hAnsi="仿宋_GB2312" w:eastAsia="仿宋_GB2312" w:cs="仿宋_GB2312"/>
          <w:spacing w:val="13"/>
          <w:sz w:val="32"/>
          <w:szCs w:val="32"/>
          <w:highlight w:val="none"/>
        </w:rPr>
        <w:t>年，全县一般公共预算收入</w:t>
      </w:r>
      <w:r>
        <w:rPr>
          <w:rFonts w:hint="eastAsia" w:ascii="仿宋_GB2312" w:hAnsi="仿宋_GB2312" w:eastAsia="仿宋_GB2312" w:cs="仿宋_GB2312"/>
          <w:spacing w:val="13"/>
          <w:sz w:val="32"/>
          <w:szCs w:val="32"/>
          <w:highlight w:val="none"/>
          <w:lang w:val="en-US" w:eastAsia="zh-CN"/>
        </w:rPr>
        <w:t>完成15.6亿元</w:t>
      </w:r>
      <w:r>
        <w:rPr>
          <w:rFonts w:hint="eastAsia" w:ascii="仿宋_GB2312" w:hAnsi="仿宋_GB2312" w:eastAsia="仿宋_GB2312" w:cs="仿宋_GB2312"/>
          <w:spacing w:val="13"/>
          <w:sz w:val="32"/>
          <w:szCs w:val="32"/>
          <w:highlight w:val="none"/>
        </w:rPr>
        <w:t>，</w:t>
      </w:r>
      <w:r>
        <w:rPr>
          <w:rFonts w:hint="eastAsia" w:ascii="仿宋_GB2312" w:hAnsi="仿宋_GB2312" w:eastAsia="仿宋_GB2312" w:cs="仿宋_GB2312"/>
          <w:spacing w:val="13"/>
          <w:sz w:val="32"/>
          <w:szCs w:val="32"/>
          <w:highlight w:val="none"/>
          <w:lang w:val="en-US" w:eastAsia="zh-CN"/>
        </w:rPr>
        <w:t>同比</w:t>
      </w:r>
      <w:r>
        <w:rPr>
          <w:rFonts w:hint="eastAsia" w:ascii="仿宋_GB2312" w:hAnsi="仿宋_GB2312" w:eastAsia="仿宋_GB2312" w:cs="仿宋_GB2312"/>
          <w:spacing w:val="13"/>
          <w:sz w:val="32"/>
          <w:szCs w:val="32"/>
          <w:highlight w:val="none"/>
        </w:rPr>
        <w:t>增长</w:t>
      </w:r>
      <w:r>
        <w:rPr>
          <w:rFonts w:hint="eastAsia" w:ascii="仿宋_GB2312" w:hAnsi="仿宋_GB2312" w:eastAsia="仿宋_GB2312" w:cs="仿宋_GB2312"/>
          <w:spacing w:val="13"/>
          <w:sz w:val="32"/>
          <w:szCs w:val="32"/>
          <w:highlight w:val="none"/>
          <w:lang w:val="en-US" w:eastAsia="zh-CN"/>
        </w:rPr>
        <w:t>14.1</w:t>
      </w:r>
      <w:r>
        <w:rPr>
          <w:rFonts w:hint="eastAsia" w:ascii="仿宋_GB2312" w:hAnsi="仿宋_GB2312" w:eastAsia="仿宋_GB2312" w:cs="仿宋_GB2312"/>
          <w:spacing w:val="13"/>
          <w:sz w:val="32"/>
          <w:szCs w:val="32"/>
          <w:highlight w:val="none"/>
        </w:rPr>
        <w:t>%</w:t>
      </w:r>
      <w:r>
        <w:rPr>
          <w:rFonts w:hint="eastAsia" w:ascii="仿宋_GB2312" w:hAnsi="仿宋_GB2312" w:eastAsia="仿宋_GB2312" w:cs="仿宋_GB2312"/>
          <w:spacing w:val="13"/>
          <w:sz w:val="32"/>
          <w:szCs w:val="32"/>
          <w:highlight w:val="none"/>
          <w:lang w:eastAsia="zh-CN"/>
        </w:rPr>
        <w:t>，</w:t>
      </w:r>
      <w:r>
        <w:rPr>
          <w:rFonts w:hint="eastAsia" w:ascii="仿宋_GB2312" w:hAnsi="仿宋_GB2312" w:eastAsia="仿宋_GB2312" w:cs="仿宋_GB2312"/>
          <w:spacing w:val="13"/>
          <w:sz w:val="32"/>
          <w:szCs w:val="32"/>
          <w:highlight w:val="none"/>
          <w:lang w:val="en-US" w:eastAsia="zh-CN"/>
        </w:rPr>
        <w:t>位居全市第七位</w:t>
      </w:r>
      <w:r>
        <w:rPr>
          <w:rFonts w:hint="eastAsia" w:ascii="仿宋_GB2312" w:hAnsi="仿宋_GB2312" w:eastAsia="仿宋_GB2312" w:cs="仿宋_GB2312"/>
          <w:spacing w:val="13"/>
          <w:sz w:val="32"/>
          <w:szCs w:val="32"/>
          <w:highlight w:val="none"/>
          <w:lang w:eastAsia="zh-CN"/>
        </w:rPr>
        <w:t>。其中：税收收入完成</w:t>
      </w:r>
      <w:r>
        <w:rPr>
          <w:rFonts w:hint="eastAsia" w:ascii="仿宋_GB2312" w:hAnsi="仿宋_GB2312" w:eastAsia="仿宋_GB2312" w:cs="仿宋_GB2312"/>
          <w:spacing w:val="13"/>
          <w:sz w:val="32"/>
          <w:szCs w:val="32"/>
          <w:highlight w:val="none"/>
          <w:lang w:val="en-US" w:eastAsia="zh-CN"/>
        </w:rPr>
        <w:t>10.5亿元，同比</w:t>
      </w:r>
      <w:r>
        <w:rPr>
          <w:rFonts w:hint="eastAsia" w:ascii="仿宋_GB2312" w:hAnsi="仿宋_GB2312" w:eastAsia="仿宋_GB2312" w:cs="仿宋_GB2312"/>
          <w:spacing w:val="13"/>
          <w:sz w:val="32"/>
          <w:szCs w:val="32"/>
          <w:highlight w:val="none"/>
        </w:rPr>
        <w:t>增长</w:t>
      </w:r>
      <w:r>
        <w:rPr>
          <w:rFonts w:hint="eastAsia" w:ascii="仿宋_GB2312" w:hAnsi="仿宋_GB2312" w:eastAsia="仿宋_GB2312" w:cs="仿宋_GB2312"/>
          <w:spacing w:val="13"/>
          <w:sz w:val="32"/>
          <w:szCs w:val="32"/>
          <w:highlight w:val="none"/>
          <w:lang w:val="en-US" w:eastAsia="zh-CN"/>
        </w:rPr>
        <w:t>11.7%；</w:t>
      </w:r>
      <w:r>
        <w:rPr>
          <w:rFonts w:hint="eastAsia" w:ascii="仿宋_GB2312" w:hAnsi="仿宋_GB2312" w:eastAsia="仿宋_GB2312" w:cs="仿宋_GB2312"/>
          <w:spacing w:val="13"/>
          <w:sz w:val="32"/>
          <w:szCs w:val="32"/>
          <w:highlight w:val="none"/>
        </w:rPr>
        <w:t>全县一般公共预算支出完成</w:t>
      </w:r>
      <w:r>
        <w:rPr>
          <w:rFonts w:hint="eastAsia" w:ascii="仿宋_GB2312" w:hAnsi="仿宋_GB2312" w:eastAsia="仿宋_GB2312" w:cs="仿宋_GB2312"/>
          <w:spacing w:val="13"/>
          <w:sz w:val="32"/>
          <w:szCs w:val="32"/>
          <w:highlight w:val="none"/>
          <w:lang w:val="en-US" w:eastAsia="zh-CN"/>
        </w:rPr>
        <w:t>35.47亿</w:t>
      </w:r>
      <w:r>
        <w:rPr>
          <w:rFonts w:hint="eastAsia" w:ascii="仿宋_GB2312" w:hAnsi="仿宋_GB2312" w:eastAsia="仿宋_GB2312" w:cs="仿宋_GB2312"/>
          <w:spacing w:val="13"/>
          <w:sz w:val="32"/>
          <w:szCs w:val="32"/>
          <w:highlight w:val="none"/>
        </w:rPr>
        <w:t>元，</w:t>
      </w:r>
      <w:r>
        <w:rPr>
          <w:rFonts w:hint="eastAsia" w:ascii="仿宋_GB2312" w:hAnsi="仿宋_GB2312" w:eastAsia="仿宋_GB2312" w:cs="仿宋_GB2312"/>
          <w:spacing w:val="13"/>
          <w:sz w:val="32"/>
          <w:szCs w:val="32"/>
          <w:highlight w:val="none"/>
          <w:lang w:val="en-US" w:eastAsia="zh-CN"/>
        </w:rPr>
        <w:t>同比</w:t>
      </w:r>
      <w:r>
        <w:rPr>
          <w:rFonts w:hint="eastAsia" w:ascii="仿宋_GB2312" w:hAnsi="仿宋_GB2312" w:eastAsia="仿宋_GB2312" w:cs="仿宋_GB2312"/>
          <w:spacing w:val="13"/>
          <w:sz w:val="32"/>
          <w:szCs w:val="32"/>
          <w:highlight w:val="none"/>
        </w:rPr>
        <w:t>增长</w:t>
      </w:r>
      <w:r>
        <w:rPr>
          <w:rFonts w:hint="eastAsia" w:ascii="仿宋_GB2312" w:hAnsi="仿宋_GB2312" w:eastAsia="仿宋_GB2312" w:cs="仿宋_GB2312"/>
          <w:spacing w:val="13"/>
          <w:sz w:val="32"/>
          <w:szCs w:val="32"/>
          <w:highlight w:val="none"/>
          <w:lang w:val="en-US" w:eastAsia="zh-CN"/>
        </w:rPr>
        <w:t>10</w:t>
      </w:r>
      <w:r>
        <w:rPr>
          <w:rFonts w:hint="eastAsia" w:ascii="仿宋_GB2312" w:hAnsi="仿宋_GB2312" w:eastAsia="仿宋_GB2312" w:cs="仿宋_GB2312"/>
          <w:spacing w:val="13"/>
          <w:sz w:val="32"/>
          <w:szCs w:val="32"/>
          <w:highlight w:val="none"/>
        </w:rPr>
        <w:t>%</w:t>
      </w:r>
      <w:r>
        <w:rPr>
          <w:rFonts w:hint="eastAsia" w:ascii="仿宋_GB2312" w:hAnsi="仿宋_GB2312" w:eastAsia="仿宋_GB2312" w:cs="仿宋_GB2312"/>
          <w:spacing w:val="13"/>
          <w:sz w:val="32"/>
          <w:szCs w:val="32"/>
          <w:highlight w:val="none"/>
          <w:lang w:eastAsia="zh-CN"/>
        </w:rPr>
        <w:t>，</w:t>
      </w:r>
      <w:r>
        <w:rPr>
          <w:rFonts w:hint="eastAsia" w:ascii="仿宋_GB2312" w:hAnsi="仿宋_GB2312" w:eastAsia="仿宋_GB2312" w:cs="仿宋_GB2312"/>
          <w:spacing w:val="13"/>
          <w:sz w:val="32"/>
          <w:szCs w:val="32"/>
          <w:highlight w:val="none"/>
          <w:lang w:val="en-US" w:eastAsia="zh-CN"/>
        </w:rPr>
        <w:t>位居全市第四位。</w:t>
      </w:r>
    </w:p>
    <w:p w14:paraId="0A165039">
      <w:pPr>
        <w:keepNext w:val="0"/>
        <w:keepLines w:val="0"/>
        <w:pageBreakBefore w:val="0"/>
        <w:kinsoku/>
        <w:wordWrap/>
        <w:topLinePunct/>
        <w:bidi w:val="0"/>
        <w:snapToGrid w:val="0"/>
        <w:spacing w:line="560" w:lineRule="exact"/>
        <w:ind w:left="0" w:right="0" w:firstLine="663" w:firstLineChars="200"/>
        <w:jc w:val="both"/>
        <w:outlineLvl w:val="0"/>
        <w:rPr>
          <w:rFonts w:hint="eastAsia" w:ascii="仿宋_GB2312" w:hAnsi="仿宋_GB2312" w:eastAsia="仿宋_GB2312" w:cs="仿宋_GB2312"/>
          <w:b/>
          <w:bCs/>
          <w:spacing w:val="5"/>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2.政府性基金预算</w:t>
      </w:r>
    </w:p>
    <w:p w14:paraId="18A41C1C">
      <w:pPr>
        <w:keepNext w:val="0"/>
        <w:keepLines w:val="0"/>
        <w:pageBreakBefore w:val="0"/>
        <w:kinsoku/>
        <w:wordWrap/>
        <w:topLinePunct/>
        <w:bidi w:val="0"/>
        <w:snapToGrid w:val="0"/>
        <w:spacing w:line="560" w:lineRule="exact"/>
        <w:ind w:left="0" w:right="0" w:firstLine="692" w:firstLineChars="200"/>
        <w:jc w:val="both"/>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2023年全县政府性基金预算收入完成4.78亿元，下降58%。政府性基金预算支出完成12.22亿元，下降54%。</w:t>
      </w:r>
    </w:p>
    <w:p w14:paraId="70A0C39F">
      <w:pPr>
        <w:keepNext w:val="0"/>
        <w:keepLines w:val="0"/>
        <w:pageBreakBefore w:val="0"/>
        <w:kinsoku/>
        <w:wordWrap/>
        <w:topLinePunct/>
        <w:bidi w:val="0"/>
        <w:snapToGrid w:val="0"/>
        <w:spacing w:line="560" w:lineRule="exact"/>
        <w:ind w:left="0" w:right="0" w:firstLine="663" w:firstLineChars="200"/>
        <w:jc w:val="both"/>
        <w:outlineLvl w:val="0"/>
        <w:rPr>
          <w:rFonts w:hint="eastAsia" w:ascii="仿宋_GB2312" w:hAnsi="仿宋_GB2312" w:eastAsia="仿宋_GB2312" w:cs="仿宋_GB2312"/>
          <w:b/>
          <w:bCs/>
          <w:spacing w:val="5"/>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3.国有资本经营预算</w:t>
      </w:r>
    </w:p>
    <w:p w14:paraId="0BC804F8">
      <w:pPr>
        <w:keepNext w:val="0"/>
        <w:keepLines w:val="0"/>
        <w:pageBreakBefore w:val="0"/>
        <w:kinsoku/>
        <w:wordWrap/>
        <w:topLinePunct/>
        <w:bidi w:val="0"/>
        <w:snapToGrid w:val="0"/>
        <w:spacing w:line="560" w:lineRule="exact"/>
        <w:ind w:left="0" w:right="0" w:firstLine="692" w:firstLineChars="200"/>
        <w:jc w:val="both"/>
        <w:rPr>
          <w:rFonts w:hint="default"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2023年全县国有资本经营预算收入完成1177万元。国有资本经营预算支出130万元。</w:t>
      </w:r>
    </w:p>
    <w:p w14:paraId="0C68B089">
      <w:pPr>
        <w:keepNext w:val="0"/>
        <w:keepLines w:val="0"/>
        <w:pageBreakBefore w:val="0"/>
        <w:kinsoku/>
        <w:wordWrap/>
        <w:topLinePunct/>
        <w:bidi w:val="0"/>
        <w:snapToGrid w:val="0"/>
        <w:spacing w:line="560" w:lineRule="exact"/>
        <w:ind w:left="0" w:right="0" w:firstLine="663" w:firstLineChars="200"/>
        <w:jc w:val="both"/>
        <w:outlineLvl w:val="0"/>
        <w:rPr>
          <w:rFonts w:hint="eastAsia" w:ascii="仿宋_GB2312" w:hAnsi="仿宋_GB2312" w:eastAsia="仿宋_GB2312" w:cs="仿宋_GB2312"/>
          <w:b/>
          <w:bCs/>
          <w:spacing w:val="5"/>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4.社会保险基金预算</w:t>
      </w:r>
    </w:p>
    <w:p w14:paraId="6919CBFB">
      <w:pPr>
        <w:keepNext w:val="0"/>
        <w:keepLines w:val="0"/>
        <w:pageBreakBefore w:val="0"/>
        <w:kinsoku/>
        <w:wordWrap/>
        <w:topLinePunct/>
        <w:bidi w:val="0"/>
        <w:snapToGrid w:val="0"/>
        <w:spacing w:line="560" w:lineRule="exact"/>
        <w:ind w:left="0" w:right="0" w:firstLine="692" w:firstLineChars="200"/>
        <w:jc w:val="both"/>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2023年全县社会保险基金预算收入完成4.66亿元。社会保险基金预算支出完成4.12亿元。</w:t>
      </w:r>
    </w:p>
    <w:p w14:paraId="16D9FDB0">
      <w:pPr>
        <w:keepNext w:val="0"/>
        <w:keepLines w:val="0"/>
        <w:pageBreakBefore w:val="0"/>
        <w:kinsoku/>
        <w:wordWrap/>
        <w:topLinePunct/>
        <w:bidi w:val="0"/>
        <w:snapToGrid w:val="0"/>
        <w:spacing w:line="560" w:lineRule="exact"/>
        <w:ind w:left="0" w:right="0" w:firstLine="659" w:firstLineChars="200"/>
        <w:jc w:val="both"/>
        <w:outlineLvl w:val="0"/>
        <w:rPr>
          <w:rFonts w:hint="eastAsia" w:ascii="楷体_GB2312" w:hAnsi="楷体_GB2312" w:eastAsia="楷体_GB2312" w:cs="楷体_GB2312"/>
          <w:b/>
          <w:bCs/>
          <w:spacing w:val="4"/>
          <w:sz w:val="32"/>
          <w:szCs w:val="32"/>
          <w:highlight w:val="none"/>
          <w:lang w:val="en-US" w:eastAsia="zh-CN"/>
        </w:rPr>
      </w:pPr>
      <w:r>
        <w:rPr>
          <w:rFonts w:hint="eastAsia" w:ascii="楷体_GB2312" w:hAnsi="楷体_GB2312" w:eastAsia="楷体_GB2312" w:cs="楷体_GB2312"/>
          <w:b/>
          <w:bCs/>
          <w:spacing w:val="4"/>
          <w:sz w:val="32"/>
          <w:szCs w:val="32"/>
          <w:highlight w:val="none"/>
          <w:lang w:val="en-US" w:eastAsia="zh-CN"/>
        </w:rPr>
        <w:t>（二）政府债务情况</w:t>
      </w:r>
    </w:p>
    <w:p w14:paraId="4B668AA1">
      <w:pPr>
        <w:keepNext w:val="0"/>
        <w:keepLines w:val="0"/>
        <w:pageBreakBefore w:val="0"/>
        <w:kinsoku/>
        <w:wordWrap/>
        <w:topLinePunct/>
        <w:bidi w:val="0"/>
        <w:snapToGrid w:val="0"/>
        <w:spacing w:line="560" w:lineRule="exact"/>
        <w:ind w:left="0" w:right="0" w:firstLine="692" w:firstLineChars="200"/>
        <w:jc w:val="both"/>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省财政厅核定我县2023年底政府债务限额59.04亿元,其中：一般债务限额15.62亿元,专项债务限额43.42亿元。截至2023年底，全县政府债务余额54.31亿元，其中：一般债务余额11.06亿元，专项债务余额43.25亿元。目前，我县债务率为78.89%,低于120%黄色警戒线，为无风险的绿色等级，全县政府性债务风险总体可控。</w:t>
      </w:r>
    </w:p>
    <w:p w14:paraId="5338D5FA">
      <w:pPr>
        <w:keepNext w:val="0"/>
        <w:keepLines w:val="0"/>
        <w:pageBreakBefore w:val="0"/>
        <w:kinsoku/>
        <w:wordWrap/>
        <w:topLinePunct/>
        <w:bidi w:val="0"/>
        <w:snapToGrid w:val="0"/>
        <w:spacing w:line="560" w:lineRule="exact"/>
        <w:ind w:left="0" w:right="0" w:firstLine="659" w:firstLineChars="200"/>
        <w:jc w:val="both"/>
        <w:outlineLvl w:val="0"/>
        <w:rPr>
          <w:rFonts w:hint="eastAsia" w:ascii="楷体_GB2312" w:hAnsi="楷体_GB2312" w:eastAsia="楷体_GB2312" w:cs="楷体_GB2312"/>
          <w:b/>
          <w:bCs/>
          <w:spacing w:val="4"/>
          <w:sz w:val="32"/>
          <w:szCs w:val="32"/>
          <w:highlight w:val="none"/>
          <w:lang w:eastAsia="zh-CN"/>
        </w:rPr>
      </w:pPr>
      <w:r>
        <w:rPr>
          <w:rFonts w:hint="eastAsia" w:ascii="楷体_GB2312" w:hAnsi="楷体_GB2312" w:eastAsia="楷体_GB2312" w:cs="楷体_GB2312"/>
          <w:b/>
          <w:bCs/>
          <w:spacing w:val="4"/>
          <w:sz w:val="32"/>
          <w:szCs w:val="32"/>
          <w:highlight w:val="none"/>
          <w:lang w:eastAsia="zh-CN"/>
        </w:rPr>
        <w:t>(三)落实县人大决议和财政工作情况</w:t>
      </w:r>
    </w:p>
    <w:p w14:paraId="38F2BA53">
      <w:pPr>
        <w:keepNext w:val="0"/>
        <w:keepLines w:val="0"/>
        <w:pageBreakBefore w:val="0"/>
        <w:widowControl w:val="0"/>
        <w:kinsoku/>
        <w:wordWrap/>
        <w:overflowPunct/>
        <w:topLinePunct w:val="0"/>
        <w:autoSpaceDE/>
        <w:autoSpaceDN/>
        <w:bidi w:val="0"/>
        <w:adjustRightInd/>
        <w:snapToGrid/>
        <w:spacing w:line="560" w:lineRule="exact"/>
        <w:ind w:firstLine="63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12"/>
          <w:sz w:val="32"/>
          <w:szCs w:val="32"/>
          <w:highlight w:val="none"/>
        </w:rPr>
        <w:t>一年来，财政部门</w:t>
      </w:r>
      <w:r>
        <w:rPr>
          <w:rFonts w:hint="eastAsia" w:ascii="仿宋_GB2312" w:hAnsi="仿宋_GB2312" w:eastAsia="仿宋_GB2312" w:cs="仿宋_GB2312"/>
          <w:color w:val="auto"/>
          <w:spacing w:val="0"/>
          <w:sz w:val="32"/>
          <w:szCs w:val="32"/>
          <w:highlight w:val="none"/>
          <w:lang w:val="en-US" w:eastAsia="zh-CN"/>
        </w:rPr>
        <w:t>始终</w:t>
      </w:r>
      <w:r>
        <w:rPr>
          <w:rFonts w:hint="eastAsia" w:ascii="仿宋_GB2312" w:hAnsi="仿宋_GB2312" w:eastAsia="仿宋_GB2312" w:cs="仿宋_GB2312"/>
          <w:spacing w:val="0"/>
          <w:sz w:val="32"/>
          <w:szCs w:val="32"/>
          <w:highlight w:val="none"/>
          <w:lang w:eastAsia="zh-CN"/>
        </w:rPr>
        <w:t>紧扣高质量发展主题，</w:t>
      </w:r>
      <w:r>
        <w:rPr>
          <w:rFonts w:hint="eastAsia" w:ascii="仿宋_GB2312" w:hAnsi="仿宋_GB2312" w:eastAsia="仿宋_GB2312" w:cs="仿宋_GB2312"/>
          <w:sz w:val="32"/>
          <w:szCs w:val="32"/>
          <w:highlight w:val="none"/>
          <w:lang w:val="en-US" w:eastAsia="zh-CN"/>
        </w:rPr>
        <w:t>认真落实“紧日子保基本、调结构保战略”工作思路</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全面</w:t>
      </w:r>
      <w:r>
        <w:rPr>
          <w:rFonts w:hint="eastAsia" w:ascii="仿宋_GB2312" w:hAnsi="仿宋_GB2312" w:eastAsia="仿宋_GB2312" w:cs="仿宋_GB2312"/>
          <w:sz w:val="32"/>
          <w:szCs w:val="32"/>
          <w:highlight w:val="none"/>
        </w:rPr>
        <w:t>贯彻“积极的财政政策要</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适度加力、提质增效</w:t>
      </w:r>
      <w:r>
        <w:rPr>
          <w:rFonts w:hint="eastAsia" w:ascii="仿宋_GB2312" w:hAnsi="仿宋_GB2312" w:eastAsia="仿宋_GB2312" w:cs="仿宋_GB2312"/>
          <w:sz w:val="32"/>
          <w:szCs w:val="32"/>
          <w:highlight w:val="none"/>
        </w:rPr>
        <w:t>”的要求，</w:t>
      </w:r>
      <w:r>
        <w:rPr>
          <w:rFonts w:hint="eastAsia" w:ascii="仿宋_GB2312" w:hAnsi="仿宋_GB2312" w:eastAsia="仿宋_GB2312" w:cs="仿宋_GB2312"/>
          <w:spacing w:val="10"/>
          <w:sz w:val="32"/>
          <w:szCs w:val="32"/>
          <w:highlight w:val="none"/>
          <w:lang w:val="en-US" w:eastAsia="zh-CN"/>
        </w:rPr>
        <w:t>推动县委、县政府决策部署条条落</w:t>
      </w:r>
      <w:r>
        <w:rPr>
          <w:rFonts w:hint="eastAsia" w:ascii="仿宋_GB2312" w:hAnsi="仿宋_GB2312" w:eastAsia="仿宋_GB2312" w:cs="仿宋_GB2312"/>
          <w:sz w:val="32"/>
          <w:szCs w:val="32"/>
          <w:highlight w:val="none"/>
          <w:lang w:val="en-US" w:eastAsia="zh-CN"/>
        </w:rPr>
        <w:t>实、事事见效，财政工作取得了一定成效。</w:t>
      </w:r>
    </w:p>
    <w:p w14:paraId="05606032">
      <w:pPr>
        <w:keepNext w:val="0"/>
        <w:keepLines w:val="0"/>
        <w:pageBreakBefore w:val="0"/>
        <w:numPr>
          <w:ilvl w:val="0"/>
          <w:numId w:val="0"/>
        </w:numPr>
        <w:kinsoku/>
        <w:wordWrap/>
        <w:topLinePunct/>
        <w:bidi w:val="0"/>
        <w:adjustRightInd w:val="0"/>
        <w:snapToGrid w:val="0"/>
        <w:spacing w:line="560" w:lineRule="exact"/>
        <w:ind w:right="0" w:rightChars="0" w:firstLine="663"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1.用足用好财政工具，加强财政资源统筹。</w:t>
      </w:r>
      <w:r>
        <w:rPr>
          <w:rFonts w:hint="eastAsia" w:ascii="仿宋_GB2312" w:hAnsi="仿宋_GB2312" w:eastAsia="仿宋_GB2312" w:cs="仿宋_GB2312"/>
          <w:b w:val="0"/>
          <w:bCs w:val="0"/>
          <w:sz w:val="32"/>
          <w:szCs w:val="32"/>
          <w:highlight w:val="none"/>
          <w:lang w:val="en-US" w:eastAsia="zh-CN"/>
        </w:rPr>
        <w:t>面对当前财政收支压力更加突出的严峻形势，我们紧紧围绕收入目标，强力推进开源节流，千方百计纾解财政矛盾，通过深挖增收潜力、积极向上争取资金、用好政府债券等措施，不断增强我县财政保障能力。</w:t>
      </w:r>
    </w:p>
    <w:p w14:paraId="36A37131">
      <w:pPr>
        <w:pStyle w:val="2"/>
        <w:keepNext w:val="0"/>
        <w:keepLines w:val="0"/>
        <w:pageBreakBefore w:val="0"/>
        <w:kinsoku/>
        <w:wordWrap/>
        <w:topLinePunct/>
        <w:bidi w:val="0"/>
        <w:adjustRightInd w:val="0"/>
        <w:snapToGrid w:val="0"/>
        <w:spacing w:after="0" w:line="560" w:lineRule="exact"/>
        <w:ind w:left="0" w:right="0" w:firstLine="640" w:firstLineChars="200"/>
        <w:jc w:val="both"/>
        <w:rPr>
          <w:rFonts w:hint="eastAsia" w:ascii="仿宋_GB2312" w:hAnsi="仿宋_GB2312" w:eastAsia="仿宋_GB2312" w:cs="仿宋_GB2312"/>
          <w:b w:val="0"/>
          <w:bCs w:val="0"/>
          <w:snapToGrid w:val="0"/>
          <w:color w:val="000000"/>
          <w:kern w:val="0"/>
          <w:sz w:val="32"/>
          <w:szCs w:val="32"/>
          <w:highlight w:val="none"/>
          <w:lang w:val="en-US" w:eastAsia="zh-CN"/>
        </w:rPr>
      </w:pPr>
      <w:r>
        <w:rPr>
          <w:rFonts w:hint="eastAsia" w:ascii="仿宋_GB2312" w:hAnsi="仿宋_GB2312" w:eastAsia="仿宋_GB2312" w:cs="仿宋_GB2312"/>
          <w:b w:val="0"/>
          <w:bCs w:val="0"/>
          <w:snapToGrid w:val="0"/>
          <w:color w:val="000000"/>
          <w:kern w:val="0"/>
          <w:sz w:val="32"/>
          <w:szCs w:val="32"/>
          <w:highlight w:val="none"/>
          <w:lang w:val="en-US" w:eastAsia="zh-CN"/>
        </w:rPr>
        <w:t>持续做好税收收入征管。健全税收保障机制，依法推进综合治税，用好涉税信息共享平台，加大涉税信息收集力度，夯实基础数据，做好分析比对，充分挖掘税收增长潜力，2023年，对全县自然资源、建筑施工、房地产等行业开展纳税环境整治，通过综合治税实现全口径税收入库2.3亿元。</w:t>
      </w:r>
    </w:p>
    <w:p w14:paraId="5B55D0E5">
      <w:pPr>
        <w:keepNext w:val="0"/>
        <w:keepLines w:val="0"/>
        <w:pageBreakBefore w:val="0"/>
        <w:kinsoku/>
        <w:wordWrap/>
        <w:topLinePunct/>
        <w:bidi w:val="0"/>
        <w:snapToGrid w:val="0"/>
        <w:spacing w:line="560" w:lineRule="exact"/>
        <w:ind w:left="0" w:right="0" w:firstLine="640" w:firstLineChars="200"/>
        <w:jc w:val="both"/>
        <w:rPr>
          <w:rFonts w:hint="eastAsia" w:ascii="仿宋_GB2312" w:hAnsi="仿宋_GB2312" w:eastAsia="仿宋_GB2312" w:cs="仿宋_GB2312"/>
          <w:color w:val="0070C0"/>
          <w:kern w:val="2"/>
          <w:sz w:val="32"/>
          <w:szCs w:val="32"/>
          <w:highlight w:val="none"/>
          <w:lang w:val="en-US" w:eastAsia="zh-CN" w:bidi="ar"/>
        </w:rPr>
      </w:pPr>
      <w:r>
        <w:rPr>
          <w:rFonts w:hint="eastAsia" w:ascii="仿宋_GB2312" w:hAnsi="仿宋_GB2312" w:eastAsia="仿宋_GB2312" w:cs="仿宋_GB2312"/>
          <w:b w:val="0"/>
          <w:bCs w:val="0"/>
          <w:snapToGrid w:val="0"/>
          <w:color w:val="000000"/>
          <w:kern w:val="0"/>
          <w:sz w:val="32"/>
          <w:szCs w:val="32"/>
          <w:highlight w:val="none"/>
          <w:lang w:val="en-US" w:eastAsia="zh-CN"/>
        </w:rPr>
        <w:t>积极争取转移支付资金。深入分析研究中央、省市政策资金扶持方向，突出我县优势特点，落实部门联动机制，寻求资金突破口，全力争取上级转移支付资金</w:t>
      </w:r>
      <w:r>
        <w:rPr>
          <w:rFonts w:hint="eastAsia" w:ascii="仿宋_GB2312" w:hAnsi="仿宋_GB2312" w:eastAsia="仿宋_GB2312" w:cs="仿宋_GB2312"/>
          <w:color w:val="auto"/>
          <w:kern w:val="2"/>
          <w:sz w:val="32"/>
          <w:szCs w:val="32"/>
          <w:highlight w:val="none"/>
          <w:lang w:val="en-US" w:eastAsia="zh-CN" w:bidi="ar"/>
        </w:rPr>
        <w:t>。全年争取上级财政转移支付资金27.79亿元，有效提高财政保障能力。</w:t>
      </w:r>
      <w:r>
        <w:rPr>
          <w:rFonts w:hint="eastAsia" w:ascii="仿宋_GB2312" w:hAnsi="仿宋_GB2312" w:eastAsia="仿宋_GB2312" w:cs="仿宋_GB2312"/>
          <w:color w:val="5B9BD5" w:themeColor="accent1"/>
          <w:kern w:val="2"/>
          <w:sz w:val="32"/>
          <w:szCs w:val="32"/>
          <w:highlight w:val="none"/>
          <w:lang w:val="en-US" w:eastAsia="zh-CN" w:bidi="ar"/>
          <w14:textFill>
            <w14:solidFill>
              <w14:schemeClr w14:val="accent1"/>
            </w14:solidFill>
          </w14:textFill>
        </w:rPr>
        <w:t xml:space="preserve"> </w:t>
      </w:r>
    </w:p>
    <w:p w14:paraId="641AC6B6">
      <w:pPr>
        <w:keepNext w:val="0"/>
        <w:keepLines w:val="0"/>
        <w:pageBreakBefore w:val="0"/>
        <w:kinsoku/>
        <w:wordWrap/>
        <w:topLinePunct/>
        <w:bidi w:val="0"/>
        <w:snapToGrid w:val="0"/>
        <w:spacing w:line="560" w:lineRule="exact"/>
        <w:ind w:left="0" w:right="0" w:firstLine="640" w:firstLineChars="200"/>
        <w:jc w:val="both"/>
        <w:rPr>
          <w:rFonts w:hint="eastAsia" w:ascii="仿宋_GB2312" w:hAnsi="仿宋_GB2312" w:eastAsia="仿宋_GB2312" w:cs="仿宋_GB2312"/>
          <w:b w:val="0"/>
          <w:bCs w:val="0"/>
          <w:snapToGrid w:val="0"/>
          <w:color w:val="000000"/>
          <w:kern w:val="0"/>
          <w:sz w:val="32"/>
          <w:szCs w:val="32"/>
          <w:highlight w:val="none"/>
          <w:lang w:val="en-US" w:eastAsia="zh-CN"/>
        </w:rPr>
      </w:pPr>
      <w:r>
        <w:rPr>
          <w:rFonts w:hint="eastAsia" w:ascii="仿宋_GB2312" w:hAnsi="仿宋_GB2312" w:eastAsia="仿宋_GB2312" w:cs="仿宋_GB2312"/>
          <w:b w:val="0"/>
          <w:bCs w:val="0"/>
          <w:snapToGrid w:val="0"/>
          <w:color w:val="000000"/>
          <w:kern w:val="0"/>
          <w:sz w:val="32"/>
          <w:szCs w:val="32"/>
          <w:highlight w:val="none"/>
          <w:lang w:val="en-US" w:eastAsia="zh-CN"/>
        </w:rPr>
        <w:t xml:space="preserve">用足用好政府债券资金。充分发挥专项债券强基础、补短板、惠民生、扩投资的积极作用，全县累计争取新增政府债券6.63亿元，其中，一般债券0.69亿元，专项债券5.94亿元，有效带动了社会投资，重点支持了产业园区、污水处理、医疗卫生等领域一大批项目的建设实施。 </w:t>
      </w:r>
    </w:p>
    <w:p w14:paraId="09E22FAE">
      <w:pPr>
        <w:keepNext w:val="0"/>
        <w:keepLines w:val="0"/>
        <w:pageBreakBefore w:val="0"/>
        <w:numPr>
          <w:ilvl w:val="0"/>
          <w:numId w:val="0"/>
        </w:numPr>
        <w:kinsoku/>
        <w:wordWrap/>
        <w:topLinePunct/>
        <w:bidi w:val="0"/>
        <w:adjustRightInd w:val="0"/>
        <w:snapToGrid w:val="0"/>
        <w:spacing w:line="560" w:lineRule="exact"/>
        <w:ind w:right="0" w:rightChars="0" w:firstLine="663"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2.多措并举精准施策，持续稳住经济大盘。</w:t>
      </w:r>
      <w:r>
        <w:rPr>
          <w:rFonts w:hint="eastAsia" w:ascii="仿宋_GB2312" w:hAnsi="仿宋_GB2312" w:eastAsia="仿宋_GB2312" w:cs="仿宋_GB2312"/>
          <w:b w:val="0"/>
          <w:bCs w:val="0"/>
          <w:snapToGrid w:val="0"/>
          <w:color w:val="auto"/>
          <w:kern w:val="0"/>
          <w:sz w:val="32"/>
          <w:szCs w:val="32"/>
          <w:highlight w:val="none"/>
          <w:lang w:val="en-US" w:eastAsia="zh-CN"/>
        </w:rPr>
        <w:t>发挥财政职能，提振市场主体信心</w:t>
      </w:r>
      <w:r>
        <w:rPr>
          <w:rFonts w:hint="eastAsia" w:ascii="仿宋_GB2312" w:hAnsi="仿宋_GB2312" w:eastAsia="仿宋_GB2312" w:cs="仿宋_GB2312"/>
          <w:sz w:val="32"/>
          <w:szCs w:val="40"/>
          <w:highlight w:val="none"/>
          <w:lang w:val="en-US" w:eastAsia="zh-CN"/>
        </w:rPr>
        <w:t>。全县新增减税降费及退税缓税缓费共计1.2亿元，其中留抵退税1643.8万元。全年</w:t>
      </w:r>
      <w:r>
        <w:rPr>
          <w:rFonts w:hint="eastAsia" w:ascii="仿宋_GB2312" w:hAnsi="仿宋_GB2312" w:eastAsia="仿宋_GB2312" w:cs="仿宋_GB2312"/>
          <w:sz w:val="32"/>
          <w:szCs w:val="32"/>
          <w:highlight w:val="none"/>
        </w:rPr>
        <w:t>共为9家企业提供5435万元过桥资金支持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40"/>
          <w:highlight w:val="none"/>
        </w:rPr>
        <w:t>帮助中小微企业</w:t>
      </w:r>
      <w:r>
        <w:rPr>
          <w:rFonts w:hint="eastAsia" w:ascii="仿宋_GB2312" w:hAnsi="仿宋_GB2312" w:eastAsia="仿宋_GB2312" w:cs="仿宋_GB2312"/>
          <w:sz w:val="32"/>
          <w:szCs w:val="40"/>
          <w:highlight w:val="none"/>
          <w:lang w:val="en-US" w:eastAsia="zh-CN"/>
        </w:rPr>
        <w:t>解决融资难</w:t>
      </w:r>
      <w:r>
        <w:rPr>
          <w:rFonts w:hint="eastAsia" w:ascii="仿宋_GB2312" w:hAnsi="仿宋_GB2312" w:eastAsia="仿宋_GB2312" w:cs="仿宋_GB2312"/>
          <w:sz w:val="32"/>
          <w:szCs w:val="40"/>
          <w:highlight w:val="none"/>
        </w:rPr>
        <w:t>问题</w:t>
      </w:r>
      <w:r>
        <w:rPr>
          <w:rFonts w:hint="eastAsia" w:ascii="仿宋_GB2312" w:hAnsi="仿宋_GB2312" w:eastAsia="仿宋_GB2312" w:cs="仿宋_GB2312"/>
          <w:sz w:val="32"/>
          <w:szCs w:val="32"/>
          <w:highlight w:val="none"/>
          <w:lang w:eastAsia="zh-CN"/>
        </w:rPr>
        <w:t>。年初为全县2.82万名登记在册的城乡低保对象、特困人员发放爱心消费券846万元，有力的保障了困难群众基本生活消费。</w:t>
      </w:r>
      <w:r>
        <w:rPr>
          <w:rFonts w:hint="eastAsia" w:ascii="仿宋_GB2312" w:hAnsi="仿宋_GB2312" w:eastAsia="仿宋_GB2312" w:cs="仿宋_GB2312"/>
          <w:sz w:val="32"/>
          <w:szCs w:val="32"/>
          <w:highlight w:val="none"/>
          <w:lang w:val="en-US" w:eastAsia="zh-CN"/>
        </w:rPr>
        <w:t xml:space="preserve"> </w:t>
      </w:r>
    </w:p>
    <w:p w14:paraId="3F587E26">
      <w:pPr>
        <w:keepNext w:val="0"/>
        <w:keepLines w:val="0"/>
        <w:pageBreakBefore w:val="0"/>
        <w:kinsoku/>
        <w:wordWrap/>
        <w:topLinePunct/>
        <w:bidi w:val="0"/>
        <w:adjustRightInd w:val="0"/>
        <w:snapToGrid w:val="0"/>
        <w:spacing w:line="560" w:lineRule="exact"/>
        <w:ind w:right="0" w:firstLine="640" w:firstLineChars="200"/>
        <w:jc w:val="both"/>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支持科技创新，有效推动产业转型。坚持创新驱动发展战</w:t>
      </w:r>
    </w:p>
    <w:p w14:paraId="4A9D7AEA">
      <w:pPr>
        <w:keepNext w:val="0"/>
        <w:keepLines w:val="0"/>
        <w:pageBreakBefore w:val="0"/>
        <w:kinsoku/>
        <w:wordWrap/>
        <w:topLinePunct/>
        <w:bidi w:val="0"/>
        <w:adjustRightInd w:val="0"/>
        <w:snapToGrid w:val="0"/>
        <w:spacing w:line="560" w:lineRule="exact"/>
        <w:ind w:right="0"/>
        <w:jc w:val="both"/>
        <w:rPr>
          <w:rFonts w:hint="eastAsia" w:ascii="仿宋_GB2312" w:hAnsi="仿宋_GB2312" w:eastAsia="仿宋_GB2312" w:cs="仿宋_GB2312"/>
          <w:b w:val="0"/>
          <w:bCs w:val="0"/>
          <w:snapToGrid w:val="0"/>
          <w:color w:val="0000FF"/>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略，持续强化科技投入，大力推进科技创新，助力产业发展水平持续提升，全县科技支出完成1250万元，同比增长23.88%。推动现代化产业体系建设，争取省级专项及规模以上工业企业满负荷生产奖励资金100万元，重点支持新一代信息技术融合、制造业技术改造和创新发展等重大项目，助推制造业高质量发展。</w:t>
      </w:r>
    </w:p>
    <w:p w14:paraId="2B5FAC5D">
      <w:pPr>
        <w:keepNext w:val="0"/>
        <w:keepLines w:val="0"/>
        <w:pageBreakBefore w:val="0"/>
        <w:kinsoku/>
        <w:wordWrap/>
        <w:topLinePunct/>
        <w:bidi w:val="0"/>
        <w:snapToGrid w:val="0"/>
        <w:spacing w:line="560" w:lineRule="exact"/>
        <w:ind w:left="0" w:right="0" w:firstLine="640" w:firstLineChars="200"/>
        <w:jc w:val="both"/>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加大资金支出，释放投资关键作用。进一步加强直达资金管理，加快支出进度，2023年收到上级直达资金9.7亿元，确保资金直达基层，直接惠企利民。争取上级政策性项目资金5.76亿元，有力支持了交通运输、生态环保、乡村发展等项目建设。把住房保障工程作为推进城市建设，带动扩大投资的重要内容，筹措资金5.5亿元，支持颐和小区、淮源锦城以及滨河花园（F地块）改造项目建设。争取上级补助资金1827万元，支持棚户区改造项目配套基础设施建设，改善群众住房条件。</w:t>
      </w:r>
    </w:p>
    <w:p w14:paraId="5D0BEE8D">
      <w:pPr>
        <w:keepNext w:val="0"/>
        <w:keepLines w:val="0"/>
        <w:pageBreakBefore w:val="0"/>
        <w:kinsoku/>
        <w:wordWrap/>
        <w:topLinePunct/>
        <w:bidi w:val="0"/>
        <w:adjustRightInd w:val="0"/>
        <w:snapToGrid w:val="0"/>
        <w:spacing w:line="560" w:lineRule="exact"/>
        <w:ind w:left="0" w:right="0" w:firstLine="663" w:firstLineChars="200"/>
        <w:jc w:val="both"/>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3.加强基础民生保障，办好重点民生实事。</w:t>
      </w:r>
      <w:r>
        <w:rPr>
          <w:rFonts w:hint="eastAsia" w:ascii="仿宋_GB2312" w:hAnsi="仿宋_GB2312" w:eastAsia="仿宋_GB2312" w:cs="仿宋_GB2312"/>
          <w:b w:val="0"/>
          <w:bCs w:val="0"/>
          <w:snapToGrid w:val="0"/>
          <w:color w:val="auto"/>
          <w:kern w:val="0"/>
          <w:sz w:val="32"/>
          <w:szCs w:val="32"/>
          <w:highlight w:val="none"/>
          <w:lang w:val="en-US" w:eastAsia="zh-CN"/>
        </w:rPr>
        <w:t>2023年全县民生支出完成28.7亿元，占一般公共预算支出的81%。</w:t>
      </w:r>
    </w:p>
    <w:p w14:paraId="03058587">
      <w:pPr>
        <w:keepNext w:val="0"/>
        <w:keepLines w:val="0"/>
        <w:pageBreakBefore w:val="0"/>
        <w:kinsoku/>
        <w:wordWrap/>
        <w:topLinePunct/>
        <w:bidi w:val="0"/>
        <w:adjustRightInd w:val="0"/>
        <w:snapToGrid w:val="0"/>
        <w:spacing w:line="560" w:lineRule="exact"/>
        <w:ind w:left="0" w:right="0" w:firstLine="640" w:firstLineChars="200"/>
        <w:jc w:val="both"/>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落实落细就业优先政策。筹措资金371.10万元，支持开展“人人持证、技能河南”建设。筹措资金404万元，对个人创业担保贷款进行财政全额贴息，支持高校毕业生等重点群体就业创业。落实失业保险稳岗补贴返还政策，累计返还稳岗补贴168.14万元，惠及企业102家。</w:t>
      </w:r>
    </w:p>
    <w:p w14:paraId="033D3828">
      <w:pPr>
        <w:keepNext w:val="0"/>
        <w:keepLines w:val="0"/>
        <w:pageBreakBefore w:val="0"/>
        <w:kinsoku/>
        <w:wordWrap/>
        <w:topLinePunct/>
        <w:bidi w:val="0"/>
        <w:adjustRightInd w:val="0"/>
        <w:snapToGrid w:val="0"/>
        <w:spacing w:line="560" w:lineRule="exact"/>
        <w:ind w:left="0" w:right="0" w:firstLine="640" w:firstLineChars="200"/>
        <w:jc w:val="both"/>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聚焦教育事业提质发展。筹措资金1.42亿元，巩固完善义务教育经费保障机制，推动义务教育均衡发展。筹措资金779万元，促进义务教育薄弱环节改善和能力提升。筹措资金1290万元，强化学前教育普惠发展。筹措资金689万元，用于改善普通高中办学条件。筹措资金868.4万元，支持职业教育内涵发展。筹措资金1581.7万元，资助全县困难学生，给困难学生提供就学保障。</w:t>
      </w:r>
      <w:bookmarkStart w:id="0" w:name="OLE_LINK1"/>
    </w:p>
    <w:p w14:paraId="6D764102">
      <w:pPr>
        <w:keepNext w:val="0"/>
        <w:keepLines w:val="0"/>
        <w:pageBreakBefore w:val="0"/>
        <w:kinsoku/>
        <w:wordWrap/>
        <w:topLinePunct/>
        <w:bidi w:val="0"/>
        <w:adjustRightInd w:val="0"/>
        <w:snapToGrid w:val="0"/>
        <w:spacing w:line="560" w:lineRule="exact"/>
        <w:ind w:left="0" w:right="0" w:firstLine="640" w:firstLineChars="200"/>
        <w:jc w:val="both"/>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全力提高社会保障水平。</w:t>
      </w:r>
      <w:bookmarkEnd w:id="0"/>
      <w:r>
        <w:rPr>
          <w:rFonts w:hint="eastAsia" w:ascii="仿宋_GB2312" w:hAnsi="仿宋_GB2312" w:eastAsia="仿宋_GB2312" w:cs="仿宋_GB2312"/>
          <w:b w:val="0"/>
          <w:bCs w:val="0"/>
          <w:snapToGrid w:val="0"/>
          <w:color w:val="auto"/>
          <w:kern w:val="0"/>
          <w:sz w:val="32"/>
          <w:szCs w:val="32"/>
          <w:highlight w:val="none"/>
          <w:lang w:val="en-US" w:eastAsia="zh-CN"/>
        </w:rPr>
        <w:t>筹措困难群众生活救助补助资金1.24亿元，确保特殊困难群众基本生活得到有效保障。筹措资金1.47亿元，保证了城乡居民基本养老金和优抚对象补助标准及时足额发放。筹措资金5990万元，安排基本公共卫生服务专项补助，支持完善公共卫生体系建设。</w:t>
      </w:r>
    </w:p>
    <w:p w14:paraId="50F8B6B0">
      <w:pPr>
        <w:keepNext w:val="0"/>
        <w:keepLines w:val="0"/>
        <w:pageBreakBefore w:val="0"/>
        <w:numPr>
          <w:ilvl w:val="0"/>
          <w:numId w:val="0"/>
        </w:numPr>
        <w:tabs>
          <w:tab w:val="left" w:pos="677"/>
        </w:tabs>
        <w:kinsoku/>
        <w:wordWrap/>
        <w:topLinePunct/>
        <w:bidi w:val="0"/>
        <w:snapToGrid w:val="0"/>
        <w:spacing w:line="560" w:lineRule="exact"/>
        <w:ind w:left="0" w:right="0" w:firstLine="640" w:firstLineChars="200"/>
        <w:jc w:val="both"/>
        <w:rPr>
          <w:rFonts w:hint="default"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完善公共文化服务体系。争取资金916.09万元，支持公共文化服务体系建设及文物保护工作，持续实施文化惠民工程。争取彩票公益金1402.8万元，支持社会福利活动、城乡医疗救助等公益事业发展。</w:t>
      </w:r>
    </w:p>
    <w:p w14:paraId="540A7013">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支持生态环境保护治理。安排专项资金2.4亿元，用于生态环境保护、环境监测、城乡社区环境治理、防护林建设等。争取资金8497万元，加强重点流域水污染防治和治理，支持生态修复和土壤污染防治项目建设。筹措资金1.03亿元，支持污水处理厂、县域垃圾清运处理正常运行。</w:t>
      </w:r>
    </w:p>
    <w:p w14:paraId="32AD02CA">
      <w:pPr>
        <w:keepNext w:val="0"/>
        <w:keepLines w:val="0"/>
        <w:pageBreakBefore w:val="0"/>
        <w:kinsoku/>
        <w:wordWrap/>
        <w:topLinePunct/>
        <w:bidi w:val="0"/>
        <w:adjustRightInd w:val="0"/>
        <w:snapToGrid w:val="0"/>
        <w:spacing w:line="560" w:lineRule="exact"/>
        <w:ind w:left="0" w:right="0" w:firstLine="663" w:firstLineChars="200"/>
        <w:jc w:val="both"/>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4.优化财政资金统筹，推进城乡协调发展。</w:t>
      </w:r>
      <w:r>
        <w:rPr>
          <w:rFonts w:hint="eastAsia" w:ascii="仿宋_GB2312" w:hAnsi="仿宋_GB2312" w:eastAsia="仿宋_GB2312" w:cs="仿宋_GB2312"/>
          <w:b w:val="0"/>
          <w:bCs w:val="0"/>
          <w:snapToGrid w:val="0"/>
          <w:color w:val="auto"/>
          <w:kern w:val="0"/>
          <w:sz w:val="32"/>
          <w:szCs w:val="32"/>
          <w:highlight w:val="none"/>
          <w:lang w:val="en-US" w:eastAsia="zh-CN"/>
        </w:rPr>
        <w:t>持续加大对城乡基础设施建设、乡村振兴投入力度，推进城乡协调发展。</w:t>
      </w:r>
      <w:r>
        <w:rPr>
          <w:rFonts w:hint="eastAsia" w:ascii="仿宋_GB2312" w:hAnsi="仿宋_GB2312" w:eastAsia="仿宋_GB2312" w:cs="仿宋_GB2312"/>
          <w:b/>
          <w:bCs/>
          <w:snapToGrid w:val="0"/>
          <w:color w:val="auto"/>
          <w:kern w:val="0"/>
          <w:sz w:val="32"/>
          <w:szCs w:val="32"/>
          <w:highlight w:val="none"/>
          <w:lang w:val="en-US" w:eastAsia="zh-CN"/>
        </w:rPr>
        <w:t>一是强化统筹整合资金管理。</w:t>
      </w:r>
      <w:r>
        <w:rPr>
          <w:rFonts w:hint="eastAsia" w:ascii="仿宋_GB2312" w:hAnsi="仿宋_GB2312" w:eastAsia="仿宋_GB2312" w:cs="仿宋_GB2312"/>
          <w:b w:val="0"/>
          <w:bCs w:val="0"/>
          <w:snapToGrid w:val="0"/>
          <w:color w:val="auto"/>
          <w:kern w:val="0"/>
          <w:sz w:val="32"/>
          <w:szCs w:val="32"/>
          <w:highlight w:val="none"/>
          <w:lang w:val="en-US" w:eastAsia="zh-CN"/>
        </w:rPr>
        <w:t>统筹整合财政涉农资金3.27亿元，涉及99个项目，优先用于农业生产发展，在财政支出压力较大和省直管县财政体制改革全面实施的情况下，县财政安排衔接资金5800万元，同比增长1.4%，确保了县级投入力度不减。</w:t>
      </w:r>
      <w:r>
        <w:rPr>
          <w:rFonts w:hint="eastAsia" w:ascii="仿宋_GB2312" w:hAnsi="仿宋_GB2312" w:eastAsia="仿宋_GB2312" w:cs="仿宋_GB2312"/>
          <w:b/>
          <w:bCs/>
          <w:snapToGrid w:val="0"/>
          <w:color w:val="auto"/>
          <w:kern w:val="0"/>
          <w:sz w:val="32"/>
          <w:szCs w:val="32"/>
          <w:highlight w:val="none"/>
          <w:lang w:val="en-US" w:eastAsia="zh-CN"/>
        </w:rPr>
        <w:t>二是扛牢粮食生产政治责任。</w:t>
      </w:r>
      <w:r>
        <w:rPr>
          <w:rFonts w:hint="eastAsia" w:ascii="仿宋_GB2312" w:hAnsi="仿宋_GB2312" w:eastAsia="仿宋_GB2312" w:cs="仿宋_GB2312"/>
          <w:b w:val="0"/>
          <w:bCs w:val="0"/>
          <w:snapToGrid w:val="0"/>
          <w:color w:val="auto"/>
          <w:kern w:val="0"/>
          <w:sz w:val="32"/>
          <w:szCs w:val="32"/>
          <w:highlight w:val="none"/>
          <w:lang w:val="en-US" w:eastAsia="zh-CN"/>
        </w:rPr>
        <w:t>争取资金1.4亿元，支持高标准农田建设、耕地地力保护以及实际种粮一次性补贴支出等，夯实农业生产基础，支持提高农业生产能力和农民生产积极性。争取产粮、产油大县奖励资金2817万元，有效推进粮食产业高质量发展。</w:t>
      </w:r>
      <w:r>
        <w:rPr>
          <w:rFonts w:hint="eastAsia" w:ascii="仿宋_GB2312" w:hAnsi="仿宋_GB2312" w:eastAsia="仿宋_GB2312" w:cs="仿宋_GB2312"/>
          <w:b/>
          <w:bCs/>
          <w:snapToGrid w:val="0"/>
          <w:color w:val="auto"/>
          <w:kern w:val="0"/>
          <w:sz w:val="32"/>
          <w:szCs w:val="32"/>
          <w:highlight w:val="none"/>
          <w:lang w:val="en-US" w:eastAsia="zh-CN"/>
        </w:rPr>
        <w:t>三是建设宜居宜业和美乡村。</w:t>
      </w:r>
      <w:r>
        <w:rPr>
          <w:rFonts w:hint="eastAsia" w:ascii="仿宋_GB2312" w:hAnsi="仿宋_GB2312" w:eastAsia="仿宋_GB2312" w:cs="仿宋_GB2312"/>
          <w:b w:val="0"/>
          <w:bCs w:val="0"/>
          <w:snapToGrid w:val="0"/>
          <w:color w:val="auto"/>
          <w:kern w:val="0"/>
          <w:sz w:val="32"/>
          <w:szCs w:val="32"/>
          <w:highlight w:val="none"/>
          <w:lang w:val="en-US" w:eastAsia="zh-CN"/>
        </w:rPr>
        <w:t>争取资金1997万元支持美丽乡村建设和发展村集体经济。筹措资金9464万元支持污水管网建设、农村公益事业建设、农村户厕改造、农村人居环境整治等，逐步实现农村宜居宜业。</w:t>
      </w:r>
    </w:p>
    <w:p w14:paraId="28F7F65A">
      <w:pPr>
        <w:keepNext w:val="0"/>
        <w:keepLines w:val="0"/>
        <w:pageBreakBefore w:val="0"/>
        <w:widowControl/>
        <w:kinsoku w:val="0"/>
        <w:wordWrap/>
        <w:overflowPunct/>
        <w:topLinePunct w:val="0"/>
        <w:autoSpaceDE w:val="0"/>
        <w:autoSpaceDN w:val="0"/>
        <w:bidi w:val="0"/>
        <w:adjustRightInd w:val="0"/>
        <w:snapToGrid w:val="0"/>
        <w:spacing w:line="560" w:lineRule="exact"/>
        <w:ind w:firstLine="663" w:firstLineChars="200"/>
        <w:jc w:val="both"/>
        <w:textAlignment w:val="baseline"/>
        <w:rPr>
          <w:rFonts w:hint="eastAsia" w:ascii="仿宋_GB2312" w:hAnsi="仿宋_GB2312" w:eastAsia="仿宋_GB2312" w:cs="仿宋_GB2312"/>
          <w:b/>
          <w:bCs/>
          <w:spacing w:val="5"/>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5.筑牢财会监督防线，提升财政监管效能。</w:t>
      </w:r>
      <w:r>
        <w:rPr>
          <w:rFonts w:hint="eastAsia" w:ascii="仿宋_GB2312" w:hAnsi="仿宋_GB2312" w:eastAsia="仿宋_GB2312" w:cs="仿宋_GB2312"/>
          <w:b/>
          <w:bCs/>
          <w:kern w:val="2"/>
          <w:sz w:val="32"/>
          <w:szCs w:val="32"/>
          <w:highlight w:val="none"/>
          <w:lang w:val="en-US" w:eastAsia="zh-CN" w:bidi="ar"/>
        </w:rPr>
        <w:t>一是加大财会监督力度。</w:t>
      </w:r>
      <w:r>
        <w:rPr>
          <w:rFonts w:hint="eastAsia" w:ascii="仿宋_GB2312" w:hAnsi="仿宋_GB2312" w:eastAsia="仿宋_GB2312" w:cs="仿宋_GB2312"/>
          <w:b w:val="0"/>
          <w:bCs w:val="0"/>
          <w:snapToGrid w:val="0"/>
          <w:color w:val="auto"/>
          <w:kern w:val="0"/>
          <w:sz w:val="32"/>
          <w:szCs w:val="32"/>
          <w:highlight w:val="none"/>
          <w:lang w:val="en-US" w:eastAsia="zh-CN"/>
        </w:rPr>
        <w:t>严格落实中央、省、市《关于进一步加强财会监督工作的意见》和实施方案，强化财经纪律刚性约束。组织开展会计信息质量检查，提高预算单位财务管理水平，组织对全县271家部门和单位开展预决算公开事项检查，全面提升了我县预决算公开质量和水平。</w:t>
      </w:r>
      <w:r>
        <w:rPr>
          <w:rFonts w:hint="eastAsia" w:ascii="仿宋_GB2312" w:hAnsi="仿宋_GB2312" w:eastAsia="仿宋_GB2312" w:cs="仿宋_GB2312"/>
          <w:b/>
          <w:bCs/>
          <w:kern w:val="2"/>
          <w:sz w:val="32"/>
          <w:szCs w:val="32"/>
          <w:highlight w:val="none"/>
          <w:lang w:val="en-US" w:eastAsia="zh-CN" w:bidi="ar"/>
        </w:rPr>
        <w:t>二是提升财政治理能力。</w:t>
      </w:r>
      <w:r>
        <w:rPr>
          <w:rFonts w:hint="eastAsia" w:ascii="仿宋_GB2312" w:hAnsi="仿宋_GB2312" w:eastAsia="仿宋_GB2312" w:cs="仿宋_GB2312"/>
          <w:b w:val="0"/>
          <w:bCs w:val="0"/>
          <w:snapToGrid w:val="0"/>
          <w:color w:val="auto"/>
          <w:kern w:val="0"/>
          <w:sz w:val="32"/>
          <w:szCs w:val="32"/>
          <w:highlight w:val="none"/>
          <w:lang w:val="en-US" w:eastAsia="zh-CN"/>
        </w:rPr>
        <w:t>坚持关口前移，绩效目标管理实现全覆盖，组织对部门整体和项目支出资金绩效进行“双监控”，涉及项目资金27.93亿元，覆盖率100%。建立健全重点绩效评价常态机制，完成了5个重点项目的绩效评价工作。</w:t>
      </w:r>
      <w:r>
        <w:rPr>
          <w:rFonts w:hint="eastAsia" w:ascii="仿宋_GB2312" w:hAnsi="仿宋_GB2312" w:eastAsia="仿宋_GB2312" w:cs="仿宋_GB2312"/>
          <w:kern w:val="2"/>
          <w:sz w:val="32"/>
          <w:szCs w:val="32"/>
          <w:highlight w:val="none"/>
          <w:lang w:val="en-US" w:eastAsia="zh-CN" w:bidi="ar"/>
        </w:rPr>
        <w:t>加强财政投资评审，2023年累计完成各类评审项目187个，送审金额17.04亿元，审减率10.12%。</w:t>
      </w:r>
      <w:r>
        <w:rPr>
          <w:rFonts w:hint="eastAsia" w:ascii="仿宋_GB2312" w:hAnsi="仿宋_GB2312" w:eastAsia="仿宋_GB2312" w:cs="仿宋_GB2312"/>
          <w:b/>
          <w:bCs/>
          <w:kern w:val="2"/>
          <w:sz w:val="32"/>
          <w:szCs w:val="32"/>
          <w:highlight w:val="none"/>
          <w:lang w:val="en-US" w:eastAsia="zh-CN" w:bidi="ar"/>
        </w:rPr>
        <w:t>三是有效防范化解风险。</w:t>
      </w:r>
      <w:r>
        <w:rPr>
          <w:rFonts w:hint="eastAsia" w:ascii="仿宋_GB2312" w:hAnsi="仿宋_GB2312" w:eastAsia="仿宋_GB2312" w:cs="仿宋_GB2312"/>
          <w:kern w:val="2"/>
          <w:sz w:val="32"/>
          <w:szCs w:val="32"/>
          <w:highlight w:val="none"/>
          <w:lang w:val="en-US" w:eastAsia="zh-CN" w:bidi="ar"/>
        </w:rPr>
        <w:t>落实“三保”资金需求，确保全县“三保”形势整体稳定，2023年安排“三保”支出27.60</w:t>
      </w:r>
      <w:bookmarkStart w:id="1" w:name="_GoBack"/>
      <w:bookmarkEnd w:id="1"/>
      <w:r>
        <w:rPr>
          <w:rFonts w:hint="eastAsia" w:ascii="仿宋_GB2312" w:hAnsi="仿宋_GB2312" w:eastAsia="仿宋_GB2312" w:cs="仿宋_GB2312"/>
          <w:kern w:val="2"/>
          <w:sz w:val="32"/>
          <w:szCs w:val="32"/>
          <w:highlight w:val="none"/>
          <w:lang w:val="en-US" w:eastAsia="zh-CN" w:bidi="ar"/>
        </w:rPr>
        <w:t>亿元。进一步严格债务管理，加强日常监测和风险预警，认真做好法定债务还本付息、隐性债务存量化解等工作，有效防范了区域性系统性风险。</w:t>
      </w:r>
    </w:p>
    <w:p w14:paraId="113F60F8">
      <w:pPr>
        <w:keepNext w:val="0"/>
        <w:keepLines w:val="0"/>
        <w:pageBreakBefore w:val="0"/>
        <w:widowControl/>
        <w:kinsoku w:val="0"/>
        <w:wordWrap/>
        <w:overflowPunct/>
        <w:topLinePunct w:val="0"/>
        <w:autoSpaceDE w:val="0"/>
        <w:autoSpaceDN w:val="0"/>
        <w:bidi w:val="0"/>
        <w:adjustRightInd w:val="0"/>
        <w:snapToGrid w:val="0"/>
        <w:spacing w:line="560" w:lineRule="exact"/>
        <w:ind w:firstLine="828" w:firstLineChars="250"/>
        <w:textAlignment w:val="baseline"/>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b/>
          <w:bCs/>
          <w:spacing w:val="5"/>
          <w:sz w:val="32"/>
          <w:szCs w:val="32"/>
          <w:highlight w:val="none"/>
          <w:lang w:val="en-US" w:eastAsia="zh-CN"/>
        </w:rPr>
        <w:t>6.加强管理注重治理，提升国有资产价值。</w:t>
      </w:r>
      <w:r>
        <w:rPr>
          <w:rFonts w:hint="eastAsia" w:ascii="仿宋_GB2312" w:hAnsi="仿宋_GB2312" w:eastAsia="仿宋_GB2312" w:cs="仿宋_GB2312"/>
          <w:sz w:val="32"/>
          <w:szCs w:val="32"/>
          <w:highlight w:val="none"/>
          <w:lang w:val="en-US" w:eastAsia="zh-CN"/>
        </w:rPr>
        <w:t>通过</w:t>
      </w:r>
      <w:r>
        <w:rPr>
          <w:rFonts w:hint="eastAsia" w:ascii="仿宋_GB2312" w:hAnsi="仿宋_GB2312" w:eastAsia="仿宋_GB2312" w:cs="仿宋_GB2312"/>
          <w:kern w:val="2"/>
          <w:sz w:val="32"/>
          <w:szCs w:val="32"/>
          <w:highlight w:val="none"/>
          <w:lang w:val="en-US" w:eastAsia="zh-CN" w:bidi="ar"/>
        </w:rPr>
        <w:t>开展“近五年财政资金形成资产专项清查”专项行动，全面摸清国有资产形成、管理及效益发挥情况，2023年资产清查共计197个单位，</w:t>
      </w:r>
      <w:r>
        <w:rPr>
          <w:rFonts w:hint="eastAsia" w:ascii="仿宋_GB2312" w:hAnsi="仿宋_GB2312" w:eastAsia="仿宋_GB2312" w:cs="仿宋_GB2312"/>
          <w:color w:val="auto"/>
          <w:sz w:val="32"/>
          <w:szCs w:val="32"/>
          <w:highlight w:val="none"/>
          <w:lang w:val="en-US" w:eastAsia="zh-CN"/>
        </w:rPr>
        <w:t>涉及项目</w:t>
      </w:r>
      <w:r>
        <w:rPr>
          <w:rFonts w:hint="eastAsia" w:ascii="仿宋_GB2312" w:hAnsi="仿宋_GB2312" w:eastAsia="仿宋_GB2312" w:cs="仿宋_GB2312"/>
          <w:b w:val="0"/>
          <w:bCs w:val="0"/>
          <w:color w:val="auto"/>
          <w:sz w:val="32"/>
          <w:szCs w:val="32"/>
          <w:highlight w:val="none"/>
          <w:shd w:val="clear" w:color="auto" w:fill="auto"/>
          <w:lang w:val="en-US" w:eastAsia="zh-CN"/>
        </w:rPr>
        <w:t>资金104.04亿元，形成资产</w:t>
      </w:r>
      <w:r>
        <w:rPr>
          <w:rFonts w:hint="eastAsia" w:ascii="仿宋_GB2312" w:hAnsi="仿宋_GB2312" w:eastAsia="仿宋_GB2312" w:cs="仿宋_GB2312"/>
          <w:b w:val="0"/>
          <w:bCs w:val="0"/>
          <w:color w:val="auto"/>
          <w:sz w:val="32"/>
          <w:szCs w:val="32"/>
          <w:highlight w:val="none"/>
          <w:lang w:val="en-US" w:eastAsia="zh-CN"/>
        </w:rPr>
        <w:t>1027项，金额45.43亿元。清查整改问题378个，</w:t>
      </w:r>
      <w:r>
        <w:rPr>
          <w:rFonts w:hint="eastAsia" w:ascii="仿宋_GB2312" w:hAnsi="仿宋_GB2312" w:eastAsia="仿宋_GB2312" w:cs="仿宋_GB2312"/>
          <w:color w:val="auto"/>
          <w:sz w:val="32"/>
          <w:szCs w:val="32"/>
          <w:highlight w:val="none"/>
          <w:lang w:val="en-US" w:eastAsia="zh-CN"/>
        </w:rPr>
        <w:t>涉及</w:t>
      </w:r>
      <w:r>
        <w:rPr>
          <w:rFonts w:hint="eastAsia" w:ascii="仿宋_GB2312" w:hAnsi="仿宋_GB2312" w:eastAsia="仿宋_GB2312" w:cs="仿宋_GB2312"/>
          <w:b w:val="0"/>
          <w:bCs w:val="0"/>
          <w:color w:val="auto"/>
          <w:sz w:val="32"/>
          <w:szCs w:val="32"/>
          <w:highlight w:val="none"/>
          <w:shd w:val="clear" w:color="auto" w:fill="auto"/>
          <w:lang w:val="en-US" w:eastAsia="zh-CN"/>
        </w:rPr>
        <w:t>资金7.37亿元。</w:t>
      </w:r>
      <w:r>
        <w:rPr>
          <w:rFonts w:hint="eastAsia" w:ascii="仿宋_GB2312" w:hAnsi="仿宋_GB2312" w:eastAsia="仿宋_GB2312" w:cs="仿宋_GB2312"/>
          <w:b w:val="0"/>
          <w:bCs w:val="0"/>
          <w:color w:val="auto"/>
          <w:sz w:val="32"/>
          <w:szCs w:val="32"/>
          <w:highlight w:val="none"/>
          <w:lang w:val="en-US" w:eastAsia="zh-CN"/>
        </w:rPr>
        <w:t>进一步</w:t>
      </w:r>
      <w:r>
        <w:rPr>
          <w:rFonts w:hint="eastAsia" w:ascii="仿宋_GB2312" w:hAnsi="仿宋_GB2312" w:eastAsia="仿宋_GB2312" w:cs="仿宋_GB2312"/>
          <w:color w:val="auto"/>
          <w:sz w:val="32"/>
          <w:szCs w:val="32"/>
          <w:highlight w:val="none"/>
          <w:lang w:val="en-US" w:eastAsia="zh-CN"/>
        </w:rPr>
        <w:t>规范了资产账务核算，提升了资产盘活利用效率，强化了</w:t>
      </w:r>
      <w:r>
        <w:rPr>
          <w:rFonts w:hint="eastAsia" w:ascii="仿宋_GB2312" w:hAnsi="仿宋_GB2312" w:eastAsia="仿宋_GB2312" w:cs="仿宋_GB2312"/>
          <w:color w:val="auto"/>
          <w:sz w:val="32"/>
          <w:szCs w:val="32"/>
          <w:highlight w:val="none"/>
        </w:rPr>
        <w:t>财政综合</w:t>
      </w:r>
      <w:r>
        <w:rPr>
          <w:rFonts w:hint="eastAsia" w:ascii="仿宋_GB2312" w:hAnsi="仿宋_GB2312" w:eastAsia="仿宋_GB2312" w:cs="仿宋_GB2312"/>
          <w:color w:val="auto"/>
          <w:sz w:val="32"/>
          <w:szCs w:val="32"/>
          <w:highlight w:val="none"/>
          <w:lang w:val="en-US" w:eastAsia="zh-CN"/>
        </w:rPr>
        <w:t>监</w:t>
      </w:r>
      <w:r>
        <w:rPr>
          <w:rFonts w:hint="eastAsia" w:ascii="仿宋_GB2312" w:hAnsi="仿宋_GB2312" w:eastAsia="仿宋_GB2312" w:cs="仿宋_GB2312"/>
          <w:color w:val="auto"/>
          <w:sz w:val="32"/>
          <w:szCs w:val="32"/>
          <w:highlight w:val="none"/>
        </w:rPr>
        <w:t>管职</w:t>
      </w:r>
      <w:r>
        <w:rPr>
          <w:rFonts w:hint="eastAsia" w:ascii="仿宋_GB2312" w:hAnsi="仿宋_GB2312" w:eastAsia="仿宋_GB2312" w:cs="仿宋_GB2312"/>
          <w:color w:val="auto"/>
          <w:sz w:val="32"/>
          <w:szCs w:val="32"/>
          <w:highlight w:val="none"/>
          <w:lang w:val="en-US" w:eastAsia="zh-CN"/>
        </w:rPr>
        <w:t>能；</w:t>
      </w:r>
      <w:r>
        <w:rPr>
          <w:rFonts w:hint="eastAsia" w:ascii="仿宋_GB2312" w:hAnsi="仿宋_GB2312" w:eastAsia="仿宋_GB2312" w:cs="仿宋_GB2312"/>
          <w:sz w:val="32"/>
          <w:szCs w:val="32"/>
          <w:highlight w:val="none"/>
          <w:lang w:val="en-US" w:eastAsia="zh-CN"/>
        </w:rPr>
        <w:t>持续深化国有企业改革，规范国有企业运营，支持桐柏县盘古投资控股有限公司成功获得AA主体信用“双评级”，实现了桐柏县平台公司AA评级零的突破，同时，发挥考核的激励导向作用，对县属13家国有企业2022年度目标责任及经营业绩进行考核，引导企业更好履行责任使命，实现高质量发展。</w:t>
      </w:r>
      <w:r>
        <w:rPr>
          <w:rFonts w:hint="eastAsia" w:ascii="仿宋_GB2312" w:hAnsi="仿宋_GB2312" w:eastAsia="仿宋_GB2312" w:cs="仿宋_GB2312"/>
          <w:kern w:val="2"/>
          <w:sz w:val="32"/>
          <w:szCs w:val="32"/>
          <w:highlight w:val="none"/>
          <w:lang w:val="en-US" w:eastAsia="zh-CN" w:bidi="ar"/>
        </w:rPr>
        <w:t>2023年，全县国有企业资产总额达到171.60 亿元、净资产113.54亿元、营业收入11.36亿元。</w:t>
      </w:r>
    </w:p>
    <w:p w14:paraId="65E14CCA">
      <w:pPr>
        <w:keepNext w:val="0"/>
        <w:keepLines w:val="0"/>
        <w:pageBreakBefore w:val="0"/>
        <w:numPr>
          <w:ilvl w:val="0"/>
          <w:numId w:val="0"/>
        </w:numPr>
        <w:kinsoku/>
        <w:wordWrap/>
        <w:topLinePunct/>
        <w:bidi w:val="0"/>
        <w:adjustRightInd w:val="0"/>
        <w:snapToGrid w:val="0"/>
        <w:spacing w:line="560" w:lineRule="exact"/>
        <w:ind w:right="0" w:rightChars="0" w:firstLine="640" w:firstLineChars="200"/>
        <w:jc w:val="both"/>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总的来看，2023年预算执行情况总体平稳，财政改革发展等各项任务取得新进展，这是深入贯彻落实习近平新时代中国特色社会主义思想和党的二十大精神的结果，是县委坚强领导、科学决策的结果，是县人大、政协及代表委员们监督指导、关心支持的结果，是各部门、各乡镇齐心协力、共同努力的结果。同时，我们也清醒地认识到，当前财政运行和预算管理工作还面临一些问题和挑战，主要是：财政刚性支出不断增多，土地出让收入不及预期，财政收支矛盾更加突出；财会监督联动机制还不够健全，预算绩效结果运用不全面，资金使用效益还有待提高；过紧日子的思想还没有完全树牢，大手大脚、铺张浪费现象仍然存在等。针对这些问题我们要高度重视，积极采取有效措施予以解决。</w:t>
      </w:r>
    </w:p>
    <w:p w14:paraId="708EAD8D">
      <w:pPr>
        <w:keepNext w:val="0"/>
        <w:keepLines w:val="0"/>
        <w:pageBreakBefore w:val="0"/>
        <w:kinsoku/>
        <w:wordWrap/>
        <w:topLinePunct/>
        <w:bidi w:val="0"/>
        <w:snapToGrid w:val="0"/>
        <w:spacing w:line="560" w:lineRule="exact"/>
        <w:ind w:left="0" w:right="0" w:firstLine="684" w:firstLineChars="200"/>
        <w:jc w:val="both"/>
        <w:outlineLvl w:val="0"/>
        <w:rPr>
          <w:rFonts w:ascii="黑体" w:hAnsi="黑体" w:eastAsia="黑体" w:cs="黑体"/>
          <w:b w:val="0"/>
          <w:bCs w:val="0"/>
          <w:sz w:val="32"/>
          <w:szCs w:val="32"/>
          <w:highlight w:val="none"/>
        </w:rPr>
      </w:pPr>
      <w:r>
        <w:rPr>
          <w:rFonts w:ascii="黑体" w:hAnsi="黑体" w:eastAsia="黑体" w:cs="黑体"/>
          <w:b w:val="0"/>
          <w:bCs w:val="0"/>
          <w:spacing w:val="11"/>
          <w:sz w:val="32"/>
          <w:szCs w:val="32"/>
          <w:highlight w:val="none"/>
        </w:rPr>
        <w:t>二、202</w:t>
      </w:r>
      <w:r>
        <w:rPr>
          <w:rFonts w:hint="eastAsia" w:ascii="黑体" w:hAnsi="黑体" w:eastAsia="黑体" w:cs="黑体"/>
          <w:b w:val="0"/>
          <w:bCs w:val="0"/>
          <w:spacing w:val="11"/>
          <w:sz w:val="32"/>
          <w:szCs w:val="32"/>
          <w:highlight w:val="none"/>
          <w:lang w:val="en-US" w:eastAsia="zh-CN"/>
        </w:rPr>
        <w:t>4</w:t>
      </w:r>
      <w:r>
        <w:rPr>
          <w:rFonts w:ascii="黑体" w:hAnsi="黑体" w:eastAsia="黑体" w:cs="黑体"/>
          <w:b w:val="0"/>
          <w:bCs w:val="0"/>
          <w:spacing w:val="11"/>
          <w:sz w:val="32"/>
          <w:szCs w:val="32"/>
          <w:highlight w:val="none"/>
        </w:rPr>
        <w:t>年预算草案情况</w:t>
      </w:r>
    </w:p>
    <w:p w14:paraId="5FAD5943">
      <w:pPr>
        <w:keepNext w:val="0"/>
        <w:keepLines w:val="0"/>
        <w:pageBreakBefore w:val="0"/>
        <w:widowControl/>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2024年是中华人民共和国成立75周年，是实施“十四五”规划的关键之年</w:t>
      </w:r>
      <w:r>
        <w:rPr>
          <w:rFonts w:hint="eastAsia"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kern w:val="2"/>
          <w:sz w:val="32"/>
          <w:szCs w:val="32"/>
          <w:highlight w:val="none"/>
          <w:lang w:val="en-US" w:eastAsia="zh-CN" w:bidi="ar"/>
        </w:rPr>
        <w:t>我们紧紧围绕县委、县政府决策部署，加强对财政运行的分析研判，精准编制</w:t>
      </w:r>
      <w:r>
        <w:rPr>
          <w:rFonts w:hint="eastAsia" w:ascii="仿宋_GB2312" w:hAnsi="仿宋_GB2312" w:eastAsia="仿宋_GB2312" w:cs="仿宋_GB2312"/>
          <w:color w:val="auto"/>
          <w:kern w:val="2"/>
          <w:sz w:val="32"/>
          <w:szCs w:val="32"/>
          <w:highlight w:val="none"/>
          <w:lang w:val="en-US" w:eastAsia="zh-CN" w:bidi="ar"/>
        </w:rPr>
        <w:t>政府</w:t>
      </w:r>
      <w:r>
        <w:rPr>
          <w:rFonts w:hint="eastAsia" w:ascii="仿宋_GB2312" w:hAnsi="仿宋_GB2312" w:eastAsia="仿宋_GB2312" w:cs="仿宋_GB2312"/>
          <w:kern w:val="2"/>
          <w:sz w:val="32"/>
          <w:szCs w:val="32"/>
          <w:highlight w:val="none"/>
          <w:lang w:val="en-US" w:eastAsia="zh-CN" w:bidi="ar"/>
        </w:rPr>
        <w:t>预算，坚持稳中求进、以进促稳、先立后破，全力做好财政工作，为经济平稳运行提供有力保障。</w:t>
      </w:r>
    </w:p>
    <w:p w14:paraId="414487BA">
      <w:pPr>
        <w:keepNext w:val="0"/>
        <w:keepLines w:val="0"/>
        <w:pageBreakBefore w:val="0"/>
        <w:kinsoku/>
        <w:wordWrap/>
        <w:topLinePunct/>
        <w:bidi w:val="0"/>
        <w:snapToGrid w:val="0"/>
        <w:spacing w:line="560" w:lineRule="exact"/>
        <w:ind w:left="0" w:right="0" w:firstLine="735" w:firstLineChars="200"/>
        <w:jc w:val="both"/>
        <w:rPr>
          <w:rFonts w:hint="eastAsia" w:ascii="楷体_GB2312" w:hAnsi="楷体_GB2312" w:eastAsia="楷体_GB2312" w:cs="楷体_GB2312"/>
          <w:b/>
          <w:bCs/>
          <w:spacing w:val="23"/>
          <w:sz w:val="32"/>
          <w:szCs w:val="32"/>
          <w:highlight w:val="none"/>
        </w:rPr>
      </w:pPr>
      <w:r>
        <w:rPr>
          <w:rFonts w:hint="eastAsia" w:ascii="楷体_GB2312" w:hAnsi="楷体_GB2312" w:eastAsia="楷体_GB2312" w:cs="楷体_GB2312"/>
          <w:b/>
          <w:bCs/>
          <w:spacing w:val="23"/>
          <w:sz w:val="32"/>
          <w:szCs w:val="32"/>
          <w:highlight w:val="none"/>
        </w:rPr>
        <w:t>(一)202</w:t>
      </w:r>
      <w:r>
        <w:rPr>
          <w:rFonts w:hint="eastAsia" w:ascii="楷体_GB2312" w:hAnsi="楷体_GB2312" w:eastAsia="楷体_GB2312" w:cs="楷体_GB2312"/>
          <w:b/>
          <w:bCs/>
          <w:spacing w:val="23"/>
          <w:sz w:val="32"/>
          <w:szCs w:val="32"/>
          <w:highlight w:val="none"/>
          <w:lang w:val="en-US" w:eastAsia="zh-CN"/>
        </w:rPr>
        <w:t>4</w:t>
      </w:r>
      <w:r>
        <w:rPr>
          <w:rFonts w:hint="eastAsia" w:ascii="楷体_GB2312" w:hAnsi="楷体_GB2312" w:eastAsia="楷体_GB2312" w:cs="楷体_GB2312"/>
          <w:b/>
          <w:bCs/>
          <w:spacing w:val="23"/>
          <w:sz w:val="32"/>
          <w:szCs w:val="32"/>
          <w:highlight w:val="none"/>
        </w:rPr>
        <w:t>年预算编制指导思想</w:t>
      </w:r>
    </w:p>
    <w:p w14:paraId="76563E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习近平新时代中国特色社会主义思想为指导，全面贯彻党的二十大和二十届二中全会及中央经济工作会议、河南省财政工作会议精神，紧紧围绕县委县政府工作布局，落实县委县政府经济工作会议部署，实施积极的财政政策适度加力、提质增效，落实好结构性减税降费政策，坚持“紧日子保基本、调结构保战略”，加强财政资源统筹，大力优化支出结构，兜牢“三保”底线，加强地方债务管理，强化财政监督，严肃财经纪律，提升资金使用绩效，落实新一轮财税体制改革部署，切实增强经济活力、防范化解风险、改善社会预期，巩固和增强经济回升向好态势，增进民生福祉，保持社会稳定，为建设富强创新开放文明美丽幸福的现代化桐柏提供坚实支撑。</w:t>
      </w:r>
    </w:p>
    <w:p w14:paraId="727E7CF0">
      <w:pPr>
        <w:keepNext w:val="0"/>
        <w:keepLines w:val="0"/>
        <w:pageBreakBefore w:val="0"/>
        <w:kinsoku/>
        <w:wordWrap/>
        <w:topLinePunct/>
        <w:bidi w:val="0"/>
        <w:snapToGrid w:val="0"/>
        <w:spacing w:line="560" w:lineRule="exact"/>
        <w:ind w:left="0" w:right="0" w:firstLine="735" w:firstLineChars="200"/>
        <w:jc w:val="both"/>
        <w:rPr>
          <w:rFonts w:hint="eastAsia" w:ascii="楷体_GB2312" w:hAnsi="楷体_GB2312" w:eastAsia="楷体_GB2312" w:cs="楷体_GB2312"/>
          <w:b/>
          <w:bCs/>
          <w:spacing w:val="23"/>
          <w:sz w:val="32"/>
          <w:szCs w:val="32"/>
          <w:highlight w:val="none"/>
          <w:lang w:val="en-US" w:eastAsia="zh-CN"/>
        </w:rPr>
      </w:pPr>
      <w:r>
        <w:rPr>
          <w:rFonts w:hint="eastAsia" w:ascii="楷体_GB2312" w:hAnsi="楷体_GB2312" w:eastAsia="楷体_GB2312" w:cs="楷体_GB2312"/>
          <w:b/>
          <w:bCs/>
          <w:spacing w:val="23"/>
          <w:sz w:val="32"/>
          <w:szCs w:val="32"/>
          <w:highlight w:val="none"/>
        </w:rPr>
        <w:t>(二)202</w:t>
      </w:r>
      <w:r>
        <w:rPr>
          <w:rFonts w:hint="eastAsia" w:ascii="楷体_GB2312" w:hAnsi="楷体_GB2312" w:eastAsia="楷体_GB2312" w:cs="楷体_GB2312"/>
          <w:b/>
          <w:bCs/>
          <w:spacing w:val="23"/>
          <w:sz w:val="32"/>
          <w:szCs w:val="32"/>
          <w:highlight w:val="none"/>
          <w:lang w:val="en-US" w:eastAsia="zh-CN"/>
        </w:rPr>
        <w:t>4</w:t>
      </w:r>
      <w:r>
        <w:rPr>
          <w:rFonts w:hint="eastAsia" w:ascii="楷体_GB2312" w:hAnsi="楷体_GB2312" w:eastAsia="楷体_GB2312" w:cs="楷体_GB2312"/>
          <w:b/>
          <w:bCs/>
          <w:spacing w:val="23"/>
          <w:sz w:val="32"/>
          <w:szCs w:val="32"/>
          <w:highlight w:val="none"/>
        </w:rPr>
        <w:t>年</w:t>
      </w:r>
      <w:r>
        <w:rPr>
          <w:rFonts w:hint="eastAsia" w:ascii="楷体_GB2312" w:hAnsi="楷体_GB2312" w:eastAsia="楷体_GB2312" w:cs="楷体_GB2312"/>
          <w:b/>
          <w:bCs/>
          <w:spacing w:val="23"/>
          <w:sz w:val="32"/>
          <w:szCs w:val="32"/>
          <w:highlight w:val="none"/>
          <w:lang w:val="en-US" w:eastAsia="zh-CN"/>
        </w:rPr>
        <w:t>财政</w:t>
      </w:r>
      <w:r>
        <w:rPr>
          <w:rFonts w:hint="eastAsia" w:ascii="楷体_GB2312" w:hAnsi="楷体_GB2312" w:eastAsia="楷体_GB2312" w:cs="楷体_GB2312"/>
          <w:b/>
          <w:bCs/>
          <w:spacing w:val="23"/>
          <w:sz w:val="32"/>
          <w:szCs w:val="32"/>
          <w:highlight w:val="none"/>
        </w:rPr>
        <w:t>收支</w:t>
      </w:r>
      <w:r>
        <w:rPr>
          <w:rFonts w:hint="eastAsia" w:ascii="楷体_GB2312" w:hAnsi="楷体_GB2312" w:eastAsia="楷体_GB2312" w:cs="楷体_GB2312"/>
          <w:b/>
          <w:bCs/>
          <w:spacing w:val="23"/>
          <w:sz w:val="32"/>
          <w:szCs w:val="32"/>
          <w:highlight w:val="none"/>
          <w:lang w:val="en-US" w:eastAsia="zh-CN"/>
        </w:rPr>
        <w:t>形势分析</w:t>
      </w:r>
    </w:p>
    <w:p w14:paraId="75234935">
      <w:pPr>
        <w:keepNext w:val="0"/>
        <w:keepLines w:val="0"/>
        <w:pageBreakBefore w:val="0"/>
        <w:kinsoku/>
        <w:wordWrap/>
        <w:topLinePunct/>
        <w:bidi w:val="0"/>
        <w:snapToGrid w:val="0"/>
        <w:spacing w:line="560" w:lineRule="exact"/>
        <w:ind w:left="0" w:right="0" w:firstLine="640" w:firstLineChars="200"/>
        <w:jc w:val="both"/>
        <w:rPr>
          <w:rFonts w:hint="eastAsia" w:ascii="仿宋_GB2312" w:hAnsi="仿宋_GB2312" w:eastAsia="仿宋_GB2312" w:cs="仿宋_GB2312"/>
          <w:color w:val="0070C0"/>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综合判断，去年、今年可能是近年来财政最为困难的时期，今年财政运行压力可能比去年更大，但</w:t>
      </w:r>
      <w:r>
        <w:rPr>
          <w:rFonts w:hint="eastAsia" w:ascii="仿宋_GB2312" w:hAnsi="仿宋_GB2312" w:eastAsia="仿宋_GB2312" w:cs="仿宋_GB2312"/>
          <w:color w:val="auto"/>
          <w:sz w:val="32"/>
          <w:szCs w:val="32"/>
          <w:highlight w:val="none"/>
          <w:lang w:val="en-US" w:eastAsia="zh-CN"/>
        </w:rPr>
        <w:t>增收节支是财政永恒的主题</w:t>
      </w:r>
      <w:r>
        <w:rPr>
          <w:rFonts w:hint="eastAsia" w:ascii="仿宋_GB2312" w:hAnsi="仿宋_GB2312" w:eastAsia="仿宋_GB2312" w:cs="仿宋_GB2312"/>
          <w:sz w:val="32"/>
          <w:szCs w:val="32"/>
          <w:highlight w:val="none"/>
          <w:lang w:val="en-US" w:eastAsia="zh-CN"/>
        </w:rPr>
        <w:t>。财政收入方面，</w:t>
      </w:r>
      <w:r>
        <w:rPr>
          <w:rFonts w:hint="eastAsia" w:ascii="仿宋_GB2312" w:hAnsi="仿宋_GB2312" w:eastAsia="仿宋_GB2312" w:cs="仿宋_GB2312"/>
          <w:sz w:val="32"/>
          <w:szCs w:val="32"/>
          <w:highlight w:val="none"/>
        </w:rPr>
        <w:t>随着宏观调控政策效应持续释放，经济将持续</w:t>
      </w:r>
      <w:r>
        <w:rPr>
          <w:rFonts w:hint="eastAsia" w:ascii="仿宋_GB2312" w:hAnsi="仿宋_GB2312" w:eastAsia="仿宋_GB2312" w:cs="仿宋_GB2312"/>
          <w:sz w:val="32"/>
          <w:szCs w:val="32"/>
          <w:highlight w:val="none"/>
          <w:lang w:val="en-US" w:eastAsia="zh-CN"/>
        </w:rPr>
        <w:t>稳定</w:t>
      </w:r>
      <w:r>
        <w:rPr>
          <w:rFonts w:hint="eastAsia" w:ascii="仿宋_GB2312" w:hAnsi="仿宋_GB2312" w:eastAsia="仿宋_GB2312" w:cs="仿宋_GB2312"/>
          <w:sz w:val="32"/>
          <w:szCs w:val="32"/>
          <w:highlight w:val="none"/>
        </w:rPr>
        <w:t>向好，</w:t>
      </w:r>
      <w:r>
        <w:rPr>
          <w:rFonts w:hint="eastAsia" w:ascii="仿宋_GB2312" w:hAnsi="仿宋_GB2312" w:eastAsia="仿宋_GB2312" w:cs="仿宋_GB2312"/>
          <w:sz w:val="32"/>
          <w:szCs w:val="32"/>
          <w:highlight w:val="none"/>
          <w:lang w:val="en-US" w:eastAsia="zh-CN"/>
        </w:rPr>
        <w:t>我县新的经济增长点不断增加，</w:t>
      </w:r>
      <w:r>
        <w:rPr>
          <w:rFonts w:hint="eastAsia" w:ascii="仿宋_GB2312" w:hAnsi="仿宋_GB2312" w:eastAsia="仿宋_GB2312" w:cs="仿宋_GB2312"/>
          <w:sz w:val="32"/>
          <w:szCs w:val="32"/>
          <w:highlight w:val="none"/>
        </w:rPr>
        <w:t>为财政收入增长奠定了基础。同时，减税降费政策持续实施，</w:t>
      </w:r>
      <w:r>
        <w:rPr>
          <w:rFonts w:hint="eastAsia" w:ascii="仿宋_GB2312" w:hAnsi="仿宋_GB2312" w:eastAsia="仿宋_GB2312" w:cs="仿宋_GB2312"/>
          <w:sz w:val="32"/>
          <w:szCs w:val="32"/>
          <w:highlight w:val="none"/>
          <w:lang w:val="en-US" w:eastAsia="zh-CN"/>
        </w:rPr>
        <w:t>国有土地使用权出让收入不容乐观</w:t>
      </w:r>
      <w:r>
        <w:rPr>
          <w:rFonts w:hint="eastAsia" w:ascii="仿宋_GB2312" w:hAnsi="仿宋_GB2312" w:eastAsia="仿宋_GB2312" w:cs="仿宋_GB2312"/>
          <w:sz w:val="32"/>
          <w:szCs w:val="32"/>
          <w:highlight w:val="none"/>
        </w:rPr>
        <w:t>等，也增加了财政减收压力。</w:t>
      </w:r>
      <w:r>
        <w:rPr>
          <w:rFonts w:hint="eastAsia" w:ascii="仿宋_GB2312" w:hAnsi="仿宋_GB2312" w:eastAsia="仿宋_GB2312" w:cs="仿宋_GB2312"/>
          <w:sz w:val="32"/>
          <w:szCs w:val="32"/>
          <w:highlight w:val="none"/>
          <w:lang w:val="en-US" w:eastAsia="zh-CN"/>
        </w:rPr>
        <w:t>支出方面，</w:t>
      </w:r>
      <w:r>
        <w:rPr>
          <w:rFonts w:hint="eastAsia" w:ascii="仿宋_GB2312" w:hAnsi="仿宋_GB2312" w:eastAsia="仿宋_GB2312" w:cs="仿宋_GB2312"/>
          <w:sz w:val="32"/>
          <w:szCs w:val="32"/>
          <w:highlight w:val="none"/>
        </w:rPr>
        <w:t>“三保”等刚性支出不断增加，政府债务还本付息进入高峰期，科技投入、产业发展、乡村振兴、生态环保和城市基础设施建设等方面资金需求较多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弥补养老、教育、医疗卫生等基本民生短板，财政需要继续加强保障。</w:t>
      </w:r>
      <w:r>
        <w:rPr>
          <w:rFonts w:hint="eastAsia" w:ascii="仿宋_GB2312" w:hAnsi="仿宋_GB2312" w:eastAsia="仿宋_GB2312" w:cs="仿宋_GB2312"/>
          <w:color w:val="auto"/>
          <w:kern w:val="2"/>
          <w:sz w:val="32"/>
          <w:szCs w:val="32"/>
          <w:highlight w:val="none"/>
          <w:lang w:val="en-US" w:eastAsia="zh-CN" w:bidi="ar"/>
        </w:rPr>
        <w:t>综合分析各方</w:t>
      </w:r>
      <w:r>
        <w:rPr>
          <w:rFonts w:hint="eastAsia" w:ascii="仿宋_GB2312" w:hAnsi="仿宋_GB2312" w:eastAsia="仿宋_GB2312" w:cs="仿宋_GB2312"/>
          <w:sz w:val="32"/>
          <w:szCs w:val="32"/>
          <w:highlight w:val="none"/>
          <w:lang w:val="en-US" w:eastAsia="zh-CN"/>
        </w:rPr>
        <w:t>面因素，我们将根据我县经济社会发展实际，实事求是安排收入目标。2024年一般公共预算收入预期增长目标为8.5%。</w:t>
      </w:r>
    </w:p>
    <w:p w14:paraId="2DCB5EBA">
      <w:pPr>
        <w:keepNext w:val="0"/>
        <w:keepLines w:val="0"/>
        <w:pageBreakBefore w:val="0"/>
        <w:kinsoku/>
        <w:wordWrap/>
        <w:topLinePunct/>
        <w:bidi w:val="0"/>
        <w:snapToGrid w:val="0"/>
        <w:spacing w:line="560" w:lineRule="exact"/>
        <w:ind w:left="0" w:right="0" w:firstLine="655" w:firstLineChars="200"/>
        <w:jc w:val="both"/>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pacing w:val="3"/>
          <w:sz w:val="32"/>
          <w:szCs w:val="32"/>
          <w:highlight w:val="none"/>
        </w:rPr>
        <w:t>1.一般公共预算收支安排</w:t>
      </w:r>
    </w:p>
    <w:p w14:paraId="5F3C1081">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shd w:val="clear" w:color="auto" w:fill="auto"/>
          <w:lang w:val="en-US" w:eastAsia="zh-CN" w:bidi="ar"/>
        </w:rPr>
      </w:pPr>
      <w:r>
        <w:rPr>
          <w:rFonts w:hint="eastAsia" w:ascii="仿宋_GB2312" w:hAnsi="仿宋_GB2312" w:eastAsia="仿宋_GB2312" w:cs="仿宋_GB2312"/>
          <w:bCs/>
          <w:color w:val="auto"/>
          <w:kern w:val="2"/>
          <w:sz w:val="32"/>
          <w:szCs w:val="32"/>
          <w:highlight w:val="none"/>
          <w:lang w:val="en-US" w:eastAsia="zh-CN" w:bidi="ar"/>
        </w:rPr>
        <w:t>2024年全县一般公共预算收入安排16.93亿元</w:t>
      </w:r>
      <w:r>
        <w:rPr>
          <w:rFonts w:hint="eastAsia" w:ascii="仿宋_GB2312" w:hAnsi="仿宋_GB2312" w:eastAsia="仿宋_GB2312" w:cs="仿宋_GB2312"/>
          <w:color w:val="auto"/>
          <w:kern w:val="2"/>
          <w:sz w:val="32"/>
          <w:szCs w:val="32"/>
          <w:highlight w:val="none"/>
          <w:lang w:val="en-US" w:eastAsia="zh-CN" w:bidi="ar"/>
        </w:rPr>
        <w:t>，增长8.5%。其中：税收收入安排</w:t>
      </w:r>
      <w:r>
        <w:rPr>
          <w:rFonts w:hint="eastAsia" w:ascii="仿宋_GB2312" w:hAnsi="仿宋_GB2312" w:eastAsia="仿宋_GB2312" w:cs="仿宋_GB2312"/>
          <w:bCs/>
          <w:color w:val="auto"/>
          <w:kern w:val="2"/>
          <w:sz w:val="32"/>
          <w:szCs w:val="32"/>
          <w:highlight w:val="none"/>
          <w:shd w:val="clear" w:color="auto" w:fill="auto"/>
          <w:lang w:val="en-US" w:eastAsia="zh-CN" w:bidi="ar"/>
        </w:rPr>
        <w:t>11.58亿</w:t>
      </w:r>
      <w:r>
        <w:rPr>
          <w:rFonts w:hint="eastAsia" w:ascii="仿宋_GB2312" w:hAnsi="仿宋_GB2312" w:eastAsia="仿宋_GB2312" w:cs="仿宋_GB2312"/>
          <w:color w:val="auto"/>
          <w:kern w:val="2"/>
          <w:sz w:val="32"/>
          <w:szCs w:val="32"/>
          <w:highlight w:val="none"/>
          <w:shd w:val="clear" w:color="auto" w:fill="auto"/>
          <w:lang w:val="en-US" w:eastAsia="zh-CN" w:bidi="ar"/>
        </w:rPr>
        <w:t>元，非税收入安排</w:t>
      </w:r>
      <w:r>
        <w:rPr>
          <w:rFonts w:hint="eastAsia" w:ascii="仿宋_GB2312" w:hAnsi="仿宋_GB2312" w:eastAsia="仿宋_GB2312" w:cs="仿宋_GB2312"/>
          <w:bCs/>
          <w:color w:val="auto"/>
          <w:kern w:val="2"/>
          <w:sz w:val="32"/>
          <w:szCs w:val="32"/>
          <w:highlight w:val="none"/>
          <w:shd w:val="clear" w:color="auto" w:fill="auto"/>
          <w:lang w:val="en-US" w:eastAsia="zh-CN" w:bidi="ar"/>
        </w:rPr>
        <w:t>5.35亿</w:t>
      </w:r>
      <w:r>
        <w:rPr>
          <w:rFonts w:hint="eastAsia" w:ascii="仿宋_GB2312" w:hAnsi="仿宋_GB2312" w:eastAsia="仿宋_GB2312" w:cs="仿宋_GB2312"/>
          <w:color w:val="auto"/>
          <w:kern w:val="2"/>
          <w:sz w:val="32"/>
          <w:szCs w:val="32"/>
          <w:highlight w:val="none"/>
          <w:shd w:val="clear" w:color="auto" w:fill="auto"/>
          <w:lang w:val="en-US" w:eastAsia="zh-CN" w:bidi="ar"/>
        </w:rPr>
        <w:t>元，税比为</w:t>
      </w:r>
      <w:r>
        <w:rPr>
          <w:rFonts w:hint="eastAsia" w:ascii="仿宋_GB2312" w:hAnsi="仿宋_GB2312" w:eastAsia="仿宋_GB2312" w:cs="仿宋_GB2312"/>
          <w:bCs/>
          <w:color w:val="auto"/>
          <w:kern w:val="2"/>
          <w:sz w:val="32"/>
          <w:szCs w:val="32"/>
          <w:highlight w:val="none"/>
          <w:shd w:val="clear" w:color="auto" w:fill="auto"/>
          <w:lang w:val="en-US" w:eastAsia="zh-CN" w:bidi="ar"/>
        </w:rPr>
        <w:t>68.4</w:t>
      </w:r>
      <w:r>
        <w:rPr>
          <w:rFonts w:hint="eastAsia" w:ascii="仿宋_GB2312" w:hAnsi="仿宋_GB2312" w:eastAsia="仿宋_GB2312" w:cs="仿宋_GB2312"/>
          <w:color w:val="auto"/>
          <w:kern w:val="2"/>
          <w:sz w:val="32"/>
          <w:szCs w:val="32"/>
          <w:highlight w:val="none"/>
          <w:shd w:val="clear" w:color="auto" w:fill="auto"/>
          <w:lang w:val="en-US" w:eastAsia="zh-CN" w:bidi="ar"/>
        </w:rPr>
        <w:t>%。</w:t>
      </w:r>
    </w:p>
    <w:p w14:paraId="6B140026">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auto"/>
          <w:kern w:val="2"/>
          <w:sz w:val="32"/>
          <w:szCs w:val="32"/>
          <w:highlight w:val="none"/>
          <w:shd w:val="clear" w:color="auto" w:fill="auto"/>
          <w:lang w:val="en-US" w:eastAsia="zh-CN" w:bidi="ar"/>
        </w:rPr>
      </w:pPr>
      <w:r>
        <w:rPr>
          <w:rFonts w:hint="eastAsia" w:ascii="仿宋_GB2312" w:hAnsi="仿宋_GB2312" w:eastAsia="仿宋_GB2312" w:cs="仿宋_GB2312"/>
          <w:bCs/>
          <w:color w:val="auto"/>
          <w:kern w:val="2"/>
          <w:sz w:val="32"/>
          <w:szCs w:val="32"/>
          <w:highlight w:val="none"/>
          <w:shd w:val="clear" w:color="auto" w:fill="auto"/>
          <w:lang w:val="en-US" w:eastAsia="zh-CN" w:bidi="ar"/>
        </w:rPr>
        <w:t>2024年全县一般公共预算支出安排32.7亿元（不含结转），同口径增长6.2%。</w:t>
      </w:r>
    </w:p>
    <w:p w14:paraId="5F26FB9B">
      <w:pPr>
        <w:keepNext w:val="0"/>
        <w:keepLines w:val="0"/>
        <w:pageBreakBefore w:val="0"/>
        <w:kinsoku/>
        <w:wordWrap/>
        <w:topLinePunct/>
        <w:bidi w:val="0"/>
        <w:snapToGrid w:val="0"/>
        <w:spacing w:line="560" w:lineRule="exact"/>
        <w:ind w:left="0" w:right="0" w:firstLine="655" w:firstLineChars="200"/>
        <w:jc w:val="both"/>
        <w:outlineLvl w:val="0"/>
        <w:rPr>
          <w:rFonts w:hint="eastAsia" w:ascii="仿宋_GB2312" w:hAnsi="仿宋_GB2312" w:eastAsia="仿宋_GB2312" w:cs="仿宋_GB2312"/>
          <w:b/>
          <w:bCs/>
          <w:color w:val="auto"/>
          <w:spacing w:val="3"/>
          <w:sz w:val="32"/>
          <w:szCs w:val="32"/>
          <w:highlight w:val="none"/>
        </w:rPr>
      </w:pPr>
      <w:r>
        <w:rPr>
          <w:rFonts w:hint="eastAsia" w:ascii="仿宋_GB2312" w:hAnsi="仿宋_GB2312" w:eastAsia="仿宋_GB2312" w:cs="仿宋_GB2312"/>
          <w:b/>
          <w:bCs/>
          <w:color w:val="auto"/>
          <w:spacing w:val="3"/>
          <w:sz w:val="32"/>
          <w:szCs w:val="32"/>
          <w:highlight w:val="none"/>
        </w:rPr>
        <w:t>2.政府性基金预算安排</w:t>
      </w:r>
    </w:p>
    <w:p w14:paraId="14DD266C">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
        </w:rPr>
      </w:pPr>
      <w:r>
        <w:rPr>
          <w:rFonts w:hint="eastAsia" w:ascii="仿宋_GB2312" w:hAnsi="仿宋_GB2312" w:eastAsia="仿宋_GB2312" w:cs="仿宋_GB2312"/>
          <w:bCs/>
          <w:color w:val="auto"/>
          <w:kern w:val="2"/>
          <w:sz w:val="32"/>
          <w:szCs w:val="32"/>
          <w:highlight w:val="none"/>
          <w:lang w:val="en-US" w:eastAsia="zh-CN" w:bidi="ar"/>
        </w:rPr>
        <w:t>2024年全县政府性基金预算收入安排6.18亿元；政府性基金预算支出安排6.18亿元，主要用于国有土地储备、开发和城乡社区建设等支出。</w:t>
      </w:r>
    </w:p>
    <w:p w14:paraId="7837CAD2">
      <w:pPr>
        <w:keepNext w:val="0"/>
        <w:keepLines w:val="0"/>
        <w:pageBreakBefore w:val="0"/>
        <w:kinsoku/>
        <w:wordWrap/>
        <w:topLinePunct/>
        <w:bidi w:val="0"/>
        <w:snapToGrid w:val="0"/>
        <w:spacing w:line="560" w:lineRule="exact"/>
        <w:ind w:left="0" w:right="0" w:firstLine="655" w:firstLineChars="200"/>
        <w:jc w:val="both"/>
        <w:outlineLvl w:val="0"/>
        <w:rPr>
          <w:rFonts w:hint="eastAsia" w:ascii="仿宋_GB2312" w:hAnsi="仿宋_GB2312" w:eastAsia="仿宋_GB2312" w:cs="仿宋_GB2312"/>
          <w:b/>
          <w:bCs/>
          <w:color w:val="auto"/>
          <w:spacing w:val="3"/>
          <w:sz w:val="32"/>
          <w:szCs w:val="32"/>
          <w:highlight w:val="none"/>
        </w:rPr>
      </w:pPr>
      <w:r>
        <w:rPr>
          <w:rFonts w:hint="eastAsia" w:ascii="仿宋_GB2312" w:hAnsi="仿宋_GB2312" w:eastAsia="仿宋_GB2312" w:cs="仿宋_GB2312"/>
          <w:b/>
          <w:bCs/>
          <w:color w:val="auto"/>
          <w:spacing w:val="3"/>
          <w:sz w:val="32"/>
          <w:szCs w:val="32"/>
          <w:highlight w:val="none"/>
        </w:rPr>
        <w:t>3.国有资本经营预算安排</w:t>
      </w:r>
    </w:p>
    <w:p w14:paraId="25EB2D45">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2024年全县国有资本经营预算收入安排</w:t>
      </w:r>
      <w:r>
        <w:rPr>
          <w:rFonts w:hint="eastAsia" w:ascii="仿宋_GB2312" w:hAnsi="仿宋_GB2312" w:eastAsia="仿宋_GB2312" w:cs="仿宋_GB2312"/>
          <w:bCs/>
          <w:color w:val="auto"/>
          <w:kern w:val="2"/>
          <w:sz w:val="32"/>
          <w:szCs w:val="32"/>
          <w:highlight w:val="none"/>
          <w:lang w:val="en-US" w:eastAsia="zh-CN" w:bidi="ar"/>
        </w:rPr>
        <w:t>1000</w:t>
      </w:r>
      <w:r>
        <w:rPr>
          <w:rFonts w:hint="eastAsia" w:ascii="仿宋_GB2312" w:hAnsi="仿宋_GB2312" w:eastAsia="仿宋_GB2312" w:cs="仿宋_GB2312"/>
          <w:color w:val="auto"/>
          <w:kern w:val="2"/>
          <w:sz w:val="32"/>
          <w:szCs w:val="32"/>
          <w:highlight w:val="none"/>
          <w:lang w:val="en-US" w:eastAsia="zh-CN" w:bidi="ar"/>
        </w:rPr>
        <w:t>万元，国有资本经营预算支出安排</w:t>
      </w:r>
      <w:r>
        <w:rPr>
          <w:rFonts w:hint="eastAsia" w:ascii="仿宋_GB2312" w:hAnsi="仿宋_GB2312" w:eastAsia="仿宋_GB2312" w:cs="仿宋_GB2312"/>
          <w:bCs/>
          <w:color w:val="auto"/>
          <w:kern w:val="2"/>
          <w:sz w:val="32"/>
          <w:szCs w:val="32"/>
          <w:highlight w:val="none"/>
          <w:lang w:val="en-US" w:eastAsia="zh-CN" w:bidi="ar"/>
        </w:rPr>
        <w:t>1000</w:t>
      </w:r>
      <w:r>
        <w:rPr>
          <w:rFonts w:hint="eastAsia" w:ascii="仿宋_GB2312" w:hAnsi="仿宋_GB2312" w:eastAsia="仿宋_GB2312" w:cs="仿宋_GB2312"/>
          <w:color w:val="auto"/>
          <w:kern w:val="2"/>
          <w:sz w:val="32"/>
          <w:szCs w:val="32"/>
          <w:highlight w:val="none"/>
          <w:lang w:val="en-US" w:eastAsia="zh-CN" w:bidi="ar"/>
        </w:rPr>
        <w:t>万元，主要用于支持国有企业发展。</w:t>
      </w:r>
    </w:p>
    <w:p w14:paraId="1D4E0651">
      <w:pPr>
        <w:keepNext w:val="0"/>
        <w:keepLines w:val="0"/>
        <w:pageBreakBefore w:val="0"/>
        <w:kinsoku/>
        <w:wordWrap/>
        <w:topLinePunct/>
        <w:bidi w:val="0"/>
        <w:snapToGrid w:val="0"/>
        <w:spacing w:line="560" w:lineRule="exact"/>
        <w:ind w:left="0" w:right="0" w:firstLine="655" w:firstLineChars="200"/>
        <w:jc w:val="both"/>
        <w:outlineLvl w:val="0"/>
        <w:rPr>
          <w:rFonts w:hint="eastAsia" w:ascii="仿宋_GB2312" w:hAnsi="仿宋_GB2312" w:eastAsia="仿宋_GB2312" w:cs="仿宋_GB2312"/>
          <w:b/>
          <w:bCs/>
          <w:color w:val="auto"/>
          <w:spacing w:val="3"/>
          <w:sz w:val="32"/>
          <w:szCs w:val="32"/>
          <w:highlight w:val="none"/>
        </w:rPr>
      </w:pPr>
      <w:r>
        <w:rPr>
          <w:rFonts w:hint="eastAsia" w:ascii="仿宋_GB2312" w:hAnsi="仿宋_GB2312" w:eastAsia="仿宋_GB2312" w:cs="仿宋_GB2312"/>
          <w:b/>
          <w:bCs/>
          <w:color w:val="auto"/>
          <w:spacing w:val="3"/>
          <w:sz w:val="32"/>
          <w:szCs w:val="32"/>
          <w:highlight w:val="none"/>
        </w:rPr>
        <w:t>4.社会保险基金预算安排</w:t>
      </w:r>
    </w:p>
    <w:p w14:paraId="3273FCC2">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2024年全县社会保险基金预算收入安排</w:t>
      </w:r>
      <w:r>
        <w:rPr>
          <w:rFonts w:hint="eastAsia" w:ascii="仿宋_GB2312" w:hAnsi="仿宋_GB2312" w:eastAsia="仿宋_GB2312" w:cs="仿宋_GB2312"/>
          <w:bCs/>
          <w:color w:val="auto"/>
          <w:kern w:val="2"/>
          <w:sz w:val="32"/>
          <w:szCs w:val="32"/>
          <w:highlight w:val="none"/>
          <w:lang w:val="en-US" w:eastAsia="zh-CN" w:bidi="ar"/>
        </w:rPr>
        <w:t>4.66亿</w:t>
      </w:r>
      <w:r>
        <w:rPr>
          <w:rFonts w:hint="eastAsia" w:ascii="仿宋_GB2312" w:hAnsi="仿宋_GB2312" w:eastAsia="仿宋_GB2312" w:cs="仿宋_GB2312"/>
          <w:color w:val="auto"/>
          <w:kern w:val="2"/>
          <w:sz w:val="32"/>
          <w:szCs w:val="32"/>
          <w:highlight w:val="none"/>
          <w:lang w:val="en-US" w:eastAsia="zh-CN" w:bidi="ar"/>
        </w:rPr>
        <w:t>元，支出预算安排</w:t>
      </w:r>
      <w:r>
        <w:rPr>
          <w:rFonts w:hint="eastAsia" w:ascii="仿宋_GB2312" w:hAnsi="仿宋_GB2312" w:eastAsia="仿宋_GB2312" w:cs="仿宋_GB2312"/>
          <w:bCs/>
          <w:color w:val="auto"/>
          <w:kern w:val="2"/>
          <w:sz w:val="32"/>
          <w:szCs w:val="32"/>
          <w:highlight w:val="none"/>
          <w:lang w:val="en-US" w:eastAsia="zh-CN" w:bidi="ar"/>
        </w:rPr>
        <w:t>4.12亿</w:t>
      </w:r>
      <w:r>
        <w:rPr>
          <w:rFonts w:hint="eastAsia" w:ascii="仿宋_GB2312" w:hAnsi="仿宋_GB2312" w:eastAsia="仿宋_GB2312" w:cs="仿宋_GB2312"/>
          <w:color w:val="auto"/>
          <w:kern w:val="2"/>
          <w:sz w:val="32"/>
          <w:szCs w:val="32"/>
          <w:highlight w:val="none"/>
          <w:lang w:val="en-US" w:eastAsia="zh-CN" w:bidi="ar"/>
        </w:rPr>
        <w:t>元。</w:t>
      </w:r>
    </w:p>
    <w:p w14:paraId="1282173F">
      <w:pPr>
        <w:keepNext w:val="0"/>
        <w:keepLines w:val="0"/>
        <w:pageBreakBefore w:val="0"/>
        <w:kinsoku/>
        <w:wordWrap/>
        <w:topLinePunct/>
        <w:bidi w:val="0"/>
        <w:snapToGrid w:val="0"/>
        <w:spacing w:line="560" w:lineRule="exact"/>
        <w:ind w:left="0" w:right="0" w:firstLine="656" w:firstLineChars="200"/>
        <w:jc w:val="both"/>
        <w:outlineLvl w:val="0"/>
        <w:rPr>
          <w:rFonts w:ascii="黑体" w:hAnsi="黑体" w:eastAsia="黑体" w:cs="黑体"/>
          <w:b w:val="0"/>
          <w:bCs w:val="0"/>
          <w:sz w:val="32"/>
          <w:szCs w:val="32"/>
          <w:highlight w:val="none"/>
        </w:rPr>
      </w:pPr>
      <w:r>
        <w:rPr>
          <w:rFonts w:ascii="黑体" w:hAnsi="黑体" w:eastAsia="黑体" w:cs="黑体"/>
          <w:b w:val="0"/>
          <w:bCs w:val="0"/>
          <w:spacing w:val="4"/>
          <w:sz w:val="32"/>
          <w:szCs w:val="32"/>
          <w:highlight w:val="none"/>
        </w:rPr>
        <w:t>三、202</w:t>
      </w:r>
      <w:r>
        <w:rPr>
          <w:rFonts w:hint="eastAsia" w:ascii="黑体" w:hAnsi="黑体" w:eastAsia="黑体" w:cs="黑体"/>
          <w:b w:val="0"/>
          <w:bCs w:val="0"/>
          <w:spacing w:val="4"/>
          <w:sz w:val="32"/>
          <w:szCs w:val="32"/>
          <w:highlight w:val="none"/>
          <w:lang w:val="en-US" w:eastAsia="zh-CN"/>
        </w:rPr>
        <w:t>4</w:t>
      </w:r>
      <w:r>
        <w:rPr>
          <w:rFonts w:ascii="黑体" w:hAnsi="黑体" w:eastAsia="黑体" w:cs="黑体"/>
          <w:b w:val="0"/>
          <w:bCs w:val="0"/>
          <w:spacing w:val="4"/>
          <w:sz w:val="32"/>
          <w:szCs w:val="32"/>
          <w:highlight w:val="none"/>
        </w:rPr>
        <w:t>年财政重点工作</w:t>
      </w:r>
    </w:p>
    <w:p w14:paraId="4B031C8F">
      <w:pPr>
        <w:keepNext w:val="0"/>
        <w:keepLines w:val="0"/>
        <w:pageBreakBefore w:val="0"/>
        <w:kinsoku/>
        <w:wordWrap/>
        <w:topLinePunct/>
        <w:bidi w:val="0"/>
        <w:snapToGrid w:val="0"/>
        <w:spacing w:line="560" w:lineRule="exact"/>
        <w:ind w:left="0" w:right="0" w:firstLine="640" w:firstLineChars="200"/>
        <w:jc w:val="both"/>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2024年全县财政工作将站位新起点、聚焦新目标，贯彻“积极的财政政策要加力提效、注重精准、更可持续”要求，提升财政管理水平，</w:t>
      </w:r>
      <w:r>
        <w:rPr>
          <w:rFonts w:hint="eastAsia" w:ascii="仿宋_GB2312" w:hAnsi="仿宋_GB2312" w:eastAsia="仿宋_GB2312" w:cs="仿宋_GB2312"/>
          <w:snapToGrid w:val="0"/>
          <w:color w:val="auto"/>
          <w:kern w:val="2"/>
          <w:sz w:val="32"/>
          <w:szCs w:val="32"/>
          <w:highlight w:val="none"/>
          <w:lang w:val="en-US" w:eastAsia="zh-CN" w:bidi="ar"/>
        </w:rPr>
        <w:t>提振市场主体信心，推动经济实现质的有效提升和量的合理增长。围绕全年经济社会发展任务，重抓重推六个方面工作：</w:t>
      </w:r>
    </w:p>
    <w:p w14:paraId="576CB71C">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spacing w:val="3"/>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（一）高位推动，精准施策，加力提效实施积极财政政策</w:t>
      </w:r>
    </w:p>
    <w:p w14:paraId="3C116D20">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right="0" w:rightChars="0" w:firstLine="643" w:firstLineChars="200"/>
        <w:jc w:val="both"/>
        <w:textAlignment w:val="auto"/>
        <w:rPr>
          <w:rFonts w:hint="default"/>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
        </w:rPr>
        <w:t>释放投资关键作用。</w:t>
      </w:r>
      <w:r>
        <w:rPr>
          <w:rFonts w:hint="eastAsia" w:ascii="仿宋_GB2312" w:hAnsi="仿宋_GB2312" w:eastAsia="仿宋_GB2312" w:cs="仿宋_GB2312"/>
          <w:b w:val="0"/>
          <w:bCs w:val="0"/>
          <w:color w:val="auto"/>
          <w:kern w:val="2"/>
          <w:sz w:val="32"/>
          <w:szCs w:val="32"/>
          <w:highlight w:val="none"/>
          <w:lang w:val="en-US" w:eastAsia="zh-CN" w:bidi="ar"/>
        </w:rPr>
        <w:t>着力发挥重大项目牵引和政府投资放大带动作用，加大项目谋划力度，紧盯省市重点项目、中央预算内投资项目、专项债项目建设进度，加强前期包装和项目管理，积极筹措配套资金，确保项目尽快开工建设。</w:t>
      </w:r>
    </w:p>
    <w:p w14:paraId="10A43B0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right="0" w:rightChars="0" w:firstLine="655"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spacing w:val="3"/>
          <w:sz w:val="32"/>
          <w:szCs w:val="32"/>
          <w:highlight w:val="none"/>
          <w:lang w:val="en-US" w:eastAsia="zh-CN"/>
        </w:rPr>
        <w:t>强化消费基础作用。</w:t>
      </w:r>
      <w:r>
        <w:rPr>
          <w:rFonts w:hint="eastAsia" w:ascii="仿宋_GB2312" w:hAnsi="仿宋_GB2312" w:eastAsia="仿宋_GB2312" w:cs="仿宋_GB2312"/>
          <w:b w:val="0"/>
          <w:bCs w:val="0"/>
          <w:color w:val="auto"/>
          <w:kern w:val="2"/>
          <w:sz w:val="32"/>
          <w:szCs w:val="32"/>
          <w:highlight w:val="none"/>
          <w:lang w:val="en-US" w:eastAsia="zh-CN" w:bidi="ar"/>
        </w:rPr>
        <w:t>围绕消费升级方向，在提振传统消费、升级文旅消费、挖掘新兴消费、提质消费载体上加强引导，落实国家、省市各项促消费政策，通过“真金白银”的消费补贴，进一步激发消费潜力。</w:t>
      </w:r>
    </w:p>
    <w:p w14:paraId="0D66956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
        </w:rPr>
        <w:t>加大主体支撑作用。</w:t>
      </w:r>
      <w:r>
        <w:rPr>
          <w:rFonts w:hint="eastAsia" w:ascii="仿宋_GB2312" w:hAnsi="仿宋_GB2312" w:eastAsia="仿宋_GB2312" w:cs="仿宋_GB2312"/>
          <w:color w:val="auto"/>
          <w:sz w:val="32"/>
          <w:szCs w:val="32"/>
          <w:highlight w:val="none"/>
          <w:lang w:val="en-US" w:eastAsia="zh-CN"/>
        </w:rPr>
        <w:t>持续开展“万人助万企”活动，</w:t>
      </w:r>
      <w:r>
        <w:rPr>
          <w:rFonts w:hint="eastAsia" w:ascii="仿宋_GB2312" w:hAnsi="仿宋_GB2312" w:eastAsia="仿宋_GB2312" w:cs="仿宋_GB2312"/>
          <w:color w:val="auto"/>
          <w:sz w:val="32"/>
          <w:szCs w:val="32"/>
          <w:highlight w:val="none"/>
        </w:rPr>
        <w:t>落实</w:t>
      </w:r>
      <w:r>
        <w:rPr>
          <w:rFonts w:hint="eastAsia" w:ascii="仿宋_GB2312" w:hAnsi="仿宋_GB2312" w:eastAsia="仿宋_GB2312" w:cs="仿宋_GB2312"/>
          <w:color w:val="auto"/>
          <w:sz w:val="32"/>
          <w:szCs w:val="32"/>
          <w:highlight w:val="none"/>
          <w:lang w:val="en-US" w:eastAsia="zh-CN"/>
        </w:rPr>
        <w:t>好</w:t>
      </w:r>
      <w:r>
        <w:rPr>
          <w:rFonts w:hint="eastAsia" w:ascii="仿宋_GB2312" w:hAnsi="仿宋_GB2312" w:eastAsia="仿宋_GB2312" w:cs="仿宋_GB2312"/>
          <w:color w:val="auto"/>
          <w:sz w:val="32"/>
          <w:szCs w:val="32"/>
          <w:highlight w:val="none"/>
        </w:rPr>
        <w:t>财政各项</w:t>
      </w:r>
      <w:r>
        <w:rPr>
          <w:rFonts w:hint="eastAsia" w:ascii="仿宋_GB2312" w:hAnsi="仿宋_GB2312" w:eastAsia="仿宋_GB2312" w:cs="仿宋_GB2312"/>
          <w:color w:val="auto"/>
          <w:sz w:val="32"/>
          <w:szCs w:val="32"/>
          <w:highlight w:val="none"/>
          <w:lang w:val="en-US" w:eastAsia="zh-CN"/>
        </w:rPr>
        <w:t>惠企</w:t>
      </w:r>
      <w:r>
        <w:rPr>
          <w:rFonts w:hint="eastAsia" w:ascii="仿宋_GB2312" w:hAnsi="仿宋_GB2312" w:eastAsia="仿宋_GB2312" w:cs="仿宋_GB2312"/>
          <w:color w:val="auto"/>
          <w:sz w:val="32"/>
          <w:szCs w:val="32"/>
          <w:highlight w:val="none"/>
        </w:rPr>
        <w:t>政策，</w:t>
      </w:r>
      <w:r>
        <w:rPr>
          <w:rFonts w:hint="eastAsia" w:ascii="仿宋_GB2312" w:hAnsi="仿宋_GB2312" w:eastAsia="仿宋_GB2312" w:cs="仿宋_GB2312"/>
          <w:color w:val="auto"/>
          <w:sz w:val="32"/>
          <w:szCs w:val="32"/>
          <w:highlight w:val="none"/>
          <w:lang w:val="en-US" w:eastAsia="zh-CN"/>
        </w:rPr>
        <w:t>发挥援企稳企、税费优惠、资金奖补等政策组合效应，全力推动中小企业向“专精特新”发展，充分激发各类经营主体的内生动力和创新活力。</w:t>
      </w:r>
    </w:p>
    <w:p w14:paraId="4BB9AFC7">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（二）多措并举，实干笃行，全面提升财政综合保障能力</w:t>
      </w:r>
    </w:p>
    <w:p w14:paraId="3CDFF9D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推动现代产业发展。</w:t>
      </w:r>
      <w:r>
        <w:rPr>
          <w:rFonts w:hint="eastAsia" w:ascii="仿宋_GB2312" w:hAnsi="仿宋_GB2312" w:eastAsia="仿宋_GB2312" w:cs="仿宋_GB2312"/>
          <w:color w:val="auto"/>
          <w:sz w:val="32"/>
          <w:szCs w:val="32"/>
          <w:highlight w:val="none"/>
          <w:lang w:val="en-US" w:eastAsia="zh-CN"/>
        </w:rPr>
        <w:t>发挥财政资金引导作用，支持构建特色鲜明的现代产业新体系，推动传统产业转型升级，支持发展合成生物、新能源装备等未来产业，推动全县制造业产业链优化、价值链跃升、竞争力重塑。</w:t>
      </w:r>
    </w:p>
    <w:p w14:paraId="07C3440E">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
        </w:rPr>
        <w:t>强化科技创新投入。</w:t>
      </w:r>
      <w:r>
        <w:rPr>
          <w:rFonts w:hint="eastAsia" w:ascii="仿宋_GB2312" w:hAnsi="仿宋_GB2312" w:eastAsia="仿宋_GB2312" w:cs="仿宋_GB2312"/>
          <w:color w:val="auto"/>
          <w:sz w:val="32"/>
          <w:szCs w:val="32"/>
          <w:highlight w:val="none"/>
          <w:lang w:val="en-US" w:eastAsia="zh-CN"/>
        </w:rPr>
        <w:t>坚持企业创新主体地位，落实好研发费用加计扣除、科技成果转化税收减免、固定资产加速折旧等优惠政策，激发企业创新活力，推进高新技术企业倍增计划，完善科技投入保障机制，落实落细支持科技创新，发展财政政策。</w:t>
      </w:r>
    </w:p>
    <w:p w14:paraId="5B061943">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推动</w:t>
      </w:r>
      <w:r>
        <w:rPr>
          <w:rFonts w:hint="eastAsia" w:ascii="仿宋_GB2312" w:hAnsi="仿宋_GB2312" w:eastAsia="仿宋_GB2312" w:cs="仿宋_GB2312"/>
          <w:b/>
          <w:color w:val="auto"/>
          <w:sz w:val="32"/>
          <w:szCs w:val="32"/>
          <w:highlight w:val="none"/>
        </w:rPr>
        <w:t>城</w:t>
      </w:r>
      <w:r>
        <w:rPr>
          <w:rFonts w:hint="eastAsia" w:ascii="仿宋_GB2312" w:hAnsi="仿宋_GB2312" w:eastAsia="仿宋_GB2312" w:cs="仿宋_GB2312"/>
          <w:b/>
          <w:color w:val="auto"/>
          <w:sz w:val="32"/>
          <w:szCs w:val="32"/>
          <w:highlight w:val="none"/>
          <w:lang w:val="en-US" w:eastAsia="zh-CN"/>
        </w:rPr>
        <w:t>乡融合发展</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全力支持李家畈水库建设和老旧供水管网提升改造工程。加快推动南信合高铁、邓桐高速、G312国道桐柏境一级公路改建工程前期工作。统筹推进城乡配套基础设施建设，支持全国文明城市创建，加快打造宜居、韧性、智慧城市。</w:t>
      </w:r>
    </w:p>
    <w:p w14:paraId="7EA98D0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（三）创新提升，强农惠农，持续加大支持“三农”发展力度</w:t>
      </w:r>
    </w:p>
    <w:p w14:paraId="04C4F7B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 w:eastAsia="仿宋_GB2312" w:cs="仿宋"/>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
        </w:rPr>
        <w:t>支持发展现代农业。</w:t>
      </w:r>
      <w:r>
        <w:rPr>
          <w:rFonts w:hint="eastAsia" w:ascii="仿宋_GB2312" w:hAnsi="仿宋_GB2312" w:eastAsia="仿宋_GB2312" w:cs="仿宋_GB2312"/>
          <w:color w:val="auto"/>
          <w:sz w:val="32"/>
          <w:szCs w:val="32"/>
          <w:highlight w:val="none"/>
          <w:lang w:val="en-US" w:eastAsia="zh-CN"/>
        </w:rPr>
        <w:t>坚持藏粮于地、藏粮于技，多渠道筹措资金，加快健全现代农业全产业链。支持高标准农田建设，推动完善“4+N”特色产业布局及现代畜牧业发展。大力支持示范村镇、知名农业品牌创建，全力配合</w:t>
      </w:r>
      <w:r>
        <w:rPr>
          <w:rFonts w:hint="eastAsia" w:ascii="仿宋_GB2312" w:hAnsi="仿宋" w:eastAsia="仿宋_GB2312" w:cs="仿宋"/>
          <w:sz w:val="32"/>
          <w:szCs w:val="32"/>
          <w:highlight w:val="none"/>
        </w:rPr>
        <w:t>争创国家农产品质量安全县、国家农业绿色发展先行区。</w:t>
      </w:r>
    </w:p>
    <w:p w14:paraId="32E6F23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
        </w:rPr>
        <w:t>推动乡村全面振兴。</w:t>
      </w:r>
      <w:r>
        <w:rPr>
          <w:rFonts w:hint="eastAsia" w:ascii="仿宋_GB2312" w:hAnsi="仿宋_GB2312" w:eastAsia="仿宋_GB2312" w:cs="仿宋_GB2312"/>
          <w:color w:val="auto"/>
          <w:sz w:val="32"/>
          <w:szCs w:val="32"/>
          <w:highlight w:val="none"/>
          <w:lang w:val="en-US" w:eastAsia="zh-CN"/>
        </w:rPr>
        <w:t>落实和完善兜底保障政策，</w:t>
      </w:r>
      <w:r>
        <w:rPr>
          <w:rFonts w:hint="eastAsia" w:ascii="仿宋_GB2312" w:hAnsi="仿宋_GB2312" w:eastAsia="仿宋_GB2312" w:cs="仿宋_GB2312"/>
          <w:color w:val="auto"/>
          <w:sz w:val="32"/>
          <w:szCs w:val="32"/>
          <w:highlight w:val="none"/>
        </w:rPr>
        <w:t>坚决守住不发生规模性返贫底线</w:t>
      </w:r>
      <w:r>
        <w:rPr>
          <w:rFonts w:hint="eastAsia" w:ascii="仿宋_GB2312" w:hAnsi="仿宋_GB2312" w:eastAsia="仿宋_GB2312" w:cs="仿宋_GB2312"/>
          <w:color w:val="auto"/>
          <w:sz w:val="32"/>
          <w:szCs w:val="32"/>
          <w:highlight w:val="none"/>
          <w:lang w:val="en-US" w:eastAsia="zh-CN"/>
        </w:rPr>
        <w:t>。稳步提高衔接资金用于产业的比重。加强产业和就业帮扶，切实增强脱贫区域和脱贫群众内生发展动力。</w:t>
      </w:r>
    </w:p>
    <w:p w14:paraId="72E84CC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
        </w:rPr>
        <w:t>加快实现宜居宜业。</w:t>
      </w:r>
      <w:r>
        <w:rPr>
          <w:rFonts w:hint="eastAsia" w:ascii="仿宋_GB2312" w:hAnsi="仿宋_GB2312" w:eastAsia="仿宋_GB2312" w:cs="仿宋_GB2312"/>
          <w:b w:val="0"/>
          <w:bCs w:val="0"/>
          <w:color w:val="auto"/>
          <w:kern w:val="2"/>
          <w:sz w:val="32"/>
          <w:szCs w:val="32"/>
          <w:highlight w:val="none"/>
          <w:lang w:val="en-US" w:eastAsia="zh-CN" w:bidi="ar"/>
        </w:rPr>
        <w:t>全力配合实施百村提质工程和示范创建行动，高质量打造“千万工程”示范带、和美乡村、农村人居环境示范村。支持省级示范乡镇、市级示范乡镇、市级示范村建设，补齐基础设施和公共服务短板，不断改善农村生产条件和人居环境。</w:t>
      </w:r>
    </w:p>
    <w:p w14:paraId="56F8551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（四）担纲担责，优化政策，更大力度保障改善民生福祉</w:t>
      </w:r>
    </w:p>
    <w:p w14:paraId="46BC61F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default" w:ascii="仿宋_GB2312" w:hAnsi="仿宋_GB2312" w:eastAsia="仿宋_GB2312" w:cs="仿宋_GB2312"/>
          <w:b/>
          <w:bCs w:val="0"/>
          <w:color w:val="auto"/>
          <w:kern w:val="2"/>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
        </w:rPr>
        <w:t>支持稳就业促就业。</w:t>
      </w:r>
      <w:r>
        <w:rPr>
          <w:rFonts w:hint="eastAsia" w:ascii="仿宋_GB2312" w:hAnsi="仿宋_GB2312" w:eastAsia="仿宋_GB2312" w:cs="仿宋_GB2312"/>
          <w:bCs/>
          <w:color w:val="auto"/>
          <w:kern w:val="2"/>
          <w:sz w:val="32"/>
          <w:szCs w:val="32"/>
          <w:highlight w:val="none"/>
          <w:lang w:val="en-US" w:eastAsia="zh-CN" w:bidi="ar"/>
        </w:rPr>
        <w:t>聚焦高校毕业生、退役军人、农民工等重点群体就业扶持，统筹运用税费减免、社保补贴、贷款贴息等政策举措，加大稳岗扩岗政策支持，强化就业补助资金正向激励作用，促进就业形势总体稳定。推进“人人持证、技能河南”、就业服务“四级两体系”建设提质增效。</w:t>
      </w:r>
    </w:p>
    <w:p w14:paraId="5F698CA2">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default" w:ascii="仿宋_GB2312" w:hAnsi="仿宋_GB2312" w:eastAsia="仿宋_GB2312" w:cs="仿宋_GB2312"/>
          <w:b/>
          <w:bCs w:val="0"/>
          <w:color w:val="auto"/>
          <w:kern w:val="2"/>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
        </w:rPr>
        <w:t>加强医疗卫生保障。</w:t>
      </w:r>
      <w:r>
        <w:rPr>
          <w:rFonts w:hint="eastAsia" w:ascii="仿宋_GB2312" w:hAnsi="仿宋_GB2312" w:eastAsia="仿宋_GB2312" w:cs="仿宋_GB2312"/>
          <w:bCs/>
          <w:color w:val="auto"/>
          <w:kern w:val="2"/>
          <w:sz w:val="32"/>
          <w:szCs w:val="32"/>
          <w:highlight w:val="none"/>
          <w:lang w:val="en-US" w:eastAsia="zh-CN" w:bidi="ar"/>
        </w:rPr>
        <w:t>继续提高城乡居民基本医疗保险财政补助和个人缴费标准，着力减轻群众看病就医负担。推动健全公共卫生体系，支持县人民医院综合楼项目建设，积极推进全国基层中医药工作示范县创建。</w:t>
      </w:r>
    </w:p>
    <w:p w14:paraId="5E2A8B3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bCs/>
          <w:color w:val="auto"/>
          <w:kern w:val="2"/>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
        </w:rPr>
        <w:t>助力教育优先发展。</w:t>
      </w:r>
      <w:r>
        <w:rPr>
          <w:rFonts w:hint="eastAsia" w:ascii="仿宋_GB2312" w:hAnsi="仿宋_GB2312" w:eastAsia="仿宋_GB2312" w:cs="仿宋_GB2312"/>
          <w:bCs/>
          <w:color w:val="auto"/>
          <w:kern w:val="2"/>
          <w:sz w:val="32"/>
          <w:szCs w:val="32"/>
          <w:highlight w:val="none"/>
          <w:lang w:val="en-US" w:eastAsia="zh-CN" w:bidi="ar"/>
        </w:rPr>
        <w:t>继续加大教育投入，深入实施教育强县三年行动计划，支持教育队伍建设，切实落实好生均拨款制度和义务教育经费保障机制，支持淮北二中开工建设，优化办学条件，提升教学质量。</w:t>
      </w:r>
    </w:p>
    <w:p w14:paraId="7EFD6BD6">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bCs/>
          <w:color w:val="auto"/>
          <w:kern w:val="2"/>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
        </w:rPr>
        <w:t>推动文化繁荣发展。</w:t>
      </w:r>
      <w:r>
        <w:rPr>
          <w:rFonts w:hint="eastAsia" w:ascii="仿宋_GB2312" w:hAnsi="仿宋_GB2312" w:eastAsia="仿宋_GB2312" w:cs="仿宋_GB2312"/>
          <w:bCs/>
          <w:color w:val="auto"/>
          <w:kern w:val="2"/>
          <w:sz w:val="32"/>
          <w:szCs w:val="32"/>
          <w:highlight w:val="none"/>
          <w:lang w:val="en-US" w:eastAsia="zh-CN" w:bidi="ar"/>
        </w:rPr>
        <w:t>落实公共文化服务财政保障机制，推进城乡公共文化服务体系一体建设。支持公益性文化设施免费开放和公共体育场馆低收费或免费开放，更好满足人民群众精神文化生活需求。</w:t>
      </w:r>
    </w:p>
    <w:p w14:paraId="7BE2BAE8">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default" w:ascii="仿宋_GB2312" w:hAnsi="仿宋_GB2312" w:eastAsia="仿宋_GB2312" w:cs="仿宋_GB2312"/>
          <w:b w:val="0"/>
          <w:bCs/>
          <w:color w:val="auto"/>
          <w:kern w:val="2"/>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
        </w:rPr>
        <w:t>完善社会保障体系。</w:t>
      </w:r>
      <w:r>
        <w:rPr>
          <w:rFonts w:hint="eastAsia" w:ascii="仿宋_GB2312" w:hAnsi="仿宋_GB2312" w:eastAsia="仿宋_GB2312" w:cs="仿宋_GB2312"/>
          <w:b w:val="0"/>
          <w:bCs/>
          <w:color w:val="auto"/>
          <w:kern w:val="2"/>
          <w:sz w:val="32"/>
          <w:szCs w:val="32"/>
          <w:highlight w:val="none"/>
          <w:lang w:val="en-US" w:eastAsia="zh-CN" w:bidi="ar"/>
        </w:rPr>
        <w:t>持续完善社保惠民体系，进一步密织扎牢困难群众兜底保障网。支持开展全面参保攻坚行动，稳步提高社保待遇。推进问题楼盘处置化解、“保交楼”及保障性住房建设工作。持续支持乡镇敬老院升级改造工程，提升养老服务质量。</w:t>
      </w:r>
    </w:p>
    <w:p w14:paraId="3D4A3D02">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
        </w:rPr>
        <w:t>持续加强生态建设。</w:t>
      </w:r>
      <w:r>
        <w:rPr>
          <w:rFonts w:hint="eastAsia" w:ascii="仿宋_GB2312" w:hAnsi="仿宋_GB2312" w:eastAsia="仿宋_GB2312" w:cs="仿宋_GB2312"/>
          <w:b w:val="0"/>
          <w:bCs/>
          <w:color w:val="auto"/>
          <w:kern w:val="2"/>
          <w:sz w:val="32"/>
          <w:szCs w:val="32"/>
          <w:highlight w:val="none"/>
          <w:lang w:val="en-US" w:eastAsia="zh-CN" w:bidi="ar"/>
        </w:rPr>
        <w:t>统筹安排专项资金，支持持续打好污染防治攻坚战，支持创建空气质量国家二级标准达标县，推进污染源溯源整治，持续改善水生态环境。推进桐柏程湾抽水蓄能电站项目建设纳入河南省抽水蓄能电站中长期规划“十四五”重点实施项目，着力打造清洁低碳、安全高效能源体系。落实政府绿色采购政策，加大绿色低碳产品采购力度。</w:t>
      </w:r>
    </w:p>
    <w:p w14:paraId="76986F38">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推动社会安全治理。</w:t>
      </w:r>
      <w:r>
        <w:rPr>
          <w:rFonts w:hint="eastAsia" w:ascii="仿宋_GB2312" w:hAnsi="仿宋_GB2312" w:eastAsia="仿宋_GB2312" w:cs="仿宋_GB2312"/>
          <w:b w:val="0"/>
          <w:bCs/>
          <w:color w:val="auto"/>
          <w:kern w:val="2"/>
          <w:sz w:val="32"/>
          <w:szCs w:val="32"/>
          <w:highlight w:val="none"/>
          <w:lang w:val="en-US" w:eastAsia="zh-CN" w:bidi="ar"/>
        </w:rPr>
        <w:t>支持开展</w:t>
      </w:r>
      <w:r>
        <w:rPr>
          <w:rFonts w:hint="eastAsia" w:ascii="仿宋_GB2312" w:hAnsi="仿宋_GB2312" w:eastAsia="仿宋_GB2312" w:cs="仿宋_GB2312"/>
          <w:b w:val="0"/>
          <w:bCs/>
          <w:color w:val="auto"/>
          <w:kern w:val="2"/>
          <w:sz w:val="32"/>
          <w:szCs w:val="32"/>
          <w:highlight w:val="none"/>
          <w:lang w:val="en" w:eastAsia="zh-CN" w:bidi="ar"/>
        </w:rPr>
        <w:t>“</w:t>
      </w:r>
      <w:r>
        <w:rPr>
          <w:rFonts w:hint="eastAsia" w:ascii="仿宋_GB2312" w:hAnsi="仿宋_GB2312" w:eastAsia="仿宋_GB2312" w:cs="仿宋_GB2312"/>
          <w:b w:val="0"/>
          <w:bCs/>
          <w:color w:val="auto"/>
          <w:kern w:val="2"/>
          <w:sz w:val="32"/>
          <w:szCs w:val="32"/>
          <w:highlight w:val="none"/>
          <w:lang w:val="en-US" w:eastAsia="zh-CN" w:bidi="ar"/>
        </w:rPr>
        <w:t>安全生产除险清患年</w:t>
      </w:r>
      <w:r>
        <w:rPr>
          <w:rFonts w:hint="eastAsia" w:ascii="仿宋_GB2312" w:hAnsi="仿宋_GB2312" w:eastAsia="仿宋_GB2312" w:cs="仿宋_GB2312"/>
          <w:b w:val="0"/>
          <w:bCs/>
          <w:color w:val="auto"/>
          <w:kern w:val="2"/>
          <w:sz w:val="32"/>
          <w:szCs w:val="32"/>
          <w:highlight w:val="none"/>
          <w:lang w:val="en" w:eastAsia="zh-CN" w:bidi="ar"/>
        </w:rPr>
        <w:t>”</w:t>
      </w:r>
      <w:r>
        <w:rPr>
          <w:rFonts w:hint="eastAsia" w:ascii="仿宋_GB2312" w:hAnsi="仿宋_GB2312" w:eastAsia="仿宋_GB2312" w:cs="仿宋_GB2312"/>
          <w:b w:val="0"/>
          <w:bCs/>
          <w:color w:val="auto"/>
          <w:kern w:val="2"/>
          <w:sz w:val="32"/>
          <w:szCs w:val="32"/>
          <w:highlight w:val="none"/>
          <w:lang w:val="en-US" w:eastAsia="zh-CN" w:bidi="ar"/>
        </w:rPr>
        <w:t>活动，创建更加安全稳定的社会环境。支持推进邻里中心、乡里中心、智慧矫正中心建设，提升群众获得感、幸福感、安全感。支持争创全省守法普法示范县、全省信访工作先进县、全省平安建设先进县，建设更高水平的“平安桐柏”。</w:t>
      </w:r>
    </w:p>
    <w:p w14:paraId="5CB5E76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（五）统筹资源，强化监管，坚决守牢风险底线</w:t>
      </w:r>
    </w:p>
    <w:p w14:paraId="3687C92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right="0" w:rightChars="0" w:firstLine="643"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
        </w:rPr>
      </w:pPr>
      <w:r>
        <w:rPr>
          <w:rFonts w:hint="eastAsia" w:ascii="仿宋_GB2312" w:hAnsi="仿宋_GB2312" w:eastAsia="仿宋_GB2312" w:cs="仿宋_GB2312"/>
          <w:b/>
          <w:color w:val="auto"/>
          <w:sz w:val="32"/>
          <w:szCs w:val="32"/>
          <w:highlight w:val="none"/>
          <w:lang w:val="en-US" w:eastAsia="zh-CN"/>
        </w:rPr>
        <w:t>兜紧兜牢</w:t>
      </w:r>
      <w:r>
        <w:rPr>
          <w:rFonts w:hint="eastAsia" w:ascii="仿宋_GB2312" w:hAnsi="仿宋_GB2312" w:eastAsia="仿宋_GB2312" w:cs="仿宋_GB2312"/>
          <w:b/>
          <w:color w:val="auto"/>
          <w:sz w:val="32"/>
          <w:szCs w:val="32"/>
          <w:highlight w:val="none"/>
        </w:rPr>
        <w:t>“三保”底线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坚持“三保”支出在财政支出中的优先顺序，优先使用稳定可靠的经常性财力安排“三保”支出，优先保障国家基本标准落实到位。</w:t>
      </w:r>
      <w:r>
        <w:rPr>
          <w:rFonts w:hint="eastAsia" w:ascii="仿宋_GB2312" w:hAnsi="仿宋_GB2312" w:eastAsia="仿宋_GB2312" w:cs="仿宋_GB2312"/>
          <w:b w:val="0"/>
          <w:bCs/>
          <w:color w:val="auto"/>
          <w:kern w:val="2"/>
          <w:sz w:val="32"/>
          <w:szCs w:val="32"/>
          <w:highlight w:val="none"/>
          <w:lang w:val="en-US" w:eastAsia="zh-CN" w:bidi="ar"/>
        </w:rPr>
        <w:t>持续用好“三保”三项机制，</w:t>
      </w:r>
      <w:r>
        <w:rPr>
          <w:rFonts w:hint="eastAsia" w:ascii="仿宋_GB2312" w:hAnsi="仿宋_GB2312" w:eastAsia="仿宋_GB2312" w:cs="仿宋_GB2312"/>
          <w:color w:val="auto"/>
          <w:kern w:val="2"/>
          <w:sz w:val="32"/>
          <w:szCs w:val="32"/>
          <w:highlight w:val="none"/>
          <w:lang w:val="en-US" w:eastAsia="zh-CN" w:bidi="ar"/>
        </w:rPr>
        <w:t>足额编制“三保”预算，确保资金不留硬缺口，</w:t>
      </w:r>
      <w:r>
        <w:rPr>
          <w:rFonts w:hint="eastAsia" w:ascii="仿宋_GB2312" w:hAnsi="仿宋_GB2312" w:eastAsia="仿宋_GB2312" w:cs="仿宋_GB2312"/>
          <w:b w:val="0"/>
          <w:bCs/>
          <w:color w:val="auto"/>
          <w:kern w:val="2"/>
          <w:sz w:val="32"/>
          <w:szCs w:val="32"/>
          <w:highlight w:val="none"/>
          <w:lang w:val="en-US" w:eastAsia="zh-CN" w:bidi="ar"/>
        </w:rPr>
        <w:t>加强“三保”运行监测分析、预警和处置。确保不发生拖欠工资等“三保”风险事件。</w:t>
      </w:r>
    </w:p>
    <w:p w14:paraId="20D2375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right="0" w:rightChars="0" w:firstLine="643" w:firstLineChars="200"/>
        <w:jc w:val="both"/>
        <w:textAlignment w:val="auto"/>
        <w:rPr>
          <w:rFonts w:hint="default"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
        </w:rPr>
        <w:t>加强政府债务管理</w:t>
      </w:r>
      <w:r>
        <w:rPr>
          <w:rFonts w:hint="eastAsia" w:ascii="仿宋_GB2312" w:hAnsi="仿宋_GB2312" w:eastAsia="仿宋_GB2312" w:cs="仿宋_GB2312"/>
          <w:color w:val="auto"/>
          <w:kern w:val="2"/>
          <w:sz w:val="32"/>
          <w:szCs w:val="32"/>
          <w:highlight w:val="none"/>
          <w:lang w:val="en-US" w:eastAsia="zh-CN" w:bidi="ar"/>
        </w:rPr>
        <w:t>。不断完善地方政府专项债券管理制度，推动形成有效投资，加强专项债券项目储备和穿透式管理，压实主管部门和项目单位主体责任，提高专项债券资金使用效益，切实防范专项债券风险。将法定债务还本付息资金足额列入年度预算，确保法定债务不出现风险。</w:t>
      </w:r>
      <w:r>
        <w:rPr>
          <w:rFonts w:hint="default" w:ascii="仿宋_GB2312" w:hAnsi="仿宋_GB2312" w:eastAsia="仿宋_GB2312" w:cs="仿宋_GB2312"/>
          <w:color w:val="auto"/>
          <w:kern w:val="2"/>
          <w:sz w:val="32"/>
          <w:szCs w:val="32"/>
          <w:highlight w:val="none"/>
          <w:lang w:val="en-US" w:eastAsia="zh-CN" w:bidi="ar"/>
        </w:rPr>
        <w:t>严格落实一揽子化债方案，积极稳妥处置和化解存量隐性债务，抓好政府拖欠企业账款清偿化解，建立防范化解隐性债务风险长效机制，坚决遏制新增隐性债务。</w:t>
      </w:r>
    </w:p>
    <w:p w14:paraId="014E681D">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right="0" w:rightChars="0" w:firstLine="643" w:firstLineChars="200"/>
        <w:jc w:val="both"/>
        <w:textAlignment w:val="auto"/>
        <w:rPr>
          <w:rFonts w:hint="eastAsia" w:ascii="仿宋" w:hAnsi="仿宋" w:eastAsia="仿宋" w:cs="仿宋"/>
          <w:color w:val="auto"/>
          <w:kern w:val="2"/>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
        </w:rPr>
        <w:t>提升预算绩效管理。</w:t>
      </w:r>
      <w:r>
        <w:rPr>
          <w:rFonts w:hint="eastAsia" w:ascii="仿宋_GB2312" w:hAnsi="仿宋_GB2312" w:eastAsia="仿宋_GB2312" w:cs="仿宋_GB2312"/>
          <w:color w:val="auto"/>
          <w:kern w:val="2"/>
          <w:sz w:val="32"/>
          <w:szCs w:val="32"/>
          <w:highlight w:val="none"/>
          <w:lang w:val="en-US" w:eastAsia="zh-CN" w:bidi="ar"/>
        </w:rPr>
        <w:t>坚持预算和绩效管理一体化，坚持目标导向和问题导向相结合，将预算绩效管理由树立理念、搭建框架，向突出重点、提质增效转变。加强重点绩效评价，有效应用绩效监控结果，增强绩效评价实效，将评价结果与完善政策、改进管理、调整预算安排有机衔接，着力提高资金效益和政策效果。</w:t>
      </w:r>
    </w:p>
    <w:p w14:paraId="42F07316">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
        </w:rPr>
        <w:t>严格落实财经纪律。</w:t>
      </w:r>
      <w:r>
        <w:rPr>
          <w:rFonts w:hint="eastAsia" w:ascii="仿宋_GB2312" w:hAnsi="仿宋_GB2312" w:eastAsia="仿宋_GB2312" w:cs="仿宋_GB2312"/>
          <w:color w:val="auto"/>
          <w:kern w:val="2"/>
          <w:sz w:val="32"/>
          <w:szCs w:val="32"/>
          <w:highlight w:val="none"/>
          <w:lang w:val="en-US" w:eastAsia="zh-CN" w:bidi="ar"/>
        </w:rPr>
        <w:t>依法加强财会监督，强化财税政策落实和预算管理监督，严肃查处各类违反财经纪律的行为，严肃追责问责，确保财政资金安全规范有效使用。夯实财会基础建设，加强会计信息质量和中介机构执业质量监督，从严从重查处影响恶劣的财务舞弊、会计造假等违法违规案件。</w:t>
      </w:r>
    </w:p>
    <w:p w14:paraId="694C0D6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（六）有保有压，提质增效，全力推进开源节流增收节支</w:t>
      </w:r>
    </w:p>
    <w:p w14:paraId="37E4BB5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
        </w:rPr>
      </w:pPr>
      <w:r>
        <w:rPr>
          <w:rFonts w:hint="eastAsia" w:ascii="仿宋_GB2312" w:hAnsi="仿宋_GB2312" w:eastAsia="仿宋_GB2312" w:cs="仿宋_GB2312"/>
          <w:b/>
          <w:color w:val="auto"/>
          <w:sz w:val="32"/>
          <w:szCs w:val="32"/>
          <w:highlight w:val="none"/>
          <w:lang w:val="en-US" w:eastAsia="zh-CN"/>
        </w:rPr>
        <w:t>持续</w:t>
      </w:r>
      <w:r>
        <w:rPr>
          <w:rFonts w:hint="eastAsia" w:ascii="仿宋_GB2312" w:hAnsi="仿宋_GB2312" w:eastAsia="仿宋_GB2312" w:cs="仿宋_GB2312"/>
          <w:b/>
          <w:color w:val="auto"/>
          <w:sz w:val="32"/>
          <w:szCs w:val="32"/>
          <w:highlight w:val="none"/>
        </w:rPr>
        <w:t>培育涵养财源。</w:t>
      </w:r>
      <w:r>
        <w:rPr>
          <w:rFonts w:hint="eastAsia" w:ascii="仿宋_GB2312" w:hAnsi="仿宋_GB2312" w:eastAsia="仿宋_GB2312" w:cs="仿宋_GB2312"/>
          <w:color w:val="auto"/>
          <w:sz w:val="32"/>
          <w:szCs w:val="32"/>
          <w:highlight w:val="none"/>
          <w:u w:val="none"/>
        </w:rPr>
        <w:t>在全面落实减税降费政策措施的</w:t>
      </w:r>
      <w:r>
        <w:rPr>
          <w:rFonts w:hint="eastAsia" w:ascii="仿宋_GB2312" w:hAnsi="仿宋_GB2312" w:eastAsia="仿宋_GB2312" w:cs="仿宋_GB2312"/>
          <w:color w:val="auto"/>
          <w:sz w:val="32"/>
          <w:szCs w:val="32"/>
          <w:highlight w:val="none"/>
          <w:u w:val="none"/>
          <w:lang w:val="en-US" w:eastAsia="zh-CN"/>
        </w:rPr>
        <w:t>基础上</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加强税源建设，夯实财源基础，加大对重点行业、重点企业、重点项目的走访调研力度，动态跟踪和预研预判收入形势，及时采取有效措施，依法依规组织收入，确保收入总量稳定增长，收入质量持续提高。</w:t>
      </w:r>
    </w:p>
    <w:p w14:paraId="0CADE9F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依法依规综合</w:t>
      </w:r>
      <w:r>
        <w:rPr>
          <w:rFonts w:hint="eastAsia" w:ascii="仿宋_GB2312" w:hAnsi="仿宋_GB2312" w:eastAsia="仿宋_GB2312" w:cs="仿宋_GB2312"/>
          <w:b/>
          <w:color w:val="auto"/>
          <w:sz w:val="32"/>
          <w:szCs w:val="32"/>
          <w:highlight w:val="none"/>
        </w:rPr>
        <w:t>治税。</w:t>
      </w:r>
      <w:r>
        <w:rPr>
          <w:rFonts w:hint="eastAsia" w:ascii="仿宋_GB2312" w:hAnsi="仿宋_GB2312" w:eastAsia="仿宋_GB2312" w:cs="仿宋_GB2312"/>
          <w:color w:val="auto"/>
          <w:sz w:val="32"/>
          <w:szCs w:val="32"/>
          <w:highlight w:val="none"/>
          <w:u w:val="none"/>
          <w:lang w:val="en-US" w:eastAsia="zh-CN"/>
        </w:rPr>
        <w:t>坚持依法规范税费征收管理，加强税费数据共享，不断巩固“1+3+N”涉税信息治理模式应用，全面提升以数治税管费能力。确保依法依规、应收尽收。</w:t>
      </w:r>
    </w:p>
    <w:p w14:paraId="51B29C8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完善现代预算制度。</w:t>
      </w:r>
      <w:r>
        <w:rPr>
          <w:rFonts w:hint="eastAsia" w:ascii="仿宋_GB2312" w:hAnsi="仿宋_GB2312" w:eastAsia="仿宋_GB2312" w:cs="仿宋_GB2312"/>
          <w:color w:val="auto"/>
          <w:sz w:val="32"/>
          <w:szCs w:val="32"/>
          <w:highlight w:val="none"/>
          <w:u w:val="none"/>
          <w:lang w:val="en-US" w:eastAsia="zh-CN"/>
        </w:rPr>
        <w:t>建立财政资源统筹机制，加强政府预算统筹、增量资源与存量资源统筹、财政拨款收入与非财政拨款收入统筹，提高预算管理的完整性。强化预算项目全生命周期管理，加快支出标准体系建设，加强预决算公开。全面提升预算管理规范化、标准化和自动化水平。</w:t>
      </w:r>
    </w:p>
    <w:p w14:paraId="575E7C4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lang w:val="en-US" w:eastAsia="zh-CN"/>
        </w:rPr>
        <w:t>坚持紧日子思想不动摇。</w:t>
      </w:r>
      <w:r>
        <w:rPr>
          <w:rFonts w:hint="eastAsia" w:ascii="仿宋_GB2312" w:hAnsi="仿宋_GB2312" w:eastAsia="仿宋_GB2312" w:cs="仿宋_GB2312"/>
          <w:color w:val="auto"/>
          <w:sz w:val="32"/>
          <w:szCs w:val="32"/>
          <w:highlight w:val="none"/>
          <w:u w:val="none"/>
          <w:lang w:val="en-US" w:eastAsia="zh-CN"/>
        </w:rPr>
        <w:t>在合理保障部门履职支出的同时，推动党政机关习惯过紧日子，从严控制一般性支出，大力压减非急需非刚性支出，强化“三公”经费预算管理，努力降低运行成本。加强政府投资项目管理，不是必要的一律先暂停，不该花的钱一分不花，腾出资金统筹用于急需领域和关键环节。</w:t>
      </w:r>
    </w:p>
    <w:p w14:paraId="448AD68E">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right="0" w:rightChars="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
        </w:rPr>
        <w:t>加强改进国资监管。</w:t>
      </w:r>
      <w:r>
        <w:rPr>
          <w:rFonts w:hint="eastAsia" w:ascii="仿宋_GB2312" w:hAnsi="仿宋_GB2312" w:eastAsia="仿宋_GB2312" w:cs="仿宋_GB2312"/>
          <w:color w:val="auto"/>
          <w:sz w:val="32"/>
          <w:szCs w:val="32"/>
          <w:highlight w:val="none"/>
          <w:u w:val="none"/>
          <w:lang w:val="en-US" w:eastAsia="zh-CN"/>
        </w:rPr>
        <w:t>依法依规履行出资人职责，坚持管少管住管好，不断推动国有资本和国有企业做强做优做大，着力打造发展方式新、公司治理新、经营机制新、布局结构新的现代新企业。指导功能类公司在风险可控的前提下，推动融资渠道多元化，督促功能类公司树牢债务风险防控意识，完善风险监测预警机制，</w:t>
      </w:r>
      <w:r>
        <w:rPr>
          <w:rFonts w:hint="eastAsia" w:ascii="仿宋_GB2312" w:hAnsi="仿宋_GB2312" w:eastAsia="仿宋_GB2312" w:cs="仿宋_GB2312"/>
          <w:color w:val="auto"/>
          <w:kern w:val="2"/>
          <w:sz w:val="32"/>
          <w:szCs w:val="32"/>
          <w:highlight w:val="none"/>
          <w:lang w:val="en-US" w:eastAsia="zh-CN" w:bidi="ar-SA"/>
        </w:rPr>
        <w:t>严格落实“631”偿债机制，坚决防范企业债务“爆雷”，风险向财政传导蔓延。</w:t>
      </w:r>
    </w:p>
    <w:p w14:paraId="3C0929FE">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autoSpaceDE/>
        <w:autoSpaceDN w:val="0"/>
        <w:bidi w:val="0"/>
        <w:adjustRightInd/>
        <w:snapToGrid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各位代表，做好2024年财政工作使命光荣、任重道远。我们将坚持以习近平新时代中国特色社会主义思想为指导，深入贯彻党的二十大和二十届二中全会精神，在县委坚强领导和县人大、县政协监督指导下，坚定信心、抢抓机遇、埋头苦干、善作善成，坚决落实本次会议决议，以奋发有为的精神状态扎实做好各项财政工作，奋力谱写高质量建设现代化新桐柏的绚丽篇章！</w:t>
      </w:r>
    </w:p>
    <w:sectPr>
      <w:footerReference r:id="rId5" w:type="default"/>
      <w:pgSz w:w="11910" w:h="16840"/>
      <w:pgMar w:top="1984" w:right="1701" w:bottom="1701" w:left="1701" w:header="0" w:footer="1151"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E2AFCC-23B3-4C77-AE0B-5F17178FC423}"/>
  </w:font>
  <w:font w:name="黑体">
    <w:panose1 w:val="02010609060101010101"/>
    <w:charset w:val="86"/>
    <w:family w:val="auto"/>
    <w:pitch w:val="default"/>
    <w:sig w:usb0="800002BF" w:usb1="38CF7CFA" w:usb2="00000016" w:usb3="00000000" w:csb0="00040001" w:csb1="00000000"/>
    <w:embedRegular r:id="rId2" w:fontKey="{A3812D9C-E32F-4B01-A016-B61A700575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5870E84-2CAC-47D8-9FA6-9D6B65DFB3FE}"/>
  </w:font>
  <w:font w:name="方正小标宋简体">
    <w:altName w:val="仿宋_GB2312"/>
    <w:panose1 w:val="02010601030101010101"/>
    <w:charset w:val="86"/>
    <w:family w:val="auto"/>
    <w:pitch w:val="default"/>
    <w:sig w:usb0="00000000" w:usb1="00000000" w:usb2="00000000" w:usb3="00000000" w:csb0="00040000" w:csb1="00000000"/>
    <w:embedRegular r:id="rId4" w:fontKey="{58DF4CF0-1BC1-4FA9-BE87-2A1C1236C9E6}"/>
  </w:font>
  <w:font w:name="楷体_GB2312">
    <w:panose1 w:val="02010609030101010101"/>
    <w:charset w:val="86"/>
    <w:family w:val="modern"/>
    <w:pitch w:val="default"/>
    <w:sig w:usb0="00000001" w:usb1="080E0000" w:usb2="00000000" w:usb3="00000000" w:csb0="00040000" w:csb1="00000000"/>
    <w:embedRegular r:id="rId5" w:fontKey="{738D5B2B-36B3-45B2-9D1D-449100CE34A6}"/>
  </w:font>
  <w:font w:name="仿宋_GB2312">
    <w:panose1 w:val="02010609030101010101"/>
    <w:charset w:val="86"/>
    <w:family w:val="modern"/>
    <w:pitch w:val="default"/>
    <w:sig w:usb0="00000001" w:usb1="080E0000" w:usb2="00000000" w:usb3="00000000" w:csb0="00040000" w:csb1="00000000"/>
    <w:embedRegular r:id="rId6" w:fontKey="{0D991D55-58ED-439D-A2AD-98171CAD4925}"/>
  </w:font>
  <w:font w:name="仿宋">
    <w:panose1 w:val="02010609060101010101"/>
    <w:charset w:val="86"/>
    <w:family w:val="auto"/>
    <w:pitch w:val="default"/>
    <w:sig w:usb0="800002BF" w:usb1="38CF7CFA" w:usb2="00000016" w:usb3="00000000" w:csb0="00040001" w:csb1="00000000"/>
    <w:embedRegular r:id="rId7" w:fontKey="{3E8DB7D5-871B-49C0-B94F-4E21C4BD2A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5AF1">
    <w:pPr>
      <w:spacing w:line="183" w:lineRule="auto"/>
      <w:ind w:left="380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6DA22">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76DA22">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ZTUxNTQ1YmRlMWViMjA4ZWUwNDdhMzU4MzE0ZTQifQ=="/>
    <w:docVar w:name="KSO_WPS_MARK_KEY" w:val="daeca0f3-4061-490c-95ab-2ed628032831"/>
  </w:docVars>
  <w:rsids>
    <w:rsidRoot w:val="36EA65D4"/>
    <w:rsid w:val="013356C9"/>
    <w:rsid w:val="03460A11"/>
    <w:rsid w:val="041D2A27"/>
    <w:rsid w:val="0466617C"/>
    <w:rsid w:val="04BC4FD5"/>
    <w:rsid w:val="064A74CD"/>
    <w:rsid w:val="08A059D4"/>
    <w:rsid w:val="095512DA"/>
    <w:rsid w:val="09C676BC"/>
    <w:rsid w:val="0A0570FF"/>
    <w:rsid w:val="0CD33899"/>
    <w:rsid w:val="0D146E4C"/>
    <w:rsid w:val="0D1A149A"/>
    <w:rsid w:val="0E9E3E36"/>
    <w:rsid w:val="0FC83B79"/>
    <w:rsid w:val="10B770D3"/>
    <w:rsid w:val="10CC55B8"/>
    <w:rsid w:val="10F2533A"/>
    <w:rsid w:val="129A2C87"/>
    <w:rsid w:val="12C04D01"/>
    <w:rsid w:val="132D4308"/>
    <w:rsid w:val="138E231B"/>
    <w:rsid w:val="147321EF"/>
    <w:rsid w:val="15DF2950"/>
    <w:rsid w:val="165A0C67"/>
    <w:rsid w:val="1663487F"/>
    <w:rsid w:val="16C15493"/>
    <w:rsid w:val="17067AFF"/>
    <w:rsid w:val="174C3A92"/>
    <w:rsid w:val="174E1227"/>
    <w:rsid w:val="1834047E"/>
    <w:rsid w:val="184D381F"/>
    <w:rsid w:val="18D27471"/>
    <w:rsid w:val="197D7D98"/>
    <w:rsid w:val="1A44564E"/>
    <w:rsid w:val="1AC416CB"/>
    <w:rsid w:val="1B5D0660"/>
    <w:rsid w:val="1B7E1099"/>
    <w:rsid w:val="1CC41839"/>
    <w:rsid w:val="1DE24016"/>
    <w:rsid w:val="1F330EF8"/>
    <w:rsid w:val="22AA44B0"/>
    <w:rsid w:val="23B35061"/>
    <w:rsid w:val="23BA1BE8"/>
    <w:rsid w:val="248779F3"/>
    <w:rsid w:val="25335315"/>
    <w:rsid w:val="26193A4B"/>
    <w:rsid w:val="26D40F07"/>
    <w:rsid w:val="28687E65"/>
    <w:rsid w:val="28E81E3D"/>
    <w:rsid w:val="28F416F8"/>
    <w:rsid w:val="294E0E09"/>
    <w:rsid w:val="2A187669"/>
    <w:rsid w:val="2A667359"/>
    <w:rsid w:val="2A68414C"/>
    <w:rsid w:val="2AFE23BA"/>
    <w:rsid w:val="2D2D2A9D"/>
    <w:rsid w:val="2DC23EF0"/>
    <w:rsid w:val="2DC773DC"/>
    <w:rsid w:val="2E5D1AEE"/>
    <w:rsid w:val="2F9652B7"/>
    <w:rsid w:val="304A745A"/>
    <w:rsid w:val="31155DC4"/>
    <w:rsid w:val="312A2184"/>
    <w:rsid w:val="31D40319"/>
    <w:rsid w:val="323B3EF4"/>
    <w:rsid w:val="342D67F6"/>
    <w:rsid w:val="34B61F58"/>
    <w:rsid w:val="34CD26C3"/>
    <w:rsid w:val="352B5B8E"/>
    <w:rsid w:val="35AF31CD"/>
    <w:rsid w:val="35FD0BE5"/>
    <w:rsid w:val="36EA65D4"/>
    <w:rsid w:val="38460778"/>
    <w:rsid w:val="39AB3EE9"/>
    <w:rsid w:val="3A070135"/>
    <w:rsid w:val="3A074AF7"/>
    <w:rsid w:val="3BBE3AB2"/>
    <w:rsid w:val="3BF5780A"/>
    <w:rsid w:val="3C44289A"/>
    <w:rsid w:val="3D0221DE"/>
    <w:rsid w:val="3D1C25C7"/>
    <w:rsid w:val="3E635D54"/>
    <w:rsid w:val="3E966E5E"/>
    <w:rsid w:val="3F11495A"/>
    <w:rsid w:val="418E1B44"/>
    <w:rsid w:val="429F3F93"/>
    <w:rsid w:val="43525542"/>
    <w:rsid w:val="435D50A9"/>
    <w:rsid w:val="43EE7018"/>
    <w:rsid w:val="451B403B"/>
    <w:rsid w:val="47962FFF"/>
    <w:rsid w:val="47A04BE6"/>
    <w:rsid w:val="49014A37"/>
    <w:rsid w:val="49E50EBD"/>
    <w:rsid w:val="4AF532A5"/>
    <w:rsid w:val="4B0C499D"/>
    <w:rsid w:val="4DA60964"/>
    <w:rsid w:val="4DCE7F62"/>
    <w:rsid w:val="4E6E54A3"/>
    <w:rsid w:val="4EDE410D"/>
    <w:rsid w:val="4FF80850"/>
    <w:rsid w:val="507F0B99"/>
    <w:rsid w:val="50EA5464"/>
    <w:rsid w:val="51AE73D5"/>
    <w:rsid w:val="51BA6B9E"/>
    <w:rsid w:val="52493686"/>
    <w:rsid w:val="526B0B8D"/>
    <w:rsid w:val="52747029"/>
    <w:rsid w:val="53190CA4"/>
    <w:rsid w:val="55054AF9"/>
    <w:rsid w:val="557B4254"/>
    <w:rsid w:val="55987618"/>
    <w:rsid w:val="560E1E1D"/>
    <w:rsid w:val="56DA16EA"/>
    <w:rsid w:val="580E47D8"/>
    <w:rsid w:val="5B70435F"/>
    <w:rsid w:val="5C07081F"/>
    <w:rsid w:val="5CEA540F"/>
    <w:rsid w:val="5EC62C14"/>
    <w:rsid w:val="6009435A"/>
    <w:rsid w:val="60911000"/>
    <w:rsid w:val="6206058A"/>
    <w:rsid w:val="637B0BE0"/>
    <w:rsid w:val="63BB2C01"/>
    <w:rsid w:val="63DF00D5"/>
    <w:rsid w:val="647B699C"/>
    <w:rsid w:val="656B0206"/>
    <w:rsid w:val="65E57A08"/>
    <w:rsid w:val="6717043B"/>
    <w:rsid w:val="67C244FA"/>
    <w:rsid w:val="68E00D76"/>
    <w:rsid w:val="698D7215"/>
    <w:rsid w:val="6A147471"/>
    <w:rsid w:val="6A7600A0"/>
    <w:rsid w:val="6B1D214D"/>
    <w:rsid w:val="6D1131AF"/>
    <w:rsid w:val="6D763595"/>
    <w:rsid w:val="6E06131B"/>
    <w:rsid w:val="6E2711F5"/>
    <w:rsid w:val="6EF21562"/>
    <w:rsid w:val="6F1D5903"/>
    <w:rsid w:val="6F6D2C38"/>
    <w:rsid w:val="705D05B5"/>
    <w:rsid w:val="7064228D"/>
    <w:rsid w:val="708767A8"/>
    <w:rsid w:val="70A50405"/>
    <w:rsid w:val="76067942"/>
    <w:rsid w:val="76C706F0"/>
    <w:rsid w:val="76FE0B53"/>
    <w:rsid w:val="77810798"/>
    <w:rsid w:val="790E548B"/>
    <w:rsid w:val="7C2E572A"/>
    <w:rsid w:val="7DF509C8"/>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3">
    <w:name w:val="Normal Indent"/>
    <w:basedOn w:val="1"/>
    <w:autoRedefine/>
    <w:qFormat/>
    <w:uiPriority w:val="0"/>
    <w:pPr>
      <w:ind w:firstLine="420" w:firstLineChars="200"/>
    </w:pPr>
    <w:rPr>
      <w:rFonts w:hint="eastAsia"/>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8202</Words>
  <Characters>8656</Characters>
  <Lines>0</Lines>
  <Paragraphs>0</Paragraphs>
  <TotalTime>767</TotalTime>
  <ScaleCrop>false</ScaleCrop>
  <LinksUpToDate>false</LinksUpToDate>
  <CharactersWithSpaces>8662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2023-02-05T09:56:00Z</dcterms:created>
  <dc:creator>TBRZ</dc:creator>
  <cp:lastModifiedBy>Administrator</cp:lastModifiedBy>
  <cp:lastPrinted>2024-02-28T08:38:00Z</cp:lastPrinted>
  <dcterms:modified xsi:type="dcterms:W3CDTF">2024-08-06T07:42:13Z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EE8A3BEE38B94412BC936791388AA933_13</vt:lpwstr>
  </property>
</Properties>
</file>