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桐柏县大河镇人民政府2023年政府信息公开工作年度报告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（一）以政务公开助力稳增长。通过政策吹风会,专题讲座，播放视频等多种方式对经济政策等进行深入的解读和宣传并及时将社会关注的重大政策措施、重要指标数据等在网站上及时进行更新。</w:t>
      </w:r>
    </w:p>
    <w:p>
      <w:pPr>
        <w:widowControl/>
        <w:shd w:color="auto" w:fill="FFFFFF" w:val="clear"/>
        <w:ind w:firstLine="480"/>
        <w:rPr>
          <w:rFonts w:ascii="宋体" w:cs="宋体" w:eastAsia="宋体" w:hAnsi="宋体"/>
          <w:color w:val="333333"/>
          <w:kern w:val="0"/>
          <w:sz w:val="24"/>
          <w:szCs w:val="24"/>
        </w:rPr>
      </w:pPr>
      <w:r>
        <w:t>（二）以政务公开助力促改革。加大权力清单和责任清单公开力度，在网上晒出了权责清单及流程图，发布了权责清单，并围绕权责清单，加大行政审批事项公开力度，主动接受群众监督。</w:t>
      </w:r>
    </w:p>
    <w:p>
      <w:pPr>
        <w:widowControl/>
        <w:shd w:color="auto" w:fill="FFFFFF" w:val="clear"/>
        <w:ind w:firstLine="480"/>
        <w:rPr>
          <w:rFonts w:ascii="宋体" w:cs="宋体" w:eastAsia="宋体" w:hAnsi="宋体"/>
          <w:color w:val="333333"/>
          <w:kern w:val="0"/>
          <w:sz w:val="24"/>
          <w:szCs w:val="24"/>
        </w:rPr>
      </w:pPr>
      <w:r>
        <w:t>（三）增强政务公开实效。将决策、执行、管理、服务、结果公开要求纳入公文、会议办理程序，并建立健全相关工作机制，着力推进，确保落实。</w:t>
      </w:r>
    </w:p>
    <w:p>
      <w:pPr>
        <w:widowControl/>
        <w:shd w:color="auto" w:fill="FFFFFF" w:val="clear"/>
        <w:ind w:firstLine="480"/>
        <w:rPr>
          <w:rFonts w:ascii="宋体" w:cs="宋体" w:eastAsia="宋体" w:hAnsi="宋体"/>
          <w:color w:val="333333"/>
          <w:kern w:val="0"/>
          <w:sz w:val="24"/>
          <w:szCs w:val="24"/>
        </w:rPr>
      </w:pPr>
      <w:r>
        <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
      </w:r>
    </w:p>
    <w:p>
      <w:pPr>
        <w:widowControl/>
        <w:shd w:color="auto" w:fill="FFFFFF" w:val="clear"/>
        <w:ind w:firstLine="480"/>
        <w:rPr>
          <w:rFonts w:ascii="宋体" w:cs="宋体" w:eastAsia="宋体" w:hAnsi="宋体"/>
          <w:color w:val="333333"/>
          <w:kern w:val="0"/>
          <w:sz w:val="24"/>
          <w:szCs w:val="24"/>
        </w:rPr>
      </w:pPr>
      <w:r>
        <w:t>存在问题：政府信息公开全面性有待进一步增强，其中财政资金、发展规划、行政处罚等方面还比较滞后</w:t>
      </w:r>
    </w:p>
    <w:p>
      <w:pPr>
        <w:widowControl/>
        <w:shd w:color="auto" w:fill="FFFFFF" w:val="clear"/>
        <w:ind w:firstLine="480"/>
        <w:rPr>
          <w:rFonts w:ascii="宋体" w:cs="宋体" w:eastAsia="宋体" w:hAnsi="宋体"/>
          <w:color w:val="333333"/>
          <w:kern w:val="0"/>
          <w:sz w:val="24"/>
          <w:szCs w:val="24"/>
        </w:rPr>
      </w:pPr>
      <w:r>
        <w:t>下步工作中，推动政务公开工作向村级延伸，实现政务公开与村务公开有效衔接，进一步推动政务公开工作规范化、制度化。</w:t>
      </w:r>
    </w:p>
    <w:p>
      <w:pPr>
        <w:widowControl/>
        <w:shd w:color="auto" w:fill="FFFFFF" w:val="clear"/>
        <w:ind w:firstLine="480"/>
        <w:rPr>
          <w:rFonts w:ascii="宋体" w:cs="宋体" w:eastAsia="宋体" w:hAnsi="宋体"/>
          <w:color w:val="333333"/>
          <w:kern w:val="0"/>
          <w:sz w:val="24"/>
          <w:szCs w:val="24"/>
        </w:rPr>
      </w:pPr>
      <w:r>
        <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无</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