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建设工程规划许可证延期服务指南</w:t>
      </w:r>
    </w:p>
    <w:p>
      <w:pPr>
        <w:jc w:val="right"/>
        <w:rPr>
          <w:rFonts w:hint="eastAsia"/>
          <w:color w:val="FF0000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事项编码ZRZY00000XK19423002</w:t>
      </w:r>
    </w:p>
    <w:p>
      <w:pPr>
        <w:jc w:val="right"/>
        <w:rPr>
          <w:rFonts w:hint="default"/>
          <w:color w:val="FF0000"/>
          <w:lang w:val="en-US" w:eastAsia="zh-CN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857"/>
        <w:gridCol w:w="1488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适用范围</w:t>
            </w:r>
          </w:p>
        </w:tc>
        <w:tc>
          <w:tcPr>
            <w:tcW w:w="2857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企业法人、事业法人、行政机关、社会组织法人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事项类型</w:t>
            </w:r>
          </w:p>
        </w:tc>
        <w:tc>
          <w:tcPr>
            <w:tcW w:w="287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受理机构</w:t>
            </w:r>
          </w:p>
        </w:tc>
        <w:tc>
          <w:tcPr>
            <w:tcW w:w="28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eastAsia="黑体"/>
                <w:szCs w:val="24"/>
              </w:rPr>
              <w:t>决定机构</w:t>
            </w:r>
          </w:p>
        </w:tc>
        <w:tc>
          <w:tcPr>
            <w:tcW w:w="2878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办理时限</w:t>
            </w:r>
          </w:p>
        </w:tc>
        <w:tc>
          <w:tcPr>
            <w:tcW w:w="28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法定时限20个工作日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承诺时限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咨询方式</w:t>
            </w:r>
          </w:p>
        </w:tc>
        <w:tc>
          <w:tcPr>
            <w:tcW w:w="28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现场咨询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询：0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377-839730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受理方式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窗口受理、网上申报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结果送达</w:t>
            </w:r>
          </w:p>
        </w:tc>
        <w:tc>
          <w:tcPr>
            <w:tcW w:w="2878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设立依据</w:t>
            </w:r>
          </w:p>
        </w:tc>
        <w:tc>
          <w:tcPr>
            <w:tcW w:w="722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750" w:afterAutospacing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城乡规划法》（2007年10月28日主席令第七十四号，2015年4月24日予以修改）第四十条：在城市、镇规划区内进行建筑物、构筑物、道路、管线和其他工程建设的，建设单位或者个人应当向城市、县人民政府城乡规划主管部门或者省、自治区、直辖市人民政府确定的镇人民政府申请办理建设工程规划许可证。……对符合控制性详细规划和规划条件的，由城市、县人民政府城乡规划主管部门或者省、自治区、直辖市人民政府确定的镇人民政府核发建设工程规划许可证。……第四十四条：在城市、镇规划区内进行临时建设的，应当经城市、县人民政府城乡规划主管部门批准。临时建设影响近期建设规划或者控制性详细规划的实施以及交通、市容、安全等的，不得批准。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97" w:type="dxa"/>
            <w:vAlign w:val="center"/>
          </w:tcPr>
          <w:p>
            <w:pPr>
              <w:pStyle w:val="2"/>
              <w:ind w:firstLine="420" w:firstLineChars="200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  <w:szCs w:val="24"/>
              </w:rPr>
              <w:t>办理条件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申办材料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建设工程规划许可申请书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营业执照或事业单位法人证书或组织机构代码证.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非建设单位法定代表人申请办理的，应当提交授权委托书和受委托人身份证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原《建设工程规划许可证》及附件、附图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jc w:val="right"/>
        <w:rPr>
          <w:rFonts w:ascii="黑体" w:hAnsi="黑体" w:eastAsia="黑体" w:cs="黑体"/>
          <w:kern w:val="0"/>
          <w:sz w:val="52"/>
          <w:szCs w:val="52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办理流程</w:t>
            </w:r>
          </w:p>
        </w:tc>
        <w:tc>
          <w:tcPr>
            <w:tcW w:w="72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收件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审查标准：申请人通过实体大厅进行事项的申请，提交有关申请材料和反映真实情况，并对其申请材料实质内容的真实性负责；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办理结果：一楼综合窗口收取材料；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办理人：窗口工作人员；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标准：工作人员通过窗口接收申报材料，所交材料不齐全或不符合法定要求的，签发《一次性告知书》。如所交材料存在可以当场更正的错误，申请人可当场更正。如所交材料齐全，应当场做出是否受理决定，并签发《受理通知书》或《不予受理通知书》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办理结果：实施机关作出决定当日应通知申请人，及时向申请人颁发、送达审批服务事项办理结果；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办理人：审核工作人员；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审查标准：在受理申报材料后，由办理科室对内容进行审查。如有必要，启动特殊环节进行辅助审查。；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办理结果：提交材料是否齐全，是否符合法定形式，材料需要核实的核实相关材料；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决定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办理人：分管领导；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标准：在办理科室审查完成后，实施部门应在承诺时限内作出是否同意申请事项的决定。作出准予审批（办理）决定的，签发审批办理结果；作出不予审批（办理）决定的，签发《不予审批（办理）告知单》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办理结果：作出准予许可或不予行政许可决定；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送达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审查标准：实施机关作出决定当日应通知申请人，及时向申请人颁发、送达审批服务事项办理结果；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办理结果：现场送达 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widowControl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收费依据及标准</w:t>
            </w:r>
          </w:p>
        </w:tc>
        <w:tc>
          <w:tcPr>
            <w:tcW w:w="7270" w:type="dxa"/>
            <w:vAlign w:val="center"/>
          </w:tcPr>
          <w:p>
            <w:pPr>
              <w:pStyle w:val="2"/>
              <w:spacing w:before="7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不收费</w:t>
            </w:r>
          </w:p>
          <w:p>
            <w:pPr>
              <w:pStyle w:val="2"/>
              <w:spacing w:before="7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监督投诉渠道</w:t>
            </w:r>
          </w:p>
        </w:tc>
        <w:tc>
          <w:tcPr>
            <w:tcW w:w="72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jc w:val="both"/>
        <w:rPr>
          <w:rFonts w:ascii="黑体" w:hAnsi="黑体" w:eastAsia="黑体" w:cs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sectPr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01A26A7"/>
    <w:rsid w:val="002142EF"/>
    <w:rsid w:val="003B0AF4"/>
    <w:rsid w:val="004A3070"/>
    <w:rsid w:val="00564111"/>
    <w:rsid w:val="006D728D"/>
    <w:rsid w:val="008B6792"/>
    <w:rsid w:val="00914AD4"/>
    <w:rsid w:val="00921E4E"/>
    <w:rsid w:val="00BA5A1D"/>
    <w:rsid w:val="00C36E50"/>
    <w:rsid w:val="00CB6FA0"/>
    <w:rsid w:val="00E32A13"/>
    <w:rsid w:val="00F36ABC"/>
    <w:rsid w:val="00FC30E0"/>
    <w:rsid w:val="024A4233"/>
    <w:rsid w:val="028112E1"/>
    <w:rsid w:val="113719A0"/>
    <w:rsid w:val="119E3A20"/>
    <w:rsid w:val="1421352F"/>
    <w:rsid w:val="1D4F5573"/>
    <w:rsid w:val="20AD3EC7"/>
    <w:rsid w:val="2EB828ED"/>
    <w:rsid w:val="3870587C"/>
    <w:rsid w:val="3F345010"/>
    <w:rsid w:val="49CC6710"/>
    <w:rsid w:val="59DD77B5"/>
    <w:rsid w:val="5B10607B"/>
    <w:rsid w:val="60EF0E12"/>
    <w:rsid w:val="678B671C"/>
    <w:rsid w:val="6D535020"/>
    <w:rsid w:val="6E973E8B"/>
    <w:rsid w:val="74544908"/>
    <w:rsid w:val="754F45CF"/>
    <w:rsid w:val="75E41574"/>
    <w:rsid w:val="78E65321"/>
    <w:rsid w:val="7ABD2D05"/>
    <w:rsid w:val="7DBB594B"/>
    <w:rsid w:val="7F6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唐胖胖</cp:lastModifiedBy>
  <dcterms:modified xsi:type="dcterms:W3CDTF">2022-02-28T13:20:43Z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74C8D4E0D6734A4489DCCB3178EE1730</vt:lpwstr>
  </property>
</Properties>
</file>