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临时建设用地规划许可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服务指南</w:t>
      </w:r>
    </w:p>
    <w:p>
      <w:pPr>
        <w:overflowPunct w:val="0"/>
        <w:adjustRightInd w:val="0"/>
        <w:snapToGrid w:val="0"/>
        <w:spacing w:line="700" w:lineRule="exact"/>
        <w:jc w:val="right"/>
        <w:rPr>
          <w:rFonts w:hint="eastAsia" w:ascii="黑体" w:hAnsi="黑体" w:eastAsia="黑体" w:cs="黑体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ZRZY00000XK48343006</w:t>
      </w:r>
    </w:p>
    <w:p>
      <w:pPr>
        <w:pStyle w:val="2"/>
        <w:wordWrap w:val="0"/>
        <w:overflowPunct w:val="0"/>
        <w:adjustRightInd w:val="0"/>
        <w:snapToGrid w:val="0"/>
        <w:jc w:val="right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企业法人、事业法人、行政机关、社会组织法人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现场咨询</w:t>
            </w:r>
          </w:p>
          <w:p>
            <w:pPr>
              <w:pStyle w:val="2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</w:rPr>
              <w:t>0377- 8397300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一、《中华人民共和国城乡规划法》第四十四条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二、《河南省实施&lt;中华人民共和国城乡规划法&gt;办法》第五十条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标绘有建设项目拟用地位置的规定比例尺的地形图；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2.建设用地规划许可申请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3.土地登记情况证明（权籍调查结果）；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4.建设项目审批、核准或者备案文件；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5.营业执照或事业单位法人证书或组织机构代码证；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6.建设项目用地预审及选址意见书或使用土地的证明文件；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7.建设项目用地预审及选址意见书及附图、附件；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8.非建设单位法定代表人申请办理的，应当提交授权委托书（原件一份）和受委托人身份证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收件→受理→审核→决定→送达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6E59D"/>
    <w:multiLevelType w:val="singleLevel"/>
    <w:tmpl w:val="7D76E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F4229"/>
    <w:rsid w:val="737F4229"/>
    <w:rsid w:val="7DB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533</Characters>
  <Lines>0</Lines>
  <Paragraphs>0</Paragraphs>
  <TotalTime>2</TotalTime>
  <ScaleCrop>false</ScaleCrop>
  <LinksUpToDate>false</LinksUpToDate>
  <CharactersWithSpaces>547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2022-02-28T14:29:00Z</dcterms:created>
  <dc:creator>唐胖胖</dc:creator>
  <cp:lastModifiedBy>唐胖胖</cp:lastModifiedBy>
  <dcterms:modified xsi:type="dcterms:W3CDTF">2022-04-18T10:12:11Z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FF0830CA2DFE48479773AA17EB052C5F</vt:lpwstr>
  </property>
</Properties>
</file>