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Times New Roman" w:hAnsi="Times New Roman" w:eastAsia="方正小标宋简体"/>
          <w:color w:val="000000"/>
          <w:spacing w:val="-10"/>
          <w:sz w:val="44"/>
          <w:szCs w:val="44"/>
        </w:rPr>
      </w:pPr>
      <w:bookmarkStart w:id="0" w:name="_GoBack"/>
      <w:r>
        <w:rPr>
          <w:rFonts w:ascii="方正小标宋简体" w:hAnsi="Times New Roman" w:eastAsia="方正小标宋简体"/>
          <w:color w:val="000000"/>
          <w:spacing w:val="-10"/>
          <w:sz w:val="44"/>
          <w:szCs w:val="44"/>
        </w:rPr>
        <w:t>河南省住房和城乡建设厅</w:t>
      </w:r>
      <w:r>
        <w:rPr>
          <w:rFonts w:ascii="Times New Roman" w:hAnsi="Times New Roman" w:eastAsia="方正小标宋简体"/>
          <w:color w:val="000000"/>
          <w:spacing w:val="-10"/>
          <w:sz w:val="44"/>
          <w:szCs w:val="44"/>
        </w:rPr>
        <w:t>2023</w:t>
      </w:r>
      <w:r>
        <w:rPr>
          <w:rFonts w:ascii="方正小标宋简体" w:hAnsi="Times New Roman" w:eastAsia="方正小标宋简体"/>
          <w:color w:val="000000"/>
          <w:spacing w:val="-10"/>
          <w:sz w:val="44"/>
          <w:szCs w:val="44"/>
        </w:rPr>
        <w:t>年度</w:t>
      </w:r>
      <w:r>
        <w:rPr>
          <w:rFonts w:ascii="Times New Roman" w:hAnsi="Times New Roman" w:eastAsia="方正小标宋简体"/>
          <w:color w:val="000000"/>
          <w:spacing w:val="-10"/>
          <w:sz w:val="44"/>
          <w:szCs w:val="44"/>
        </w:rPr>
        <w:t>“</w:t>
      </w:r>
      <w:r>
        <w:rPr>
          <w:rFonts w:ascii="方正小标宋简体" w:hAnsi="Times New Roman" w:eastAsia="方正小标宋简体"/>
          <w:color w:val="000000"/>
          <w:spacing w:val="-10"/>
          <w:sz w:val="44"/>
          <w:szCs w:val="44"/>
        </w:rPr>
        <w:t>双随机、一公开</w:t>
      </w:r>
      <w:r>
        <w:rPr>
          <w:rFonts w:ascii="Times New Roman" w:hAnsi="Times New Roman" w:eastAsia="方正小标宋简体"/>
          <w:color w:val="000000"/>
          <w:spacing w:val="-10"/>
          <w:sz w:val="44"/>
          <w:szCs w:val="44"/>
        </w:rPr>
        <w:t>”</w:t>
      </w:r>
      <w:r>
        <w:rPr>
          <w:rFonts w:ascii="方正小标宋简体" w:hAnsi="Times New Roman" w:eastAsia="方正小标宋简体"/>
          <w:color w:val="000000"/>
          <w:spacing w:val="-10"/>
          <w:sz w:val="44"/>
          <w:szCs w:val="44"/>
        </w:rPr>
        <w:t>抽查计划</w:t>
      </w:r>
      <w:bookmarkEnd w:id="0"/>
    </w:p>
    <w:tbl>
      <w:tblPr>
        <w:tblStyle w:val="3"/>
        <w:tblW w:w="15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94"/>
        <w:gridCol w:w="3490"/>
        <w:gridCol w:w="858"/>
        <w:gridCol w:w="1380"/>
        <w:gridCol w:w="1156"/>
        <w:gridCol w:w="957"/>
        <w:gridCol w:w="957"/>
        <w:gridCol w:w="957"/>
        <w:gridCol w:w="2165"/>
        <w:gridCol w:w="69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45" w:type="dxa"/>
            <w:noWrap w:val="0"/>
            <w:vAlign w:val="center"/>
          </w:tcPr>
          <w:p>
            <w:pPr>
              <w:spacing w:line="280" w:lineRule="exact"/>
              <w:jc w:val="center"/>
              <w:rPr>
                <w:rFonts w:ascii="Times New Roman" w:hAnsi="Times New Roman"/>
                <w:b/>
                <w:color w:val="000000"/>
              </w:rPr>
            </w:pPr>
            <w:r>
              <w:rPr>
                <w:rFonts w:ascii="宋体" w:hAnsi="宋体"/>
                <w:b/>
                <w:color w:val="000000"/>
              </w:rPr>
              <w:t>编号</w:t>
            </w:r>
          </w:p>
        </w:tc>
        <w:tc>
          <w:tcPr>
            <w:tcW w:w="1694" w:type="dxa"/>
            <w:noWrap w:val="0"/>
            <w:vAlign w:val="center"/>
          </w:tcPr>
          <w:p>
            <w:pPr>
              <w:spacing w:line="280" w:lineRule="exact"/>
              <w:jc w:val="center"/>
              <w:rPr>
                <w:rFonts w:ascii="Times New Roman" w:hAnsi="Times New Roman"/>
                <w:b/>
                <w:color w:val="000000"/>
              </w:rPr>
            </w:pPr>
            <w:r>
              <w:rPr>
                <w:rFonts w:ascii="宋体" w:hAnsi="宋体"/>
                <w:b/>
                <w:color w:val="000000"/>
              </w:rPr>
              <w:t>抽查事项名称</w:t>
            </w:r>
          </w:p>
        </w:tc>
        <w:tc>
          <w:tcPr>
            <w:tcW w:w="3490" w:type="dxa"/>
            <w:noWrap w:val="0"/>
            <w:vAlign w:val="center"/>
          </w:tcPr>
          <w:p>
            <w:pPr>
              <w:spacing w:line="280" w:lineRule="exact"/>
              <w:jc w:val="center"/>
              <w:rPr>
                <w:rFonts w:ascii="Times New Roman" w:hAnsi="Times New Roman"/>
                <w:b/>
                <w:color w:val="000000"/>
              </w:rPr>
            </w:pPr>
            <w:r>
              <w:rPr>
                <w:rFonts w:ascii="宋体" w:hAnsi="宋体"/>
                <w:b/>
                <w:color w:val="000000"/>
              </w:rPr>
              <w:t>抽查依据</w:t>
            </w:r>
          </w:p>
        </w:tc>
        <w:tc>
          <w:tcPr>
            <w:tcW w:w="858"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主体</w:t>
            </w:r>
          </w:p>
        </w:tc>
        <w:tc>
          <w:tcPr>
            <w:tcW w:w="1380"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对象</w:t>
            </w:r>
          </w:p>
        </w:tc>
        <w:tc>
          <w:tcPr>
            <w:tcW w:w="1156"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比例</w:t>
            </w:r>
          </w:p>
        </w:tc>
        <w:tc>
          <w:tcPr>
            <w:tcW w:w="957"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频次</w:t>
            </w:r>
          </w:p>
        </w:tc>
        <w:tc>
          <w:tcPr>
            <w:tcW w:w="957"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时间</w:t>
            </w:r>
          </w:p>
        </w:tc>
        <w:tc>
          <w:tcPr>
            <w:tcW w:w="957" w:type="dxa"/>
            <w:noWrap w:val="0"/>
            <w:vAlign w:val="center"/>
          </w:tcPr>
          <w:p>
            <w:pPr>
              <w:spacing w:line="280" w:lineRule="exact"/>
              <w:jc w:val="center"/>
              <w:rPr>
                <w:rFonts w:ascii="Times New Roman" w:hAnsi="Times New Roman"/>
                <w:b/>
                <w:color w:val="000000"/>
              </w:rPr>
            </w:pPr>
            <w:r>
              <w:rPr>
                <w:rFonts w:ascii="宋体" w:hAnsi="宋体"/>
                <w:b/>
                <w:color w:val="000000"/>
              </w:rPr>
              <w:t>抽查</w:t>
            </w:r>
          </w:p>
          <w:p>
            <w:pPr>
              <w:spacing w:line="280" w:lineRule="exact"/>
              <w:jc w:val="center"/>
              <w:rPr>
                <w:rFonts w:ascii="Times New Roman" w:hAnsi="Times New Roman"/>
                <w:b/>
                <w:color w:val="000000"/>
              </w:rPr>
            </w:pPr>
            <w:r>
              <w:rPr>
                <w:rFonts w:ascii="宋体" w:hAnsi="宋体"/>
                <w:b/>
                <w:color w:val="000000"/>
              </w:rPr>
              <w:t>方式</w:t>
            </w:r>
          </w:p>
        </w:tc>
        <w:tc>
          <w:tcPr>
            <w:tcW w:w="2165" w:type="dxa"/>
            <w:noWrap w:val="0"/>
            <w:vAlign w:val="center"/>
          </w:tcPr>
          <w:p>
            <w:pPr>
              <w:spacing w:line="280" w:lineRule="exact"/>
              <w:jc w:val="center"/>
              <w:rPr>
                <w:rFonts w:ascii="Times New Roman" w:hAnsi="Times New Roman"/>
                <w:b/>
                <w:color w:val="000000"/>
              </w:rPr>
            </w:pPr>
            <w:r>
              <w:rPr>
                <w:rFonts w:ascii="宋体" w:hAnsi="宋体"/>
                <w:b/>
                <w:color w:val="000000"/>
              </w:rPr>
              <w:t>抽查内容及</w:t>
            </w:r>
          </w:p>
          <w:p>
            <w:pPr>
              <w:spacing w:line="280" w:lineRule="exact"/>
              <w:jc w:val="center"/>
              <w:rPr>
                <w:rFonts w:ascii="Times New Roman" w:hAnsi="Times New Roman"/>
                <w:b/>
                <w:color w:val="000000"/>
              </w:rPr>
            </w:pPr>
            <w:r>
              <w:rPr>
                <w:rFonts w:ascii="宋体" w:hAnsi="宋体"/>
                <w:b/>
                <w:color w:val="000000"/>
              </w:rPr>
              <w:t>要求</w:t>
            </w:r>
          </w:p>
        </w:tc>
        <w:tc>
          <w:tcPr>
            <w:tcW w:w="697" w:type="dxa"/>
            <w:noWrap w:val="0"/>
            <w:vAlign w:val="center"/>
          </w:tcPr>
          <w:p>
            <w:pPr>
              <w:spacing w:line="280" w:lineRule="exact"/>
              <w:jc w:val="center"/>
              <w:rPr>
                <w:rFonts w:ascii="Times New Roman" w:hAnsi="Times New Roman"/>
                <w:b/>
                <w:color w:val="000000"/>
              </w:rPr>
            </w:pPr>
            <w:r>
              <w:rPr>
                <w:rFonts w:ascii="宋体" w:hAnsi="宋体"/>
                <w:b/>
                <w:color w:val="000000"/>
              </w:rPr>
              <w:t>责任</w:t>
            </w:r>
          </w:p>
          <w:p>
            <w:pPr>
              <w:spacing w:line="280" w:lineRule="exact"/>
              <w:jc w:val="center"/>
              <w:rPr>
                <w:rFonts w:ascii="Times New Roman" w:hAnsi="Times New Roman"/>
                <w:b/>
                <w:color w:val="000000"/>
              </w:rPr>
            </w:pPr>
            <w:r>
              <w:rPr>
                <w:rFonts w:ascii="宋体" w:hAnsi="宋体"/>
                <w:b/>
                <w:color w:val="000000"/>
              </w:rPr>
              <w:t>处室</w:t>
            </w:r>
          </w:p>
        </w:tc>
        <w:tc>
          <w:tcPr>
            <w:tcW w:w="855" w:type="dxa"/>
            <w:noWrap w:val="0"/>
            <w:vAlign w:val="center"/>
          </w:tcPr>
          <w:p>
            <w:pPr>
              <w:spacing w:line="280" w:lineRule="exact"/>
              <w:jc w:val="center"/>
              <w:rPr>
                <w:rFonts w:ascii="Times New Roman" w:hAnsi="Times New Roman"/>
                <w:b/>
                <w:color w:val="000000"/>
              </w:rPr>
            </w:pPr>
            <w:r>
              <w:rPr>
                <w:rFonts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工程勘察设计企业监督检查</w:t>
            </w:r>
          </w:p>
        </w:tc>
        <w:tc>
          <w:tcPr>
            <w:tcW w:w="3490" w:type="dxa"/>
            <w:noWrap w:val="0"/>
            <w:vAlign w:val="center"/>
          </w:tcPr>
          <w:p>
            <w:pPr>
              <w:autoSpaceDE w:val="0"/>
              <w:spacing w:line="320" w:lineRule="exact"/>
              <w:jc w:val="left"/>
              <w:rPr>
                <w:rFonts w:ascii="Times New Roman" w:hAnsi="Times New Roman"/>
                <w:color w:val="000000"/>
              </w:rPr>
            </w:pPr>
            <w:r>
              <w:rPr>
                <w:rFonts w:ascii="宋体" w:hAnsi="宋体"/>
                <w:color w:val="000000"/>
              </w:rPr>
              <w:t>《中华人民共和国建筑法》第十三条；《建设工程勘察设计管理条例》（国务院令第</w:t>
            </w:r>
            <w:r>
              <w:rPr>
                <w:rFonts w:ascii="Times New Roman" w:hAnsi="Times New Roman"/>
                <w:color w:val="000000"/>
              </w:rPr>
              <w:t>293</w:t>
            </w:r>
            <w:r>
              <w:rPr>
                <w:rFonts w:ascii="宋体" w:hAnsi="宋体"/>
                <w:color w:val="000000"/>
              </w:rPr>
              <w:t>号）第五条、第三十一条；《建设工程勘察设计资质管理规定》（建设部令第</w:t>
            </w:r>
            <w:r>
              <w:rPr>
                <w:rFonts w:ascii="Times New Roman" w:hAnsi="Times New Roman"/>
                <w:color w:val="000000"/>
              </w:rPr>
              <w:t>160</w:t>
            </w:r>
            <w:r>
              <w:rPr>
                <w:rFonts w:ascii="宋体" w:hAnsi="宋体"/>
                <w:color w:val="000000"/>
              </w:rPr>
              <w:t>号）第四条、第二十一条、第二十二条。</w:t>
            </w:r>
          </w:p>
        </w:tc>
        <w:tc>
          <w:tcPr>
            <w:tcW w:w="858" w:type="dxa"/>
            <w:noWrap w:val="0"/>
            <w:vAlign w:val="center"/>
          </w:tcPr>
          <w:p>
            <w:pPr>
              <w:widowControl/>
              <w:autoSpaceDE w:val="0"/>
              <w:spacing w:line="32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autoSpaceDE w:val="0"/>
              <w:spacing w:line="320" w:lineRule="exact"/>
              <w:jc w:val="center"/>
              <w:rPr>
                <w:rFonts w:ascii="Times New Roman" w:hAnsi="Times New Roman"/>
                <w:color w:val="000000"/>
              </w:rPr>
            </w:pPr>
            <w:r>
              <w:rPr>
                <w:rFonts w:ascii="宋体" w:hAnsi="宋体"/>
                <w:color w:val="000000"/>
              </w:rPr>
              <w:t>具备工程勘察设计资质的企业</w:t>
            </w:r>
          </w:p>
        </w:tc>
        <w:tc>
          <w:tcPr>
            <w:tcW w:w="1156" w:type="dxa"/>
            <w:noWrap w:val="0"/>
            <w:vAlign w:val="center"/>
          </w:tcPr>
          <w:p>
            <w:pPr>
              <w:widowControl/>
              <w:autoSpaceDE w:val="0"/>
              <w:spacing w:line="320" w:lineRule="exact"/>
              <w:jc w:val="center"/>
              <w:rPr>
                <w:rFonts w:ascii="Times New Roman" w:hAnsi="Times New Roman"/>
                <w:color w:val="000000"/>
              </w:rPr>
            </w:pPr>
            <w:r>
              <w:rPr>
                <w:rFonts w:ascii="宋体" w:hAnsi="宋体"/>
                <w:color w:val="000000"/>
              </w:rPr>
              <w:t>不超过</w:t>
            </w:r>
            <w:r>
              <w:rPr>
                <w:rFonts w:ascii="Times New Roman" w:hAnsi="Times New Roman"/>
                <w:color w:val="000000"/>
              </w:rPr>
              <w:t>5</w:t>
            </w:r>
            <w:r>
              <w:rPr>
                <w:rFonts w:ascii="宋体" w:hAnsi="宋体"/>
                <w:color w:val="000000"/>
              </w:rPr>
              <w:t>％</w:t>
            </w:r>
          </w:p>
        </w:tc>
        <w:tc>
          <w:tcPr>
            <w:tcW w:w="957" w:type="dxa"/>
            <w:noWrap w:val="0"/>
            <w:vAlign w:val="center"/>
          </w:tcPr>
          <w:p>
            <w:pPr>
              <w:widowControl/>
              <w:autoSpaceDE w:val="0"/>
              <w:spacing w:line="32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widowControl/>
              <w:autoSpaceDE w:val="0"/>
              <w:spacing w:line="320" w:lineRule="exact"/>
              <w:jc w:val="center"/>
              <w:rPr>
                <w:rFonts w:ascii="Times New Roman" w:hAnsi="Times New Roman"/>
                <w:color w:val="000000"/>
              </w:rPr>
            </w:pPr>
            <w:r>
              <w:rPr>
                <w:rFonts w:ascii="Times New Roman" w:hAnsi="Times New Roman"/>
                <w:color w:val="000000"/>
              </w:rPr>
              <w:t>9-11</w:t>
            </w:r>
            <w:r>
              <w:rPr>
                <w:rFonts w:ascii="宋体" w:hAnsi="宋体"/>
                <w:color w:val="000000"/>
              </w:rPr>
              <w:t>月</w:t>
            </w:r>
          </w:p>
        </w:tc>
        <w:tc>
          <w:tcPr>
            <w:tcW w:w="957" w:type="dxa"/>
            <w:noWrap w:val="0"/>
            <w:vAlign w:val="center"/>
          </w:tcPr>
          <w:p>
            <w:pPr>
              <w:widowControl/>
              <w:autoSpaceDE w:val="0"/>
              <w:spacing w:line="320" w:lineRule="exact"/>
              <w:jc w:val="center"/>
              <w:rPr>
                <w:rFonts w:ascii="Times New Roman" w:hAnsi="Times New Roman"/>
                <w:color w:val="000000"/>
              </w:rPr>
            </w:pPr>
            <w:r>
              <w:rPr>
                <w:rFonts w:ascii="宋体" w:hAnsi="宋体"/>
                <w:color w:val="000000"/>
              </w:rPr>
              <w:t>网络</w:t>
            </w:r>
          </w:p>
          <w:p>
            <w:pPr>
              <w:widowControl/>
              <w:autoSpaceDE w:val="0"/>
              <w:spacing w:line="320" w:lineRule="exact"/>
              <w:jc w:val="center"/>
              <w:rPr>
                <w:rFonts w:ascii="Times New Roman" w:hAnsi="Times New Roman"/>
                <w:color w:val="000000"/>
              </w:rPr>
            </w:pPr>
            <w:r>
              <w:rPr>
                <w:rFonts w:ascii="宋体" w:hAnsi="宋体"/>
                <w:color w:val="000000"/>
              </w:rPr>
              <w:t>检查</w:t>
            </w:r>
          </w:p>
        </w:tc>
        <w:tc>
          <w:tcPr>
            <w:tcW w:w="2165" w:type="dxa"/>
            <w:noWrap w:val="0"/>
            <w:vAlign w:val="center"/>
          </w:tcPr>
          <w:p>
            <w:pPr>
              <w:autoSpaceDE w:val="0"/>
              <w:spacing w:line="320" w:lineRule="exact"/>
              <w:rPr>
                <w:rFonts w:ascii="Times New Roman" w:hAnsi="Times New Roman"/>
                <w:color w:val="000000"/>
              </w:rPr>
            </w:pPr>
            <w:r>
              <w:rPr>
                <w:rFonts w:ascii="Times New Roman" w:hAnsi="Times New Roman"/>
                <w:color w:val="000000"/>
              </w:rPr>
              <w:t>1.</w:t>
            </w:r>
            <w:r>
              <w:rPr>
                <w:rFonts w:ascii="宋体" w:hAnsi="宋体"/>
                <w:color w:val="000000"/>
              </w:rPr>
              <w:t>工程勘察、工程设计资质证书、注册执业人员的注册执业单位与实际工作单位是否一致；</w:t>
            </w:r>
          </w:p>
          <w:p>
            <w:pPr>
              <w:autoSpaceDE w:val="0"/>
              <w:spacing w:line="320" w:lineRule="exact"/>
              <w:rPr>
                <w:rFonts w:ascii="Times New Roman" w:hAnsi="Times New Roman"/>
                <w:color w:val="000000"/>
              </w:rPr>
            </w:pPr>
            <w:r>
              <w:rPr>
                <w:rFonts w:ascii="Times New Roman" w:hAnsi="Times New Roman"/>
                <w:color w:val="000000"/>
              </w:rPr>
              <w:t>2.</w:t>
            </w:r>
            <w:r>
              <w:rPr>
                <w:rFonts w:ascii="宋体" w:hAnsi="宋体"/>
                <w:color w:val="000000"/>
              </w:rPr>
              <w:t>社保缴费与人事档案等相关数据和信息是否一致；</w:t>
            </w:r>
          </w:p>
          <w:p>
            <w:pPr>
              <w:autoSpaceDE w:val="0"/>
              <w:spacing w:line="320" w:lineRule="exact"/>
              <w:rPr>
                <w:rFonts w:ascii="Times New Roman" w:hAnsi="Times New Roman"/>
                <w:color w:val="000000"/>
              </w:rPr>
            </w:pPr>
            <w:r>
              <w:rPr>
                <w:rFonts w:ascii="Times New Roman" w:hAnsi="Times New Roman"/>
                <w:color w:val="000000"/>
              </w:rPr>
              <w:t>3.</w:t>
            </w:r>
            <w:r>
              <w:rPr>
                <w:rFonts w:ascii="宋体" w:hAnsi="宋体"/>
                <w:color w:val="000000"/>
              </w:rPr>
              <w:t>参保缴费单位与注册单位是否一致。</w:t>
            </w:r>
          </w:p>
        </w:tc>
        <w:tc>
          <w:tcPr>
            <w:tcW w:w="697" w:type="dxa"/>
            <w:vMerge w:val="restart"/>
            <w:noWrap w:val="0"/>
            <w:vAlign w:val="center"/>
          </w:tcPr>
          <w:p>
            <w:pPr>
              <w:autoSpaceDE w:val="0"/>
              <w:spacing w:line="320" w:lineRule="exact"/>
              <w:rPr>
                <w:rFonts w:ascii="Times New Roman" w:hAnsi="Times New Roman"/>
                <w:color w:val="000000"/>
              </w:rPr>
            </w:pPr>
            <w:r>
              <w:rPr>
                <w:rFonts w:hint="eastAsia" w:ascii="宋体" w:hAnsi="宋体"/>
                <w:color w:val="000000"/>
              </w:rPr>
              <w:t>城市与建筑设计处</w:t>
            </w:r>
          </w:p>
          <w:p>
            <w:pPr>
              <w:spacing w:line="280" w:lineRule="exact"/>
              <w:jc w:val="center"/>
              <w:rPr>
                <w:rFonts w:ascii="Times New Roman" w:hAnsi="Times New Roman"/>
                <w:color w:val="000000"/>
              </w:rPr>
            </w:pPr>
          </w:p>
        </w:tc>
        <w:tc>
          <w:tcPr>
            <w:tcW w:w="855" w:type="dxa"/>
            <w:noWrap w:val="0"/>
            <w:vAlign w:val="center"/>
          </w:tcPr>
          <w:p>
            <w:pPr>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2</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工程勘察、设计、审查市场、质量检查（含抗震）</w:t>
            </w:r>
          </w:p>
        </w:tc>
        <w:tc>
          <w:tcPr>
            <w:tcW w:w="3490" w:type="dxa"/>
            <w:noWrap w:val="0"/>
            <w:vAlign w:val="center"/>
          </w:tcPr>
          <w:p>
            <w:pPr>
              <w:widowControl/>
              <w:autoSpaceDE w:val="0"/>
              <w:spacing w:line="320" w:lineRule="exact"/>
              <w:rPr>
                <w:rFonts w:ascii="Times New Roman" w:hAnsi="Times New Roman"/>
                <w:color w:val="000000"/>
              </w:rPr>
            </w:pPr>
            <w:r>
              <w:rPr>
                <w:rFonts w:ascii="宋体" w:hAnsi="宋体"/>
                <w:color w:val="000000"/>
              </w:rPr>
              <w:t>《中华人民共和国防震减灾灾法》第三十五条、第七十六条；《建设工程质量管理条例》（国务院令第</w:t>
            </w:r>
            <w:r>
              <w:rPr>
                <w:rFonts w:ascii="Times New Roman" w:hAnsi="Times New Roman"/>
                <w:color w:val="000000"/>
              </w:rPr>
              <w:t>279</w:t>
            </w:r>
            <w:r>
              <w:rPr>
                <w:rFonts w:ascii="宋体" w:hAnsi="宋体"/>
                <w:color w:val="000000"/>
              </w:rPr>
              <w:t>号）第十一条；《建设工程勘察设计管理条例》（国务院令第</w:t>
            </w:r>
            <w:r>
              <w:rPr>
                <w:rFonts w:ascii="Times New Roman" w:hAnsi="Times New Roman"/>
                <w:color w:val="000000"/>
              </w:rPr>
              <w:t>293</w:t>
            </w:r>
            <w:r>
              <w:rPr>
                <w:rFonts w:ascii="宋体" w:hAnsi="宋体"/>
                <w:color w:val="000000"/>
              </w:rPr>
              <w:t>号）第五条、第三十一条；《房屋建筑和市政基础设施工程施工图设计文件审查管理办法》（住房城乡建设部令第</w:t>
            </w:r>
            <w:r>
              <w:rPr>
                <w:rFonts w:ascii="Times New Roman" w:hAnsi="Times New Roman"/>
                <w:color w:val="000000"/>
              </w:rPr>
              <w:t>13</w:t>
            </w:r>
            <w:r>
              <w:rPr>
                <w:rFonts w:ascii="宋体" w:hAnsi="宋体"/>
                <w:color w:val="000000"/>
              </w:rPr>
              <w:t>号）第四条。</w:t>
            </w:r>
          </w:p>
        </w:tc>
        <w:tc>
          <w:tcPr>
            <w:tcW w:w="858" w:type="dxa"/>
            <w:noWrap w:val="0"/>
            <w:vAlign w:val="center"/>
          </w:tcPr>
          <w:p>
            <w:pPr>
              <w:widowControl/>
              <w:autoSpaceDE w:val="0"/>
              <w:spacing w:line="32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autoSpaceDE w:val="0"/>
              <w:spacing w:line="320" w:lineRule="exact"/>
              <w:rPr>
                <w:rFonts w:ascii="Times New Roman" w:hAnsi="Times New Roman"/>
                <w:color w:val="000000"/>
              </w:rPr>
            </w:pPr>
            <w:r>
              <w:rPr>
                <w:rFonts w:ascii="宋体" w:hAnsi="宋体"/>
                <w:color w:val="000000"/>
              </w:rPr>
              <w:t>勘察、设计企业、施工图</w:t>
            </w:r>
          </w:p>
          <w:p>
            <w:pPr>
              <w:autoSpaceDE w:val="0"/>
              <w:spacing w:line="320" w:lineRule="exact"/>
              <w:jc w:val="center"/>
              <w:rPr>
                <w:rFonts w:ascii="Times New Roman" w:hAnsi="Times New Roman"/>
                <w:color w:val="000000"/>
              </w:rPr>
            </w:pPr>
            <w:r>
              <w:rPr>
                <w:rFonts w:ascii="宋体" w:hAnsi="宋体"/>
                <w:color w:val="000000"/>
              </w:rPr>
              <w:t>审查机构</w:t>
            </w:r>
          </w:p>
        </w:tc>
        <w:tc>
          <w:tcPr>
            <w:tcW w:w="1156" w:type="dxa"/>
            <w:noWrap w:val="0"/>
            <w:vAlign w:val="center"/>
          </w:tcPr>
          <w:p>
            <w:pPr>
              <w:autoSpaceDE w:val="0"/>
              <w:spacing w:line="320" w:lineRule="exact"/>
              <w:jc w:val="center"/>
              <w:rPr>
                <w:rFonts w:ascii="Times New Roman" w:hAnsi="Times New Roman"/>
                <w:color w:val="000000"/>
              </w:rPr>
            </w:pPr>
            <w:r>
              <w:rPr>
                <w:rFonts w:ascii="宋体" w:hAnsi="宋体"/>
                <w:color w:val="000000"/>
              </w:rPr>
              <w:t>抽取</w:t>
            </w:r>
            <w:r>
              <w:rPr>
                <w:rFonts w:ascii="Times New Roman" w:hAnsi="Times New Roman"/>
                <w:color w:val="000000"/>
              </w:rPr>
              <w:t>2</w:t>
            </w:r>
            <w:r>
              <w:rPr>
                <w:rFonts w:ascii="宋体" w:hAnsi="宋体"/>
                <w:color w:val="000000"/>
              </w:rPr>
              <w:t>个省辖市及其辖区内</w:t>
            </w:r>
            <w:r>
              <w:rPr>
                <w:rFonts w:ascii="Times New Roman" w:hAnsi="Times New Roman"/>
                <w:color w:val="000000"/>
              </w:rPr>
              <w:t>2</w:t>
            </w:r>
            <w:r>
              <w:rPr>
                <w:rFonts w:ascii="宋体" w:hAnsi="宋体"/>
                <w:color w:val="000000"/>
              </w:rPr>
              <w:t>个县（区）</w:t>
            </w:r>
          </w:p>
        </w:tc>
        <w:tc>
          <w:tcPr>
            <w:tcW w:w="957" w:type="dxa"/>
            <w:noWrap w:val="0"/>
            <w:vAlign w:val="center"/>
          </w:tcPr>
          <w:p>
            <w:pPr>
              <w:autoSpaceDE w:val="0"/>
              <w:spacing w:line="32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autoSpaceDE w:val="0"/>
              <w:spacing w:line="320" w:lineRule="exact"/>
              <w:jc w:val="center"/>
              <w:rPr>
                <w:rFonts w:ascii="Times New Roman" w:hAnsi="Times New Roman"/>
                <w:color w:val="000000"/>
              </w:rPr>
            </w:pPr>
            <w:r>
              <w:rPr>
                <w:rFonts w:ascii="Times New Roman" w:hAnsi="Times New Roman"/>
                <w:color w:val="000000"/>
              </w:rPr>
              <w:t>9-11</w:t>
            </w:r>
            <w:r>
              <w:rPr>
                <w:rFonts w:ascii="宋体" w:hAnsi="宋体"/>
                <w:color w:val="000000"/>
              </w:rPr>
              <w:t>月</w:t>
            </w:r>
          </w:p>
        </w:tc>
        <w:tc>
          <w:tcPr>
            <w:tcW w:w="957" w:type="dxa"/>
            <w:noWrap w:val="0"/>
            <w:vAlign w:val="center"/>
          </w:tcPr>
          <w:p>
            <w:pPr>
              <w:autoSpaceDE w:val="0"/>
              <w:spacing w:line="32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autoSpaceDE w:val="0"/>
              <w:spacing w:line="320" w:lineRule="exact"/>
              <w:rPr>
                <w:rFonts w:ascii="Times New Roman" w:hAnsi="Times New Roman"/>
                <w:color w:val="000000"/>
              </w:rPr>
            </w:pPr>
            <w:r>
              <w:rPr>
                <w:rFonts w:ascii="Times New Roman" w:hAnsi="Times New Roman"/>
                <w:color w:val="000000"/>
              </w:rPr>
              <w:t>1.</w:t>
            </w:r>
            <w:r>
              <w:rPr>
                <w:rFonts w:ascii="宋体" w:hAnsi="宋体"/>
                <w:color w:val="000000"/>
              </w:rPr>
              <w:t>施工图是否通过审查；</w:t>
            </w:r>
          </w:p>
          <w:p>
            <w:pPr>
              <w:autoSpaceDE w:val="0"/>
              <w:spacing w:line="320" w:lineRule="exact"/>
              <w:rPr>
                <w:rFonts w:ascii="Times New Roman" w:hAnsi="Times New Roman"/>
                <w:color w:val="000000"/>
              </w:rPr>
            </w:pPr>
            <w:r>
              <w:rPr>
                <w:rFonts w:ascii="Times New Roman" w:hAnsi="Times New Roman"/>
                <w:color w:val="000000"/>
              </w:rPr>
              <w:t>2.</w:t>
            </w:r>
            <w:r>
              <w:rPr>
                <w:rFonts w:ascii="宋体" w:hAnsi="宋体"/>
                <w:color w:val="000000"/>
              </w:rPr>
              <w:t>工程勘察现场作业质量控制情况；</w:t>
            </w:r>
          </w:p>
          <w:p>
            <w:pPr>
              <w:autoSpaceDE w:val="0"/>
              <w:spacing w:line="320" w:lineRule="exact"/>
              <w:rPr>
                <w:rFonts w:ascii="Times New Roman" w:hAnsi="Times New Roman"/>
                <w:color w:val="000000"/>
              </w:rPr>
            </w:pPr>
            <w:r>
              <w:rPr>
                <w:rFonts w:ascii="Times New Roman" w:hAnsi="Times New Roman"/>
                <w:color w:val="000000"/>
              </w:rPr>
              <w:t>3.</w:t>
            </w:r>
            <w:r>
              <w:rPr>
                <w:rFonts w:ascii="宋体" w:hAnsi="宋体"/>
                <w:color w:val="000000"/>
              </w:rPr>
              <w:t>勘察设计文件及审查的规范性（包含超限高层建筑工程抗震设防）。</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3</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房地产估价机构监督检查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《房地产估价机构管理办法》（建设部令第</w:t>
            </w:r>
            <w:r>
              <w:rPr>
                <w:rFonts w:ascii="Times New Roman" w:hAnsi="Times New Roman"/>
                <w:color w:val="000000"/>
              </w:rPr>
              <w:t>142</w:t>
            </w:r>
            <w:r>
              <w:rPr>
                <w:rFonts w:ascii="宋体" w:hAnsi="宋体"/>
                <w:color w:val="000000"/>
              </w:rPr>
              <w:t>号）第五条、第三十七条；《中华人民共和国资产评估法》第四十条。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房地产估价机构</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kern w:val="0"/>
              </w:rPr>
              <w:t>不超过机构总数的</w:t>
            </w:r>
            <w:r>
              <w:rPr>
                <w:rFonts w:ascii="Times New Roman" w:hAnsi="Times New Roman"/>
                <w:color w:val="000000"/>
                <w:kern w:val="0"/>
              </w:rPr>
              <w:t>15%</w:t>
            </w:r>
            <w:r>
              <w:rPr>
                <w:rFonts w:ascii="宋体" w:hAnsi="宋体"/>
                <w:color w:val="000000"/>
                <w:kern w:val="0"/>
              </w:rPr>
              <w:t>（不含</w:t>
            </w:r>
            <w:r>
              <w:rPr>
                <w:rFonts w:ascii="Times New Roman" w:hAnsi="Times New Roman"/>
                <w:color w:val="000000"/>
                <w:kern w:val="0"/>
              </w:rPr>
              <w:t>2021</w:t>
            </w:r>
            <w:r>
              <w:rPr>
                <w:rFonts w:ascii="宋体" w:hAnsi="宋体"/>
                <w:color w:val="000000"/>
                <w:kern w:val="0"/>
              </w:rPr>
              <w:t>年、</w:t>
            </w:r>
            <w:r>
              <w:rPr>
                <w:rFonts w:ascii="Times New Roman" w:hAnsi="Times New Roman"/>
                <w:color w:val="000000"/>
                <w:kern w:val="0"/>
              </w:rPr>
              <w:t>2022</w:t>
            </w:r>
            <w:r>
              <w:rPr>
                <w:rFonts w:ascii="宋体" w:hAnsi="宋体"/>
                <w:color w:val="000000"/>
                <w:kern w:val="0"/>
              </w:rPr>
              <w:t>年已检查的机构）</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7-8</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widowControl/>
              <w:spacing w:line="280" w:lineRule="exact"/>
              <w:rPr>
                <w:rFonts w:ascii="Times New Roman" w:hAnsi="Times New Roman"/>
                <w:color w:val="000000"/>
              </w:rPr>
            </w:pPr>
            <w:r>
              <w:rPr>
                <w:rFonts w:ascii="Times New Roman" w:hAnsi="Times New Roman"/>
                <w:color w:val="000000"/>
                <w:spacing w:val="-4"/>
              </w:rPr>
              <w:t>1.</w:t>
            </w:r>
            <w:r>
              <w:rPr>
                <w:rFonts w:ascii="宋体" w:hAnsi="宋体"/>
                <w:color w:val="000000"/>
                <w:spacing w:val="-4"/>
              </w:rPr>
              <w:t>房地产估价机构情况</w:t>
            </w:r>
            <w:r>
              <w:rPr>
                <w:rFonts w:ascii="宋体" w:hAnsi="宋体"/>
                <w:color w:val="000000"/>
              </w:rPr>
              <w:t>；</w:t>
            </w:r>
          </w:p>
          <w:p>
            <w:pPr>
              <w:widowControl/>
              <w:spacing w:line="280" w:lineRule="exact"/>
              <w:rPr>
                <w:rFonts w:ascii="Times New Roman" w:hAnsi="Times New Roman"/>
                <w:color w:val="000000"/>
              </w:rPr>
            </w:pPr>
            <w:r>
              <w:rPr>
                <w:rFonts w:ascii="Times New Roman" w:hAnsi="Times New Roman"/>
                <w:color w:val="000000"/>
                <w:spacing w:val="-4"/>
              </w:rPr>
              <w:t>2.</w:t>
            </w:r>
            <w:r>
              <w:rPr>
                <w:rFonts w:ascii="宋体" w:hAnsi="宋体"/>
                <w:color w:val="000000"/>
                <w:spacing w:val="-4"/>
              </w:rPr>
              <w:t>专职房地产估价师情况。</w:t>
            </w:r>
          </w:p>
        </w:tc>
        <w:tc>
          <w:tcPr>
            <w:tcW w:w="697" w:type="dxa"/>
            <w:vMerge w:val="restart"/>
            <w:noWrap w:val="0"/>
            <w:vAlign w:val="center"/>
          </w:tcPr>
          <w:p>
            <w:pPr>
              <w:widowControl/>
              <w:spacing w:line="280" w:lineRule="exact"/>
              <w:rPr>
                <w:rFonts w:hint="eastAsia" w:ascii="Times New Roman" w:hAnsi="Times New Roman"/>
                <w:color w:val="000000"/>
                <w:spacing w:val="-4"/>
              </w:rPr>
            </w:pPr>
            <w:r>
              <w:rPr>
                <w:rFonts w:hint="eastAsia" w:ascii="宋体" w:hAnsi="宋体"/>
                <w:color w:val="000000"/>
                <w:spacing w:val="-4"/>
              </w:rPr>
              <w:t>房地产市场监管处</w:t>
            </w:r>
          </w:p>
          <w:p>
            <w:pPr>
              <w:widowControl/>
              <w:spacing w:line="280" w:lineRule="exact"/>
              <w:jc w:val="center"/>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4</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房地产开发企业监督检查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《房地产开发企业资质管理规定》（建设部令第</w:t>
            </w:r>
            <w:r>
              <w:rPr>
                <w:rFonts w:ascii="Times New Roman" w:hAnsi="Times New Roman"/>
                <w:color w:val="000000"/>
              </w:rPr>
              <w:t>77</w:t>
            </w:r>
            <w:r>
              <w:rPr>
                <w:rFonts w:ascii="宋体" w:hAnsi="宋体"/>
                <w:color w:val="000000"/>
              </w:rPr>
              <w:t>号）第四条、第十一条。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房地产开发企业</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w:t>
            </w:r>
            <w:r>
              <w:rPr>
                <w:rFonts w:ascii="Times New Roman" w:hAnsi="Times New Roman"/>
                <w:color w:val="000000"/>
              </w:rPr>
              <w:t>2%</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7-8</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widowControl/>
              <w:spacing w:line="280" w:lineRule="exact"/>
              <w:rPr>
                <w:rFonts w:ascii="Times New Roman" w:hAnsi="Times New Roman"/>
                <w:color w:val="000000"/>
                <w:spacing w:val="-4"/>
                <w:kern w:val="0"/>
              </w:rPr>
            </w:pPr>
            <w:r>
              <w:rPr>
                <w:rFonts w:ascii="Times New Roman" w:hAnsi="Times New Roman"/>
                <w:color w:val="000000"/>
                <w:spacing w:val="-4"/>
                <w:kern w:val="0"/>
              </w:rPr>
              <w:t>1.</w:t>
            </w:r>
            <w:r>
              <w:rPr>
                <w:rFonts w:ascii="宋体" w:hAnsi="宋体"/>
                <w:color w:val="000000"/>
                <w:spacing w:val="-4"/>
                <w:kern w:val="0"/>
              </w:rPr>
              <w:t>企业基本情况；</w:t>
            </w:r>
          </w:p>
          <w:p>
            <w:pPr>
              <w:widowControl/>
              <w:spacing w:line="280" w:lineRule="exact"/>
              <w:rPr>
                <w:rFonts w:ascii="Times New Roman" w:hAnsi="Times New Roman"/>
                <w:color w:val="000000"/>
                <w:spacing w:val="-4"/>
                <w:kern w:val="0"/>
              </w:rPr>
            </w:pPr>
            <w:r>
              <w:rPr>
                <w:rFonts w:ascii="Times New Roman" w:hAnsi="Times New Roman"/>
                <w:color w:val="000000"/>
                <w:spacing w:val="-4"/>
                <w:kern w:val="0"/>
              </w:rPr>
              <w:t>2.</w:t>
            </w:r>
            <w:r>
              <w:rPr>
                <w:rFonts w:ascii="宋体" w:hAnsi="宋体"/>
                <w:color w:val="000000"/>
                <w:spacing w:val="-4"/>
                <w:kern w:val="0"/>
              </w:rPr>
              <w:t>近三年开发项目情况；</w:t>
            </w:r>
          </w:p>
          <w:p>
            <w:pPr>
              <w:widowControl/>
              <w:spacing w:line="280" w:lineRule="exact"/>
              <w:rPr>
                <w:rFonts w:ascii="Times New Roman" w:hAnsi="Times New Roman"/>
                <w:color w:val="000000"/>
              </w:rPr>
            </w:pPr>
            <w:r>
              <w:rPr>
                <w:rFonts w:ascii="Times New Roman" w:hAnsi="Times New Roman"/>
                <w:color w:val="000000"/>
                <w:spacing w:val="-4"/>
                <w:kern w:val="0"/>
              </w:rPr>
              <w:t>3.</w:t>
            </w:r>
            <w:r>
              <w:rPr>
                <w:rFonts w:ascii="宋体" w:hAnsi="宋体"/>
                <w:color w:val="000000"/>
                <w:spacing w:val="-4"/>
                <w:kern w:val="0"/>
              </w:rPr>
              <w:t>市场经营行为情况。</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5</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物业服务企业监督检查</w:t>
            </w:r>
          </w:p>
        </w:tc>
        <w:tc>
          <w:tcPr>
            <w:tcW w:w="3490" w:type="dxa"/>
            <w:noWrap w:val="0"/>
            <w:vAlign w:val="center"/>
          </w:tcPr>
          <w:p>
            <w:pPr>
              <w:spacing w:line="280" w:lineRule="exact"/>
              <w:rPr>
                <w:rFonts w:ascii="Times New Roman" w:hAnsi="Times New Roman"/>
                <w:color w:val="000000"/>
              </w:rPr>
            </w:pPr>
            <w:r>
              <w:rPr>
                <w:rFonts w:ascii="宋体" w:hAnsi="宋体"/>
                <w:color w:val="000000"/>
              </w:rPr>
              <w:t>《物业管理条例》第五条；《河南省物业管理条例》第</w:t>
            </w:r>
            <w:r>
              <w:rPr>
                <w:rFonts w:ascii="宋体" w:hAnsi="宋体"/>
                <w:color w:val="000000"/>
                <w:kern w:val="0"/>
              </w:rPr>
              <w:t>七</w:t>
            </w:r>
            <w:r>
              <w:rPr>
                <w:rFonts w:ascii="宋体" w:hAnsi="宋体"/>
                <w:color w:val="000000"/>
              </w:rPr>
              <w:t>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开展有物业管理服务项目的物业服务企业</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w:t>
            </w:r>
            <w:r>
              <w:rPr>
                <w:rFonts w:ascii="Times New Roman" w:hAnsi="Times New Roman"/>
                <w:color w:val="000000"/>
              </w:rPr>
              <w:t>2%</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7-8</w:t>
            </w:r>
            <w:r>
              <w:rPr>
                <w:rFonts w:ascii="宋体" w:hAnsi="宋体"/>
                <w:color w:val="000000"/>
              </w:rPr>
              <w:t>月</w:t>
            </w:r>
          </w:p>
        </w:tc>
        <w:tc>
          <w:tcPr>
            <w:tcW w:w="957" w:type="dxa"/>
            <w:noWrap w:val="0"/>
            <w:vAlign w:val="center"/>
          </w:tcPr>
          <w:p>
            <w:pPr>
              <w:spacing w:line="28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widowControl/>
              <w:spacing w:line="280" w:lineRule="exact"/>
              <w:rPr>
                <w:rFonts w:ascii="Times New Roman" w:hAnsi="Times New Roman"/>
                <w:color w:val="000000"/>
              </w:rPr>
            </w:pPr>
            <w:r>
              <w:rPr>
                <w:rFonts w:ascii="Times New Roman" w:hAnsi="Times New Roman"/>
                <w:color w:val="000000"/>
                <w:spacing w:val="-4"/>
                <w:kern w:val="0"/>
              </w:rPr>
              <w:t>1.</w:t>
            </w:r>
            <w:r>
              <w:rPr>
                <w:rFonts w:ascii="宋体" w:hAnsi="宋体"/>
                <w:color w:val="000000"/>
                <w:spacing w:val="-4"/>
                <w:kern w:val="0"/>
              </w:rPr>
              <w:t>企业依法经营情况；</w:t>
            </w:r>
            <w:r>
              <w:rPr>
                <w:rFonts w:ascii="Times New Roman" w:hAnsi="Times New Roman"/>
                <w:color w:val="000000"/>
                <w:spacing w:val="-4"/>
                <w:kern w:val="0"/>
              </w:rPr>
              <w:t>2.</w:t>
            </w:r>
            <w:r>
              <w:rPr>
                <w:rFonts w:ascii="宋体" w:hAnsi="宋体"/>
                <w:color w:val="000000"/>
                <w:spacing w:val="-4"/>
                <w:kern w:val="0"/>
              </w:rPr>
              <w:t>项目管理服务情况。</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6</w:t>
            </w:r>
          </w:p>
        </w:tc>
        <w:tc>
          <w:tcPr>
            <w:tcW w:w="1694" w:type="dxa"/>
            <w:noWrap w:val="0"/>
            <w:vAlign w:val="center"/>
          </w:tcPr>
          <w:p>
            <w:pPr>
              <w:spacing w:line="280" w:lineRule="exact"/>
              <w:jc w:val="center"/>
              <w:rPr>
                <w:rFonts w:ascii="Times New Roman" w:hAnsi="Times New Roman"/>
                <w:color w:val="000000"/>
              </w:rPr>
            </w:pPr>
            <w:r>
              <w:rPr>
                <w:rFonts w:ascii="宋体" w:hAnsi="宋体"/>
                <w:color w:val="000000"/>
              </w:rPr>
              <w:t>建筑市场监督检查</w:t>
            </w:r>
          </w:p>
        </w:tc>
        <w:tc>
          <w:tcPr>
            <w:tcW w:w="3490" w:type="dxa"/>
            <w:noWrap w:val="0"/>
            <w:vAlign w:val="center"/>
          </w:tcPr>
          <w:p>
            <w:pPr>
              <w:spacing w:line="280" w:lineRule="exact"/>
              <w:jc w:val="left"/>
              <w:rPr>
                <w:rFonts w:ascii="Times New Roman" w:hAnsi="Times New Roman"/>
                <w:color w:val="000000"/>
              </w:rPr>
            </w:pPr>
            <w:r>
              <w:rPr>
                <w:rFonts w:ascii="宋体" w:hAnsi="宋体"/>
                <w:color w:val="000000"/>
              </w:rPr>
              <w:t>《中华人民共和国建筑法》第四十三条；《河南省建筑市场管理条例》第四条、第十条；《保障农民工工资支付条例》。</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在建房屋建筑和市政基础设施工程</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不超过在建项目数</w:t>
            </w:r>
            <w:r>
              <w:rPr>
                <w:rFonts w:ascii="Times New Roman" w:hAnsi="Times New Roman"/>
                <w:color w:val="000000"/>
              </w:rPr>
              <w:t>1%</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6-8</w:t>
            </w:r>
            <w:r>
              <w:rPr>
                <w:rFonts w:ascii="宋体" w:hAnsi="宋体"/>
                <w:color w:val="000000"/>
              </w:rPr>
              <w:t>月</w:t>
            </w:r>
          </w:p>
        </w:tc>
        <w:tc>
          <w:tcPr>
            <w:tcW w:w="957" w:type="dxa"/>
            <w:noWrap w:val="0"/>
            <w:vAlign w:val="center"/>
          </w:tcPr>
          <w:p>
            <w:pPr>
              <w:spacing w:line="280" w:lineRule="exact"/>
              <w:jc w:val="left"/>
              <w:rPr>
                <w:rFonts w:ascii="Times New Roman" w:hAnsi="Times New Roman"/>
                <w:color w:val="000000"/>
              </w:rPr>
            </w:pPr>
            <w:r>
              <w:rPr>
                <w:rFonts w:ascii="宋体" w:hAnsi="宋体"/>
                <w:color w:val="000000"/>
              </w:rPr>
              <w:t>现场检查、书面检查、网络检查</w:t>
            </w:r>
          </w:p>
        </w:tc>
        <w:tc>
          <w:tcPr>
            <w:tcW w:w="2165" w:type="dxa"/>
            <w:noWrap w:val="0"/>
            <w:vAlign w:val="center"/>
          </w:tcPr>
          <w:p>
            <w:pPr>
              <w:widowControl/>
              <w:spacing w:line="260" w:lineRule="exact"/>
              <w:rPr>
                <w:rFonts w:ascii="Times New Roman" w:hAnsi="Times New Roman"/>
                <w:color w:val="000000"/>
              </w:rPr>
            </w:pPr>
            <w:r>
              <w:rPr>
                <w:rFonts w:ascii="Times New Roman" w:hAnsi="Times New Roman"/>
                <w:color w:val="000000"/>
              </w:rPr>
              <w:t>1.</w:t>
            </w:r>
            <w:r>
              <w:rPr>
                <w:rFonts w:ascii="宋体" w:hAnsi="宋体"/>
                <w:color w:val="000000"/>
              </w:rPr>
              <w:t>是否存在未批先建情况；</w:t>
            </w:r>
            <w:r>
              <w:rPr>
                <w:rFonts w:ascii="Times New Roman" w:hAnsi="Times New Roman"/>
                <w:color w:val="000000"/>
              </w:rPr>
              <w:t>2.</w:t>
            </w:r>
            <w:r>
              <w:rPr>
                <w:rFonts w:ascii="宋体" w:hAnsi="宋体"/>
                <w:color w:val="000000"/>
              </w:rPr>
              <w:t>施工发承包情况；</w:t>
            </w:r>
            <w:r>
              <w:rPr>
                <w:rFonts w:ascii="Times New Roman" w:hAnsi="Times New Roman"/>
                <w:color w:val="000000"/>
              </w:rPr>
              <w:t>3.</w:t>
            </w:r>
            <w:r>
              <w:rPr>
                <w:rFonts w:ascii="宋体" w:hAnsi="宋体"/>
                <w:color w:val="000000"/>
              </w:rPr>
              <w:t>各参建单位项目负责人在岗履职情况；</w:t>
            </w:r>
            <w:r>
              <w:rPr>
                <w:rFonts w:ascii="Times New Roman" w:hAnsi="Times New Roman"/>
                <w:color w:val="000000"/>
              </w:rPr>
              <w:t>4.</w:t>
            </w:r>
            <w:r>
              <w:rPr>
                <w:rFonts w:ascii="宋体" w:hAnsi="宋体"/>
                <w:color w:val="000000"/>
              </w:rPr>
              <w:t>工程款支付担保、农民工实名制、总包单位代发工资等制度落实情况。</w:t>
            </w:r>
          </w:p>
        </w:tc>
        <w:tc>
          <w:tcPr>
            <w:tcW w:w="697" w:type="dxa"/>
            <w:vMerge w:val="restart"/>
            <w:noWrap w:val="0"/>
            <w:vAlign w:val="center"/>
          </w:tcPr>
          <w:p>
            <w:pPr>
              <w:widowControl/>
              <w:spacing w:line="280" w:lineRule="exact"/>
              <w:jc w:val="center"/>
              <w:rPr>
                <w:rFonts w:ascii="Times New Roman" w:hAnsi="Times New Roman"/>
                <w:color w:val="000000"/>
              </w:rPr>
            </w:pPr>
            <w:r>
              <w:rPr>
                <w:rFonts w:hint="eastAsia" w:ascii="宋体" w:hAnsi="宋体"/>
                <w:color w:val="000000"/>
                <w:spacing w:val="-4"/>
                <w:kern w:val="0"/>
              </w:rPr>
              <w:t>建</w:t>
            </w:r>
            <w:r>
              <w:rPr>
                <w:rFonts w:hint="eastAsia" w:ascii="宋体" w:hAnsi="宋体"/>
                <w:color w:val="000000"/>
              </w:rPr>
              <w:t>筑市场监管处</w:t>
            </w: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7</w:t>
            </w:r>
          </w:p>
        </w:tc>
        <w:tc>
          <w:tcPr>
            <w:tcW w:w="1694" w:type="dxa"/>
            <w:noWrap w:val="0"/>
            <w:vAlign w:val="center"/>
          </w:tcPr>
          <w:p>
            <w:pPr>
              <w:spacing w:line="280" w:lineRule="exact"/>
              <w:jc w:val="center"/>
              <w:rPr>
                <w:rFonts w:ascii="Times New Roman" w:hAnsi="Times New Roman"/>
                <w:color w:val="000000"/>
              </w:rPr>
            </w:pPr>
            <w:r>
              <w:rPr>
                <w:rFonts w:ascii="宋体" w:hAnsi="宋体"/>
                <w:color w:val="000000"/>
              </w:rPr>
              <w:t>建筑业企业资质监督检查</w:t>
            </w:r>
          </w:p>
        </w:tc>
        <w:tc>
          <w:tcPr>
            <w:tcW w:w="3490" w:type="dxa"/>
            <w:noWrap w:val="0"/>
            <w:vAlign w:val="center"/>
          </w:tcPr>
          <w:p>
            <w:pPr>
              <w:spacing w:line="280" w:lineRule="exact"/>
              <w:jc w:val="left"/>
              <w:rPr>
                <w:rFonts w:ascii="Times New Roman" w:hAnsi="Times New Roman"/>
                <w:color w:val="000000"/>
              </w:rPr>
            </w:pPr>
            <w:r>
              <w:rPr>
                <w:rFonts w:ascii="宋体" w:hAnsi="宋体"/>
                <w:color w:val="000000"/>
              </w:rPr>
              <w:t>《建筑业企业资质管理规定》（住房和城乡建设部令第</w:t>
            </w:r>
            <w:r>
              <w:rPr>
                <w:rFonts w:ascii="Times New Roman" w:hAnsi="Times New Roman"/>
                <w:color w:val="000000"/>
              </w:rPr>
              <w:t>22</w:t>
            </w:r>
            <w:r>
              <w:rPr>
                <w:rFonts w:ascii="宋体" w:hAnsi="宋体"/>
                <w:color w:val="000000"/>
              </w:rPr>
              <w:t>号）。</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建筑业企业</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不超过总资质数</w:t>
            </w:r>
            <w:r>
              <w:rPr>
                <w:rFonts w:ascii="Times New Roman" w:hAnsi="Times New Roman"/>
                <w:color w:val="000000"/>
              </w:rPr>
              <w:t>1%</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6-8</w:t>
            </w:r>
            <w:r>
              <w:rPr>
                <w:rFonts w:ascii="宋体" w:hAnsi="宋体"/>
                <w:color w:val="000000"/>
              </w:rPr>
              <w:t>月</w:t>
            </w:r>
          </w:p>
        </w:tc>
        <w:tc>
          <w:tcPr>
            <w:tcW w:w="957" w:type="dxa"/>
            <w:noWrap w:val="0"/>
            <w:vAlign w:val="center"/>
          </w:tcPr>
          <w:p>
            <w:pPr>
              <w:spacing w:line="280" w:lineRule="exact"/>
              <w:jc w:val="left"/>
              <w:rPr>
                <w:rFonts w:ascii="Times New Roman" w:hAnsi="Times New Roman"/>
                <w:color w:val="000000"/>
              </w:rPr>
            </w:pPr>
            <w:r>
              <w:rPr>
                <w:rFonts w:ascii="宋体" w:hAnsi="宋体"/>
                <w:color w:val="000000"/>
              </w:rPr>
              <w:t>现场检查、书面检查、网络检查</w:t>
            </w:r>
          </w:p>
        </w:tc>
        <w:tc>
          <w:tcPr>
            <w:tcW w:w="2165" w:type="dxa"/>
            <w:noWrap w:val="0"/>
            <w:vAlign w:val="center"/>
          </w:tcPr>
          <w:p>
            <w:pPr>
              <w:widowControl/>
              <w:spacing w:line="280" w:lineRule="exact"/>
              <w:jc w:val="left"/>
              <w:rPr>
                <w:rFonts w:ascii="Times New Roman" w:hAnsi="Times New Roman"/>
                <w:color w:val="000000"/>
              </w:rPr>
            </w:pPr>
            <w:r>
              <w:rPr>
                <w:rFonts w:ascii="宋体" w:hAnsi="宋体"/>
                <w:color w:val="000000"/>
              </w:rPr>
              <w:t>建筑业企业满足资质标准情况。</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8</w:t>
            </w:r>
          </w:p>
        </w:tc>
        <w:tc>
          <w:tcPr>
            <w:tcW w:w="1694" w:type="dxa"/>
            <w:noWrap w:val="0"/>
            <w:vAlign w:val="center"/>
          </w:tcPr>
          <w:p>
            <w:pPr>
              <w:spacing w:line="280" w:lineRule="exact"/>
              <w:jc w:val="center"/>
              <w:rPr>
                <w:rFonts w:ascii="Times New Roman" w:hAnsi="Times New Roman"/>
                <w:color w:val="000000"/>
              </w:rPr>
            </w:pPr>
            <w:r>
              <w:rPr>
                <w:rFonts w:ascii="宋体" w:hAnsi="宋体"/>
                <w:color w:val="000000"/>
              </w:rPr>
              <w:t>工程监理企业资质监督检查</w:t>
            </w:r>
          </w:p>
        </w:tc>
        <w:tc>
          <w:tcPr>
            <w:tcW w:w="3490" w:type="dxa"/>
            <w:noWrap w:val="0"/>
            <w:vAlign w:val="center"/>
          </w:tcPr>
          <w:p>
            <w:pPr>
              <w:spacing w:line="280" w:lineRule="exact"/>
              <w:jc w:val="left"/>
              <w:rPr>
                <w:rFonts w:ascii="Times New Roman" w:hAnsi="Times New Roman"/>
                <w:color w:val="000000"/>
              </w:rPr>
            </w:pPr>
            <w:r>
              <w:rPr>
                <w:rFonts w:ascii="宋体" w:hAnsi="宋体"/>
                <w:color w:val="000000"/>
              </w:rPr>
              <w:t>《工程监理企业资质管理规定》（建设部令第</w:t>
            </w:r>
            <w:r>
              <w:rPr>
                <w:rFonts w:ascii="Times New Roman" w:hAnsi="Times New Roman"/>
                <w:color w:val="000000"/>
              </w:rPr>
              <w:t>158</w:t>
            </w:r>
            <w:r>
              <w:rPr>
                <w:rFonts w:ascii="宋体" w:hAnsi="宋体"/>
                <w:color w:val="000000"/>
              </w:rPr>
              <w:t>号）。</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工程监理</w:t>
            </w:r>
          </w:p>
          <w:p>
            <w:pPr>
              <w:spacing w:line="280" w:lineRule="exact"/>
              <w:jc w:val="center"/>
              <w:rPr>
                <w:rFonts w:ascii="Times New Roman" w:hAnsi="Times New Roman"/>
                <w:color w:val="000000"/>
              </w:rPr>
            </w:pPr>
            <w:r>
              <w:rPr>
                <w:rFonts w:ascii="宋体" w:hAnsi="宋体"/>
                <w:color w:val="000000"/>
              </w:rPr>
              <w:t>企业</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不超过总资质数</w:t>
            </w:r>
            <w:r>
              <w:rPr>
                <w:rFonts w:ascii="Times New Roman" w:hAnsi="Times New Roman"/>
                <w:color w:val="000000"/>
              </w:rPr>
              <w:t>1%</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6-8</w:t>
            </w:r>
            <w:r>
              <w:rPr>
                <w:rFonts w:ascii="宋体" w:hAnsi="宋体"/>
                <w:color w:val="000000"/>
              </w:rPr>
              <w:t>月</w:t>
            </w:r>
          </w:p>
        </w:tc>
        <w:tc>
          <w:tcPr>
            <w:tcW w:w="957" w:type="dxa"/>
            <w:noWrap w:val="0"/>
            <w:vAlign w:val="center"/>
          </w:tcPr>
          <w:p>
            <w:pPr>
              <w:spacing w:line="260" w:lineRule="exact"/>
              <w:jc w:val="left"/>
              <w:rPr>
                <w:rFonts w:ascii="Times New Roman" w:hAnsi="Times New Roman"/>
                <w:color w:val="000000"/>
              </w:rPr>
            </w:pPr>
            <w:r>
              <w:rPr>
                <w:rFonts w:ascii="宋体" w:hAnsi="宋体"/>
                <w:color w:val="000000"/>
              </w:rPr>
              <w:t>现场检查、书面检查、网络检查</w:t>
            </w:r>
          </w:p>
        </w:tc>
        <w:tc>
          <w:tcPr>
            <w:tcW w:w="2165" w:type="dxa"/>
            <w:noWrap w:val="0"/>
            <w:vAlign w:val="center"/>
          </w:tcPr>
          <w:p>
            <w:pPr>
              <w:widowControl/>
              <w:spacing w:line="260" w:lineRule="exact"/>
              <w:rPr>
                <w:rFonts w:ascii="Times New Roman" w:hAnsi="Times New Roman"/>
                <w:color w:val="000000"/>
              </w:rPr>
            </w:pPr>
            <w:r>
              <w:rPr>
                <w:rFonts w:ascii="宋体" w:hAnsi="宋体"/>
                <w:color w:val="000000"/>
              </w:rPr>
              <w:t>工程监理企业满足资质标准情况。</w:t>
            </w:r>
          </w:p>
        </w:tc>
        <w:tc>
          <w:tcPr>
            <w:tcW w:w="697" w:type="dxa"/>
            <w:vMerge w:val="restart"/>
            <w:noWrap w:val="0"/>
            <w:vAlign w:val="center"/>
          </w:tcPr>
          <w:p>
            <w:pPr>
              <w:widowControl/>
              <w:jc w:val="left"/>
              <w:rPr>
                <w:rFonts w:ascii="Times New Roman" w:hAnsi="Times New Roman"/>
                <w:color w:val="000000"/>
              </w:rPr>
            </w:pPr>
            <w:r>
              <w:rPr>
                <w:rFonts w:hint="eastAsia" w:ascii="宋体" w:hAnsi="宋体"/>
                <w:color w:val="000000"/>
                <w:spacing w:val="-4"/>
              </w:rPr>
              <w:t>建筑市场监管处</w:t>
            </w:r>
          </w:p>
        </w:tc>
        <w:tc>
          <w:tcPr>
            <w:tcW w:w="855" w:type="dxa"/>
            <w:noWrap w:val="0"/>
            <w:vAlign w:val="center"/>
          </w:tcPr>
          <w:p>
            <w:pPr>
              <w:widowControl/>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9</w:t>
            </w:r>
          </w:p>
        </w:tc>
        <w:tc>
          <w:tcPr>
            <w:tcW w:w="1694" w:type="dxa"/>
            <w:noWrap w:val="0"/>
            <w:vAlign w:val="center"/>
          </w:tcPr>
          <w:p>
            <w:pPr>
              <w:spacing w:line="280" w:lineRule="exact"/>
              <w:jc w:val="center"/>
              <w:rPr>
                <w:rFonts w:ascii="Times New Roman" w:hAnsi="Times New Roman"/>
                <w:color w:val="000000"/>
              </w:rPr>
            </w:pPr>
            <w:r>
              <w:rPr>
                <w:rFonts w:ascii="宋体" w:hAnsi="宋体"/>
                <w:color w:val="000000"/>
              </w:rPr>
              <w:t>房屋建筑及市政基础设施工程建设项目招标投标活动检查</w:t>
            </w:r>
          </w:p>
        </w:tc>
        <w:tc>
          <w:tcPr>
            <w:tcW w:w="3490" w:type="dxa"/>
            <w:noWrap w:val="0"/>
            <w:vAlign w:val="center"/>
          </w:tcPr>
          <w:p>
            <w:pPr>
              <w:spacing w:line="280" w:lineRule="exact"/>
              <w:jc w:val="left"/>
              <w:rPr>
                <w:rFonts w:ascii="Times New Roman" w:hAnsi="Times New Roman"/>
                <w:color w:val="000000"/>
              </w:rPr>
            </w:pPr>
            <w:r>
              <w:rPr>
                <w:rFonts w:ascii="宋体" w:hAnsi="宋体"/>
                <w:color w:val="000000"/>
              </w:rPr>
              <w:t>住建部关于进一步加强房屋建筑和市政基础设施工程招标投标监管的指导意见（建市规〔</w:t>
            </w:r>
            <w:r>
              <w:rPr>
                <w:rFonts w:ascii="Times New Roman" w:hAnsi="Times New Roman"/>
                <w:color w:val="000000"/>
              </w:rPr>
              <w:t>2019</w:t>
            </w:r>
            <w:r>
              <w:rPr>
                <w:rFonts w:ascii="宋体" w:hAnsi="宋体"/>
                <w:color w:val="000000"/>
              </w:rPr>
              <w:t>〕</w:t>
            </w:r>
            <w:r>
              <w:rPr>
                <w:rFonts w:ascii="Times New Roman" w:hAnsi="Times New Roman"/>
                <w:color w:val="000000"/>
              </w:rPr>
              <w:t>11</w:t>
            </w:r>
            <w:r>
              <w:rPr>
                <w:rFonts w:ascii="宋体" w:hAnsi="宋体"/>
                <w:color w:val="000000"/>
              </w:rPr>
              <w:t>号）</w:t>
            </w:r>
            <w:r>
              <w:rPr>
                <w:rFonts w:hint="eastAsia" w:ascii="宋体" w:hAnsi="宋体"/>
                <w:color w:val="000000"/>
              </w:rPr>
              <w:t>。</w:t>
            </w:r>
          </w:p>
        </w:tc>
        <w:tc>
          <w:tcPr>
            <w:tcW w:w="858" w:type="dxa"/>
            <w:noWrap w:val="0"/>
            <w:vAlign w:val="center"/>
          </w:tcPr>
          <w:p>
            <w:pPr>
              <w:widowControl/>
              <w:spacing w:line="30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招标投标活动</w:t>
            </w:r>
          </w:p>
        </w:tc>
        <w:tc>
          <w:tcPr>
            <w:tcW w:w="1156" w:type="dxa"/>
            <w:noWrap w:val="0"/>
            <w:vAlign w:val="center"/>
          </w:tcPr>
          <w:p>
            <w:pPr>
              <w:spacing w:line="280" w:lineRule="exact"/>
              <w:jc w:val="center"/>
              <w:rPr>
                <w:rFonts w:ascii="Times New Roman" w:hAnsi="Times New Roman"/>
                <w:color w:val="000000"/>
              </w:rPr>
            </w:pPr>
            <w:r>
              <w:rPr>
                <w:rFonts w:ascii="Times New Roman" w:hAnsi="Times New Roman"/>
                <w:color w:val="000000"/>
              </w:rPr>
              <w:t>5%-10%</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6-8</w:t>
            </w:r>
            <w:r>
              <w:rPr>
                <w:rFonts w:ascii="宋体" w:hAnsi="宋体"/>
                <w:color w:val="000000"/>
              </w:rPr>
              <w:t>月</w:t>
            </w:r>
          </w:p>
        </w:tc>
        <w:tc>
          <w:tcPr>
            <w:tcW w:w="957" w:type="dxa"/>
            <w:noWrap w:val="0"/>
            <w:vAlign w:val="center"/>
          </w:tcPr>
          <w:p>
            <w:pPr>
              <w:spacing w:line="260" w:lineRule="exact"/>
              <w:jc w:val="left"/>
              <w:rPr>
                <w:rFonts w:ascii="Times New Roman" w:hAnsi="Times New Roman"/>
                <w:color w:val="000000"/>
              </w:rPr>
            </w:pPr>
            <w:r>
              <w:rPr>
                <w:rFonts w:ascii="宋体" w:hAnsi="宋体"/>
                <w:color w:val="000000"/>
              </w:rPr>
              <w:t>现场检查、书面检查</w:t>
            </w:r>
          </w:p>
        </w:tc>
        <w:tc>
          <w:tcPr>
            <w:tcW w:w="2165" w:type="dxa"/>
            <w:noWrap w:val="0"/>
            <w:vAlign w:val="center"/>
          </w:tcPr>
          <w:p>
            <w:pPr>
              <w:widowControl/>
              <w:spacing w:line="260" w:lineRule="exact"/>
              <w:rPr>
                <w:rFonts w:ascii="Times New Roman" w:hAnsi="Times New Roman"/>
                <w:color w:val="000000"/>
              </w:rPr>
            </w:pPr>
            <w:r>
              <w:rPr>
                <w:rFonts w:ascii="宋体" w:hAnsi="宋体"/>
                <w:color w:val="000000"/>
              </w:rPr>
              <w:t>检查参与招标投标的各方行为主体是否存在违反相关法律、法规或者规章的行为</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0"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10</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建造师、勘察设计工程师、建筑师、监理工程师、造价工程师注册及继续教育情况</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《注册建造师管理规定》（建设部令第</w:t>
            </w:r>
            <w:r>
              <w:rPr>
                <w:rFonts w:ascii="Times New Roman" w:hAnsi="Times New Roman"/>
                <w:color w:val="000000"/>
              </w:rPr>
              <w:t>153</w:t>
            </w:r>
            <w:r>
              <w:rPr>
                <w:rFonts w:ascii="宋体" w:hAnsi="宋体"/>
                <w:color w:val="000000"/>
              </w:rPr>
              <w:t>号）第四条、第九条、第二十七条、第二十九条。</w:t>
            </w:r>
          </w:p>
          <w:p>
            <w:pPr>
              <w:widowControl/>
              <w:spacing w:line="280" w:lineRule="exact"/>
              <w:rPr>
                <w:rFonts w:ascii="Times New Roman" w:hAnsi="Times New Roman"/>
                <w:color w:val="000000"/>
              </w:rPr>
            </w:pPr>
            <w:r>
              <w:rPr>
                <w:rFonts w:ascii="宋体" w:hAnsi="宋体"/>
                <w:color w:val="000000"/>
              </w:rPr>
              <w:t>《勘察设计注册工程师管理规定》（建设部令第</w:t>
            </w:r>
            <w:r>
              <w:rPr>
                <w:rFonts w:ascii="Times New Roman" w:hAnsi="Times New Roman"/>
                <w:color w:val="000000"/>
              </w:rPr>
              <w:t>137</w:t>
            </w:r>
            <w:r>
              <w:rPr>
                <w:rFonts w:ascii="宋体" w:hAnsi="宋体"/>
                <w:color w:val="000000"/>
              </w:rPr>
              <w:t>号）第五条、第九条、第二十七条。</w:t>
            </w:r>
          </w:p>
          <w:p>
            <w:pPr>
              <w:widowControl/>
              <w:spacing w:line="280" w:lineRule="exact"/>
              <w:rPr>
                <w:rFonts w:ascii="Times New Roman" w:hAnsi="Times New Roman"/>
                <w:color w:val="000000"/>
              </w:rPr>
            </w:pPr>
            <w:r>
              <w:rPr>
                <w:rFonts w:ascii="宋体" w:hAnsi="宋体"/>
                <w:color w:val="000000"/>
              </w:rPr>
              <w:t>《注册建筑师条例》（国务院令第</w:t>
            </w:r>
            <w:r>
              <w:rPr>
                <w:rFonts w:ascii="Times New Roman" w:hAnsi="Times New Roman"/>
                <w:color w:val="000000"/>
              </w:rPr>
              <w:t>184</w:t>
            </w:r>
            <w:r>
              <w:rPr>
                <w:rFonts w:ascii="宋体" w:hAnsi="宋体"/>
                <w:color w:val="000000"/>
              </w:rPr>
              <w:t>号）第四条、第十二条、第二十八条。</w:t>
            </w:r>
          </w:p>
          <w:p>
            <w:pPr>
              <w:widowControl/>
              <w:spacing w:line="280" w:lineRule="exact"/>
              <w:rPr>
                <w:rFonts w:ascii="Times New Roman" w:hAnsi="Times New Roman"/>
                <w:color w:val="000000"/>
              </w:rPr>
            </w:pPr>
            <w:r>
              <w:rPr>
                <w:rFonts w:ascii="宋体" w:hAnsi="宋体"/>
                <w:color w:val="000000"/>
              </w:rPr>
              <w:t>《注册监理工程师管理规定》（中华人民共和国建设部令第</w:t>
            </w:r>
            <w:r>
              <w:rPr>
                <w:rFonts w:ascii="Times New Roman" w:hAnsi="Times New Roman"/>
                <w:color w:val="000000"/>
              </w:rPr>
              <w:t>147</w:t>
            </w:r>
            <w:r>
              <w:rPr>
                <w:rFonts w:ascii="宋体" w:hAnsi="宋体"/>
                <w:color w:val="000000"/>
              </w:rPr>
              <w:t>号）第二章、第四章相关条款、第二十八条。</w:t>
            </w:r>
          </w:p>
          <w:p>
            <w:pPr>
              <w:widowControl/>
              <w:spacing w:line="280" w:lineRule="exact"/>
              <w:rPr>
                <w:rFonts w:ascii="Times New Roman" w:hAnsi="Times New Roman"/>
                <w:color w:val="000000"/>
              </w:rPr>
            </w:pPr>
            <w:r>
              <w:rPr>
                <w:rFonts w:ascii="宋体" w:hAnsi="宋体"/>
                <w:color w:val="000000"/>
              </w:rPr>
              <w:t>《注册造价工程师管理办法》</w:t>
            </w:r>
            <w:r>
              <w:rPr>
                <w:rFonts w:ascii="Times New Roman" w:hAnsi="Times New Roman"/>
                <w:color w:val="000000"/>
              </w:rPr>
              <w:t xml:space="preserve"> (</w:t>
            </w:r>
            <w:r>
              <w:rPr>
                <w:rFonts w:ascii="宋体" w:hAnsi="宋体"/>
                <w:color w:val="000000"/>
              </w:rPr>
              <w:t>建师</w:t>
            </w:r>
            <w:r>
              <w:rPr>
                <w:rFonts w:ascii="Times New Roman" w:hAnsi="Times New Roman"/>
                <w:color w:val="000000"/>
              </w:rPr>
              <w:t>”</w:t>
            </w:r>
            <w:r>
              <w:rPr>
                <w:rFonts w:ascii="宋体" w:hAnsi="宋体"/>
                <w:color w:val="000000"/>
              </w:rPr>
              <w:t xml:space="preserve">设部令第 </w:t>
            </w:r>
            <w:r>
              <w:rPr>
                <w:rFonts w:ascii="Times New Roman" w:hAnsi="Times New Roman"/>
                <w:color w:val="000000"/>
              </w:rPr>
              <w:t>150</w:t>
            </w:r>
            <w:r>
              <w:rPr>
                <w:rFonts w:ascii="宋体" w:hAnsi="宋体"/>
                <w:color w:val="000000"/>
              </w:rPr>
              <w:t>号</w:t>
            </w:r>
            <w:r>
              <w:rPr>
                <w:rFonts w:ascii="Times New Roman" w:hAnsi="Times New Roman"/>
                <w:color w:val="000000"/>
              </w:rPr>
              <w:t>)</w:t>
            </w:r>
            <w:r>
              <w:rPr>
                <w:rFonts w:ascii="宋体" w:hAnsi="宋体"/>
                <w:color w:val="000000"/>
              </w:rPr>
              <w:t>第四条、第二十三条、第二十五条</w:t>
            </w:r>
            <w:r>
              <w:rPr>
                <w:rFonts w:hint="eastAsia" w:ascii="宋体" w:hAnsi="宋体"/>
                <w:color w:val="000000"/>
              </w:rPr>
              <w:t>。</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widowControl/>
              <w:spacing w:line="280" w:lineRule="exact"/>
              <w:jc w:val="center"/>
              <w:rPr>
                <w:rFonts w:ascii="Times New Roman" w:hAnsi="Times New Roman"/>
                <w:color w:val="000000"/>
              </w:rPr>
            </w:pPr>
            <w:r>
              <w:rPr>
                <w:rFonts w:ascii="宋体" w:hAnsi="宋体"/>
                <w:color w:val="000000"/>
              </w:rPr>
              <w:t>注册建造师、注册勘察设计工程师、注册建筑师、注册监理工程师、注册造价工程师</w:t>
            </w:r>
          </w:p>
        </w:tc>
        <w:tc>
          <w:tcPr>
            <w:tcW w:w="1156" w:type="dxa"/>
            <w:noWrap w:val="0"/>
            <w:vAlign w:val="center"/>
          </w:tcPr>
          <w:p>
            <w:pPr>
              <w:widowControl/>
              <w:spacing w:line="280" w:lineRule="exact"/>
              <w:jc w:val="center"/>
              <w:rPr>
                <w:rFonts w:ascii="Times New Roman" w:hAnsi="Times New Roman"/>
                <w:color w:val="000000"/>
              </w:rPr>
            </w:pPr>
            <w:r>
              <w:rPr>
                <w:rFonts w:ascii="宋体" w:hAnsi="宋体"/>
                <w:color w:val="000000"/>
              </w:rPr>
              <w:t>注册建造师不超过</w:t>
            </w:r>
            <w:r>
              <w:rPr>
                <w:rFonts w:ascii="Times New Roman" w:hAnsi="Times New Roman"/>
                <w:color w:val="000000"/>
              </w:rPr>
              <w:t>0.05%</w:t>
            </w:r>
            <w:r>
              <w:rPr>
                <w:rFonts w:ascii="宋体" w:hAnsi="宋体"/>
                <w:color w:val="000000"/>
              </w:rPr>
              <w:t>；</w:t>
            </w:r>
          </w:p>
          <w:p>
            <w:pPr>
              <w:widowControl/>
              <w:spacing w:line="280" w:lineRule="exact"/>
              <w:jc w:val="center"/>
              <w:rPr>
                <w:rFonts w:ascii="Times New Roman" w:hAnsi="Times New Roman"/>
                <w:color w:val="000000"/>
              </w:rPr>
            </w:pPr>
            <w:r>
              <w:rPr>
                <w:rFonts w:ascii="宋体" w:hAnsi="宋体"/>
                <w:color w:val="000000"/>
              </w:rPr>
              <w:t>注册勘察设计工程师、注册建筑师、注册监理工程师、造价工程师不超过</w:t>
            </w:r>
            <w:r>
              <w:rPr>
                <w:rFonts w:ascii="Times New Roman" w:hAnsi="Times New Roman"/>
                <w:color w:val="000000"/>
              </w:rPr>
              <w:t>0.5%</w:t>
            </w:r>
          </w:p>
        </w:tc>
        <w:tc>
          <w:tcPr>
            <w:tcW w:w="957" w:type="dxa"/>
            <w:noWrap w:val="0"/>
            <w:vAlign w:val="center"/>
          </w:tcPr>
          <w:p>
            <w:pPr>
              <w:widowControl/>
              <w:spacing w:line="280" w:lineRule="exact"/>
              <w:jc w:val="center"/>
              <w:rPr>
                <w:rFonts w:ascii="Times New Roman" w:hAnsi="Times New Roman"/>
                <w:color w:val="000000"/>
                <w:spacing w:val="-4"/>
                <w:kern w:val="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spacing w:val="-4"/>
                <w:kern w:val="0"/>
              </w:rPr>
              <w:t>6-8</w:t>
            </w:r>
            <w:r>
              <w:rPr>
                <w:rFonts w:ascii="宋体" w:hAnsi="宋体"/>
                <w:color w:val="000000"/>
                <w:spacing w:val="-4"/>
                <w:kern w:val="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rPr>
              <w:t>现场检查、网络检查</w:t>
            </w:r>
          </w:p>
        </w:tc>
        <w:tc>
          <w:tcPr>
            <w:tcW w:w="2165" w:type="dxa"/>
            <w:noWrap w:val="0"/>
            <w:vAlign w:val="center"/>
          </w:tcPr>
          <w:p>
            <w:pPr>
              <w:widowControl/>
              <w:spacing w:line="280" w:lineRule="exact"/>
              <w:rPr>
                <w:rFonts w:ascii="Times New Roman" w:hAnsi="Times New Roman"/>
                <w:color w:val="000000"/>
              </w:rPr>
            </w:pPr>
            <w:r>
              <w:rPr>
                <w:rFonts w:ascii="Times New Roman" w:hAnsi="Times New Roman"/>
                <w:color w:val="000000"/>
              </w:rPr>
              <w:t>1.</w:t>
            </w:r>
            <w:r>
              <w:rPr>
                <w:rFonts w:ascii="宋体" w:hAnsi="宋体"/>
                <w:color w:val="000000"/>
              </w:rPr>
              <w:t>注册证书是否在有效期内</w:t>
            </w:r>
            <w:r>
              <w:rPr>
                <w:rFonts w:ascii="Times New Roman" w:hAnsi="Times New Roman"/>
                <w:color w:val="000000"/>
              </w:rPr>
              <w:t>;</w:t>
            </w:r>
          </w:p>
          <w:p>
            <w:pPr>
              <w:widowControl/>
              <w:spacing w:line="280" w:lineRule="exact"/>
              <w:rPr>
                <w:rFonts w:ascii="Times New Roman" w:hAnsi="Times New Roman"/>
                <w:color w:val="000000"/>
              </w:rPr>
            </w:pPr>
            <w:r>
              <w:rPr>
                <w:rFonts w:ascii="Times New Roman" w:hAnsi="Times New Roman"/>
                <w:color w:val="000000"/>
              </w:rPr>
              <w:t>2.</w:t>
            </w:r>
            <w:r>
              <w:rPr>
                <w:rFonts w:ascii="宋体" w:hAnsi="宋体"/>
                <w:color w:val="000000"/>
              </w:rPr>
              <w:t>注册资料是否真实、合法；</w:t>
            </w:r>
          </w:p>
          <w:p>
            <w:pPr>
              <w:widowControl/>
              <w:spacing w:line="280" w:lineRule="exact"/>
              <w:rPr>
                <w:rFonts w:ascii="Times New Roman" w:hAnsi="Times New Roman"/>
                <w:color w:val="000000"/>
              </w:rPr>
            </w:pPr>
            <w:r>
              <w:rPr>
                <w:rFonts w:ascii="Times New Roman" w:hAnsi="Times New Roman"/>
                <w:color w:val="000000"/>
              </w:rPr>
              <w:t>3.</w:t>
            </w:r>
            <w:r>
              <w:rPr>
                <w:rFonts w:ascii="宋体" w:hAnsi="宋体"/>
                <w:color w:val="000000"/>
              </w:rPr>
              <w:t>是否完成规定继续教育学时；</w:t>
            </w:r>
          </w:p>
          <w:p>
            <w:pPr>
              <w:widowControl/>
              <w:spacing w:line="260" w:lineRule="exact"/>
              <w:rPr>
                <w:rFonts w:ascii="Times New Roman" w:hAnsi="Times New Roman"/>
                <w:color w:val="000000"/>
              </w:rPr>
            </w:pPr>
            <w:r>
              <w:rPr>
                <w:rFonts w:ascii="Times New Roman" w:hAnsi="Times New Roman"/>
                <w:color w:val="000000"/>
              </w:rPr>
              <w:t>4.</w:t>
            </w:r>
            <w:r>
              <w:rPr>
                <w:rFonts w:ascii="宋体" w:hAnsi="宋体"/>
                <w:color w:val="000000"/>
              </w:rPr>
              <w:t>是否存在挂靠行为</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0"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1</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房屋市政工程质量安全监督抽查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中华人民共和国建筑法》第四十三条；《建设工程安全生产管理条例》第四十条，第四十三条、《安全生产许可证条例》第四条、《河南省安全生产条例》第四十二条、《河南省安全生产风险管控与隐患治理办法》（省政府令</w:t>
            </w:r>
            <w:r>
              <w:rPr>
                <w:rFonts w:ascii="Times New Roman" w:hAnsi="Times New Roman"/>
                <w:color w:val="000000"/>
              </w:rPr>
              <w:t>191</w:t>
            </w:r>
            <w:r>
              <w:rPr>
                <w:rFonts w:ascii="宋体" w:hAnsi="宋体"/>
                <w:color w:val="000000"/>
              </w:rPr>
              <w:t>号）第二十二、二十三条。《建设工程质量管理条例》（国务院令第</w:t>
            </w:r>
            <w:r>
              <w:rPr>
                <w:rFonts w:ascii="Times New Roman" w:hAnsi="Times New Roman"/>
                <w:color w:val="000000"/>
              </w:rPr>
              <w:t>279</w:t>
            </w:r>
            <w:r>
              <w:rPr>
                <w:rFonts w:ascii="宋体" w:hAnsi="宋体"/>
                <w:color w:val="000000"/>
              </w:rPr>
              <w:t>号）第四条、第四十三条、第四十七条。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widowControl/>
              <w:spacing w:line="280" w:lineRule="exact"/>
              <w:jc w:val="center"/>
              <w:rPr>
                <w:rFonts w:ascii="Times New Roman" w:hAnsi="Times New Roman"/>
                <w:color w:val="000000"/>
              </w:rPr>
            </w:pPr>
            <w:r>
              <w:rPr>
                <w:rFonts w:ascii="宋体" w:hAnsi="宋体"/>
                <w:color w:val="000000"/>
              </w:rPr>
              <w:t>在建房屋建筑和市政基础设施工程</w:t>
            </w:r>
          </w:p>
        </w:tc>
        <w:tc>
          <w:tcPr>
            <w:tcW w:w="1156" w:type="dxa"/>
            <w:noWrap w:val="0"/>
            <w:vAlign w:val="center"/>
          </w:tcPr>
          <w:p>
            <w:pPr>
              <w:widowControl/>
              <w:spacing w:line="280" w:lineRule="exact"/>
              <w:jc w:val="center"/>
              <w:rPr>
                <w:rFonts w:ascii="Times New Roman" w:hAnsi="Times New Roman"/>
                <w:color w:val="000000"/>
              </w:rPr>
            </w:pPr>
            <w:r>
              <w:rPr>
                <w:rFonts w:ascii="宋体" w:hAnsi="宋体"/>
                <w:color w:val="000000"/>
              </w:rPr>
              <w:t>共不超过</w:t>
            </w:r>
            <w:r>
              <w:rPr>
                <w:rFonts w:ascii="Times New Roman" w:hAnsi="Times New Roman"/>
                <w:color w:val="000000"/>
              </w:rPr>
              <w:t>1%</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spacing w:val="-4"/>
                <w:kern w:val="0"/>
              </w:rPr>
              <w:t>2</w:t>
            </w:r>
            <w:r>
              <w:rPr>
                <w:rFonts w:ascii="宋体" w:hAnsi="宋体"/>
                <w:color w:val="000000"/>
                <w:spacing w:val="-4"/>
                <w:kern w:val="0"/>
              </w:rPr>
              <w:t>次</w:t>
            </w:r>
            <w:r>
              <w:rPr>
                <w:rFonts w:ascii="Times New Roman" w:hAnsi="Times New Roman"/>
                <w:color w:val="000000"/>
                <w:spacing w:val="-4"/>
                <w:kern w:val="0"/>
              </w:rPr>
              <w:t>/</w:t>
            </w:r>
            <w:r>
              <w:rPr>
                <w:rFonts w:ascii="宋体" w:hAnsi="宋体"/>
                <w:color w:val="000000"/>
                <w:spacing w:val="-4"/>
                <w:kern w:val="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5</w:t>
            </w:r>
            <w:r>
              <w:rPr>
                <w:rFonts w:ascii="宋体" w:hAnsi="宋体"/>
                <w:color w:val="000000"/>
              </w:rPr>
              <w:t>月</w:t>
            </w:r>
          </w:p>
          <w:p>
            <w:pPr>
              <w:widowControl/>
              <w:spacing w:line="280" w:lineRule="exact"/>
              <w:jc w:val="center"/>
              <w:rPr>
                <w:rFonts w:ascii="Times New Roman" w:hAnsi="Times New Roman"/>
                <w:color w:val="000000"/>
              </w:rPr>
            </w:pPr>
            <w:r>
              <w:rPr>
                <w:rFonts w:ascii="Times New Roman" w:hAnsi="Times New Roman"/>
                <w:color w:val="000000"/>
              </w:rPr>
              <w:t>10</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widowControl/>
              <w:autoSpaceDE w:val="0"/>
              <w:spacing w:line="240" w:lineRule="exact"/>
              <w:rPr>
                <w:rFonts w:ascii="Times New Roman" w:hAnsi="Times New Roman"/>
                <w:color w:val="000000"/>
              </w:rPr>
            </w:pPr>
            <w:r>
              <w:rPr>
                <w:rFonts w:ascii="Times New Roman" w:hAnsi="Times New Roman"/>
                <w:color w:val="000000"/>
              </w:rPr>
              <w:t>1</w:t>
            </w:r>
            <w:r>
              <w:rPr>
                <w:rFonts w:ascii="宋体" w:hAnsi="宋体"/>
                <w:color w:val="000000"/>
              </w:rPr>
              <w:t>．建筑施工企业和在建项目质量安全生产法律法规、强制性标准、规范执行情况；</w:t>
            </w:r>
          </w:p>
          <w:p>
            <w:pPr>
              <w:widowControl/>
              <w:autoSpaceDE w:val="0"/>
              <w:spacing w:line="240" w:lineRule="exact"/>
              <w:rPr>
                <w:rFonts w:ascii="Times New Roman" w:hAnsi="Times New Roman"/>
                <w:color w:val="000000"/>
              </w:rPr>
            </w:pPr>
            <w:r>
              <w:rPr>
                <w:rFonts w:ascii="Times New Roman" w:hAnsi="Times New Roman"/>
                <w:color w:val="000000"/>
              </w:rPr>
              <w:t>2</w:t>
            </w:r>
            <w:r>
              <w:rPr>
                <w:rFonts w:ascii="宋体" w:hAnsi="宋体"/>
                <w:color w:val="000000"/>
              </w:rPr>
              <w:t>．建筑施工企业和在建项目双重预防体系建设落实情况；</w:t>
            </w:r>
          </w:p>
          <w:p>
            <w:pPr>
              <w:widowControl/>
              <w:autoSpaceDE w:val="0"/>
              <w:spacing w:line="240" w:lineRule="exact"/>
              <w:rPr>
                <w:rFonts w:hint="eastAsia" w:ascii="宋体" w:hAnsi="宋体"/>
                <w:color w:val="000000"/>
              </w:rPr>
            </w:pPr>
            <w:r>
              <w:rPr>
                <w:rFonts w:ascii="Times New Roman" w:hAnsi="Times New Roman"/>
                <w:color w:val="000000"/>
              </w:rPr>
              <w:t>3</w:t>
            </w:r>
            <w:r>
              <w:rPr>
                <w:rFonts w:ascii="宋体" w:hAnsi="宋体"/>
                <w:color w:val="000000"/>
              </w:rPr>
              <w:t>．建筑施工企业安全生产保证体系建立和运行情况，安管人员、特种作业人员持证上岗、教育培训和履职尽责情况；</w:t>
            </w:r>
          </w:p>
          <w:p>
            <w:pPr>
              <w:widowControl/>
              <w:autoSpaceDE w:val="0"/>
              <w:spacing w:line="240" w:lineRule="exact"/>
              <w:rPr>
                <w:rFonts w:hint="eastAsia" w:ascii="宋体" w:hAnsi="宋体"/>
                <w:color w:val="000000"/>
              </w:rPr>
            </w:pPr>
            <w:r>
              <w:rPr>
                <w:rFonts w:ascii="宋体" w:hAnsi="宋体"/>
                <w:color w:val="000000"/>
              </w:rPr>
              <w:t>4．项目参建各方主体安全管理措施和安全责任落实情况；</w:t>
            </w:r>
          </w:p>
          <w:p>
            <w:pPr>
              <w:widowControl/>
              <w:autoSpaceDE w:val="0"/>
              <w:spacing w:line="240" w:lineRule="exact"/>
              <w:rPr>
                <w:rFonts w:ascii="宋体" w:hAnsi="宋体"/>
                <w:color w:val="000000"/>
              </w:rPr>
            </w:pPr>
            <w:r>
              <w:rPr>
                <w:rFonts w:ascii="宋体" w:hAnsi="宋体"/>
                <w:color w:val="000000"/>
              </w:rPr>
              <w:t>5.在建项目现场安全防护、起重设备管理和风险隐患排查整治（危大工程管控）落实情况；</w:t>
            </w:r>
          </w:p>
          <w:p>
            <w:pPr>
              <w:widowControl/>
              <w:autoSpaceDE w:val="0"/>
              <w:spacing w:line="240" w:lineRule="exact"/>
              <w:rPr>
                <w:rFonts w:ascii="Times New Roman" w:hAnsi="Times New Roman"/>
                <w:color w:val="000000"/>
              </w:rPr>
            </w:pPr>
            <w:r>
              <w:rPr>
                <w:rFonts w:ascii="Times New Roman" w:hAnsi="Times New Roman"/>
                <w:color w:val="000000"/>
              </w:rPr>
              <w:t>6.</w:t>
            </w:r>
            <w:r>
              <w:rPr>
                <w:rFonts w:ascii="宋体" w:hAnsi="宋体"/>
                <w:color w:val="000000"/>
              </w:rPr>
              <w:t>参建主体质量行为；</w:t>
            </w:r>
          </w:p>
          <w:p>
            <w:pPr>
              <w:widowControl/>
              <w:autoSpaceDE w:val="0"/>
              <w:spacing w:line="240" w:lineRule="exact"/>
              <w:rPr>
                <w:rFonts w:ascii="Times New Roman" w:hAnsi="Times New Roman"/>
                <w:color w:val="000000"/>
              </w:rPr>
            </w:pPr>
            <w:r>
              <w:rPr>
                <w:rFonts w:ascii="Times New Roman" w:hAnsi="Times New Roman"/>
                <w:color w:val="000000"/>
              </w:rPr>
              <w:t>7.</w:t>
            </w:r>
            <w:r>
              <w:rPr>
                <w:rFonts w:ascii="宋体" w:hAnsi="宋体"/>
                <w:color w:val="000000"/>
              </w:rPr>
              <w:t>工程实体质量和进场建筑材料情况。</w:t>
            </w:r>
          </w:p>
        </w:tc>
        <w:tc>
          <w:tcPr>
            <w:tcW w:w="697" w:type="dxa"/>
            <w:noWrap w:val="0"/>
            <w:vAlign w:val="center"/>
          </w:tcPr>
          <w:p>
            <w:pPr>
              <w:widowControl/>
              <w:autoSpaceDE w:val="0"/>
              <w:spacing w:line="240" w:lineRule="exact"/>
              <w:rPr>
                <w:rFonts w:ascii="Times New Roman" w:hAnsi="Times New Roman"/>
                <w:color w:val="000000"/>
              </w:rPr>
            </w:pPr>
            <w:r>
              <w:rPr>
                <w:rFonts w:hint="eastAsia" w:ascii="宋体" w:hAnsi="宋体"/>
                <w:color w:val="000000"/>
              </w:rPr>
              <w:t>工程质量安全监管处</w:t>
            </w:r>
          </w:p>
          <w:p>
            <w:pPr>
              <w:widowControl/>
              <w:spacing w:line="280" w:lineRule="exact"/>
              <w:jc w:val="center"/>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2</w:t>
            </w:r>
          </w:p>
        </w:tc>
        <w:tc>
          <w:tcPr>
            <w:tcW w:w="1694" w:type="dxa"/>
            <w:noWrap w:val="0"/>
            <w:vAlign w:val="center"/>
          </w:tcPr>
          <w:p>
            <w:pPr>
              <w:spacing w:line="280" w:lineRule="exact"/>
              <w:rPr>
                <w:rFonts w:ascii="Times New Roman" w:hAnsi="Times New Roman"/>
                <w:color w:val="000000"/>
              </w:rPr>
            </w:pPr>
            <w:r>
              <w:rPr>
                <w:rFonts w:ascii="宋体" w:hAnsi="宋体"/>
                <w:color w:val="000000"/>
              </w:rPr>
              <w:t>造价咨询企业监督检查</w:t>
            </w:r>
          </w:p>
        </w:tc>
        <w:tc>
          <w:tcPr>
            <w:tcW w:w="3490" w:type="dxa"/>
            <w:noWrap w:val="0"/>
            <w:vAlign w:val="center"/>
          </w:tcPr>
          <w:p>
            <w:pPr>
              <w:spacing w:line="280" w:lineRule="exact"/>
              <w:rPr>
                <w:rFonts w:ascii="Times New Roman" w:hAnsi="Times New Roman"/>
                <w:color w:val="000000"/>
              </w:rPr>
            </w:pPr>
            <w:r>
              <w:rPr>
                <w:rFonts w:ascii="宋体" w:hAnsi="宋体"/>
                <w:color w:val="000000"/>
              </w:rPr>
              <w:t>《工程造价咨询企业管理办法》（建设部令第</w:t>
            </w:r>
            <w:r>
              <w:rPr>
                <w:rFonts w:ascii="Times New Roman" w:hAnsi="Times New Roman"/>
                <w:color w:val="000000"/>
              </w:rPr>
              <w:t>50</w:t>
            </w:r>
            <w:r>
              <w:rPr>
                <w:rFonts w:ascii="宋体" w:hAnsi="宋体"/>
                <w:color w:val="000000"/>
              </w:rPr>
              <w:t>号）有关条文。</w:t>
            </w:r>
          </w:p>
        </w:tc>
        <w:tc>
          <w:tcPr>
            <w:tcW w:w="858" w:type="dxa"/>
            <w:noWrap w:val="0"/>
            <w:vAlign w:val="center"/>
          </w:tcPr>
          <w:p>
            <w:pPr>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在本省执业的造价咨询企业</w:t>
            </w:r>
          </w:p>
        </w:tc>
        <w:tc>
          <w:tcPr>
            <w:tcW w:w="1156" w:type="dxa"/>
            <w:noWrap w:val="0"/>
            <w:vAlign w:val="center"/>
          </w:tcPr>
          <w:p>
            <w:pPr>
              <w:spacing w:line="280" w:lineRule="exact"/>
              <w:jc w:val="center"/>
              <w:rPr>
                <w:rFonts w:ascii="Times New Roman" w:hAnsi="Times New Roman"/>
                <w:color w:val="000000"/>
              </w:rPr>
            </w:pPr>
            <w:r>
              <w:rPr>
                <w:rFonts w:ascii="宋体" w:hAnsi="宋体"/>
                <w:color w:val="000000"/>
              </w:rPr>
              <w:t>不超过监管企业数量的</w:t>
            </w:r>
            <w:r>
              <w:rPr>
                <w:rFonts w:ascii="Times New Roman" w:hAnsi="Times New Roman"/>
                <w:color w:val="000000"/>
              </w:rPr>
              <w:t>20%</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spacing w:val="-4"/>
                <w:kern w:val="0"/>
              </w:rPr>
              <w:t>1</w:t>
            </w:r>
            <w:r>
              <w:rPr>
                <w:rFonts w:ascii="宋体" w:hAnsi="宋体"/>
                <w:color w:val="000000"/>
                <w:spacing w:val="-4"/>
                <w:kern w:val="0"/>
              </w:rPr>
              <w:t>次</w:t>
            </w:r>
            <w:r>
              <w:rPr>
                <w:rFonts w:ascii="Times New Roman" w:hAnsi="Times New Roman"/>
                <w:color w:val="000000"/>
                <w:spacing w:val="-4"/>
                <w:kern w:val="0"/>
              </w:rPr>
              <w:t>/</w:t>
            </w:r>
            <w:r>
              <w:rPr>
                <w:rFonts w:ascii="宋体" w:hAnsi="宋体"/>
                <w:color w:val="000000"/>
                <w:spacing w:val="-4"/>
                <w:kern w:val="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spacing w:val="-4"/>
                <w:kern w:val="0"/>
              </w:rPr>
              <w:t>10-11</w:t>
            </w:r>
            <w:r>
              <w:rPr>
                <w:rFonts w:ascii="宋体" w:hAnsi="宋体"/>
                <w:color w:val="000000"/>
                <w:spacing w:val="-4"/>
                <w:kern w:val="0"/>
              </w:rPr>
              <w:t>月</w:t>
            </w:r>
          </w:p>
        </w:tc>
        <w:tc>
          <w:tcPr>
            <w:tcW w:w="957" w:type="dxa"/>
            <w:noWrap w:val="0"/>
            <w:vAlign w:val="center"/>
          </w:tcPr>
          <w:p>
            <w:pPr>
              <w:spacing w:line="280" w:lineRule="exact"/>
              <w:jc w:val="center"/>
              <w:rPr>
                <w:rFonts w:ascii="Times New Roman" w:hAnsi="Times New Roman"/>
                <w:color w:val="000000"/>
              </w:rPr>
            </w:pPr>
            <w:r>
              <w:rPr>
                <w:rFonts w:ascii="宋体" w:hAnsi="宋体"/>
                <w:color w:val="000000"/>
                <w:spacing w:val="-4"/>
                <w:kern w:val="0"/>
              </w:rPr>
              <w:t>现场检查、书面检查</w:t>
            </w:r>
          </w:p>
        </w:tc>
        <w:tc>
          <w:tcPr>
            <w:tcW w:w="2165" w:type="dxa"/>
            <w:noWrap w:val="0"/>
            <w:vAlign w:val="center"/>
          </w:tcPr>
          <w:p>
            <w:pPr>
              <w:widowControl/>
              <w:spacing w:line="280" w:lineRule="exact"/>
              <w:rPr>
                <w:rFonts w:ascii="Times New Roman" w:hAnsi="Times New Roman"/>
                <w:color w:val="000000"/>
              </w:rPr>
            </w:pPr>
            <w:r>
              <w:rPr>
                <w:rFonts w:ascii="宋体" w:hAnsi="宋体"/>
                <w:color w:val="000000"/>
              </w:rPr>
              <w:t>企业依法经营情况及成果文件质量。</w:t>
            </w:r>
          </w:p>
        </w:tc>
        <w:tc>
          <w:tcPr>
            <w:tcW w:w="697" w:type="dxa"/>
            <w:noWrap w:val="0"/>
            <w:vAlign w:val="center"/>
          </w:tcPr>
          <w:p>
            <w:pPr>
              <w:widowControl/>
              <w:jc w:val="left"/>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3</w:t>
            </w:r>
          </w:p>
        </w:tc>
        <w:tc>
          <w:tcPr>
            <w:tcW w:w="1694" w:type="dxa"/>
            <w:noWrap w:val="0"/>
            <w:vAlign w:val="center"/>
          </w:tcPr>
          <w:p>
            <w:pPr>
              <w:spacing w:line="280" w:lineRule="exact"/>
              <w:rPr>
                <w:rFonts w:ascii="Times New Roman" w:hAnsi="Times New Roman"/>
                <w:color w:val="000000"/>
              </w:rPr>
            </w:pPr>
            <w:r>
              <w:rPr>
                <w:rFonts w:ascii="宋体" w:hAnsi="宋体"/>
                <w:color w:val="000000"/>
              </w:rPr>
              <w:t>建筑节能与绿色建筑</w:t>
            </w:r>
          </w:p>
        </w:tc>
        <w:tc>
          <w:tcPr>
            <w:tcW w:w="3490" w:type="dxa"/>
            <w:noWrap w:val="0"/>
            <w:vAlign w:val="center"/>
          </w:tcPr>
          <w:p>
            <w:pPr>
              <w:spacing w:line="280" w:lineRule="exact"/>
              <w:rPr>
                <w:rFonts w:ascii="Times New Roman" w:hAnsi="Times New Roman"/>
                <w:color w:val="000000"/>
              </w:rPr>
            </w:pPr>
            <w:r>
              <w:rPr>
                <w:rFonts w:ascii="宋体" w:hAnsi="宋体"/>
                <w:color w:val="000000"/>
              </w:rPr>
              <w:t>《民用建筑节能条例》、《河南省绿色建筑条例》有关条文。</w:t>
            </w:r>
          </w:p>
          <w:p>
            <w:pPr>
              <w:spacing w:line="280" w:lineRule="exact"/>
              <w:rPr>
                <w:rFonts w:ascii="Times New Roman" w:hAnsi="Times New Roman"/>
                <w:color w:val="000000"/>
              </w:rPr>
            </w:pPr>
          </w:p>
        </w:tc>
        <w:tc>
          <w:tcPr>
            <w:tcW w:w="858" w:type="dxa"/>
            <w:noWrap w:val="0"/>
            <w:vAlign w:val="center"/>
          </w:tcPr>
          <w:p>
            <w:pPr>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城市规划区范围内民用建筑</w:t>
            </w:r>
          </w:p>
        </w:tc>
        <w:tc>
          <w:tcPr>
            <w:tcW w:w="1156" w:type="dxa"/>
            <w:noWrap w:val="0"/>
            <w:vAlign w:val="center"/>
          </w:tcPr>
          <w:p>
            <w:pPr>
              <w:spacing w:line="280" w:lineRule="exact"/>
              <w:jc w:val="center"/>
              <w:rPr>
                <w:rFonts w:ascii="Times New Roman" w:hAnsi="Times New Roman"/>
                <w:color w:val="000000"/>
                <w:spacing w:val="-6"/>
              </w:rPr>
            </w:pPr>
            <w:r>
              <w:rPr>
                <w:rFonts w:ascii="宋体" w:hAnsi="宋体"/>
                <w:color w:val="000000"/>
                <w:spacing w:val="-6"/>
              </w:rPr>
              <w:t>抽检城市市区及所辖一个县各随机抽查</w:t>
            </w:r>
            <w:r>
              <w:rPr>
                <w:rFonts w:ascii="Times New Roman" w:hAnsi="Times New Roman"/>
                <w:color w:val="000000"/>
                <w:spacing w:val="-6"/>
              </w:rPr>
              <w:t>3</w:t>
            </w:r>
            <w:r>
              <w:rPr>
                <w:rFonts w:ascii="宋体" w:hAnsi="宋体"/>
                <w:color w:val="000000"/>
                <w:spacing w:val="-6"/>
              </w:rPr>
              <w:t>个实体工程（</w:t>
            </w:r>
            <w:r>
              <w:rPr>
                <w:rFonts w:ascii="Times New Roman" w:hAnsi="Times New Roman"/>
                <w:color w:val="000000"/>
                <w:spacing w:val="-6"/>
              </w:rPr>
              <w:t>2</w:t>
            </w:r>
            <w:r>
              <w:rPr>
                <w:rFonts w:ascii="宋体" w:hAnsi="宋体"/>
                <w:color w:val="000000"/>
                <w:spacing w:val="-6"/>
              </w:rPr>
              <w:t>个居住建筑、</w:t>
            </w:r>
            <w:r>
              <w:rPr>
                <w:rFonts w:ascii="Times New Roman" w:hAnsi="Times New Roman"/>
                <w:color w:val="000000"/>
                <w:spacing w:val="-6"/>
              </w:rPr>
              <w:t>1</w:t>
            </w:r>
            <w:r>
              <w:rPr>
                <w:rFonts w:ascii="宋体" w:hAnsi="宋体"/>
                <w:color w:val="000000"/>
                <w:spacing w:val="-6"/>
              </w:rPr>
              <w:t>个公共建筑）</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rPr>
              <w:t>10-11</w:t>
            </w:r>
            <w:r>
              <w:rPr>
                <w:rFonts w:ascii="宋体" w:hAnsi="宋体"/>
                <w:color w:val="000000"/>
              </w:rPr>
              <w:t>月</w:t>
            </w:r>
          </w:p>
        </w:tc>
        <w:tc>
          <w:tcPr>
            <w:tcW w:w="957" w:type="dxa"/>
            <w:noWrap w:val="0"/>
            <w:vAlign w:val="center"/>
          </w:tcPr>
          <w:p>
            <w:pPr>
              <w:spacing w:line="280" w:lineRule="exact"/>
              <w:jc w:val="center"/>
              <w:rPr>
                <w:rFonts w:ascii="Times New Roman" w:hAnsi="Times New Roman"/>
                <w:color w:val="000000"/>
              </w:rPr>
            </w:pPr>
            <w:r>
              <w:rPr>
                <w:rFonts w:ascii="宋体" w:hAnsi="宋体"/>
                <w:color w:val="000000"/>
              </w:rPr>
              <w:t>现场检查、书面检查</w:t>
            </w:r>
          </w:p>
        </w:tc>
        <w:tc>
          <w:tcPr>
            <w:tcW w:w="2165" w:type="dxa"/>
            <w:noWrap w:val="0"/>
            <w:vAlign w:val="center"/>
          </w:tcPr>
          <w:p>
            <w:pPr>
              <w:spacing w:line="280" w:lineRule="exact"/>
              <w:rPr>
                <w:rFonts w:ascii="Times New Roman" w:hAnsi="Times New Roman"/>
                <w:color w:val="000000"/>
              </w:rPr>
            </w:pPr>
            <w:r>
              <w:rPr>
                <w:rFonts w:ascii="宋体" w:hAnsi="宋体"/>
                <w:color w:val="000000"/>
              </w:rPr>
              <w:t>国家、省有关建筑节能、绿色建筑的法律、法规及标准规范的执行情况。</w:t>
            </w:r>
          </w:p>
        </w:tc>
        <w:tc>
          <w:tcPr>
            <w:tcW w:w="697" w:type="dxa"/>
            <w:vMerge w:val="restart"/>
            <w:noWrap w:val="0"/>
            <w:vAlign w:val="center"/>
          </w:tcPr>
          <w:p>
            <w:pPr>
              <w:rPr>
                <w:rFonts w:ascii="Times New Roman" w:hAnsi="Times New Roman"/>
                <w:color w:val="000000"/>
              </w:rPr>
            </w:pPr>
            <w:r>
              <w:rPr>
                <w:rFonts w:hint="eastAsia" w:ascii="宋体" w:hAnsi="宋体"/>
                <w:color w:val="000000"/>
              </w:rPr>
              <w:t>科技与标准处</w:t>
            </w: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4</w:t>
            </w:r>
          </w:p>
        </w:tc>
        <w:tc>
          <w:tcPr>
            <w:tcW w:w="1694" w:type="dxa"/>
            <w:noWrap w:val="0"/>
            <w:vAlign w:val="center"/>
          </w:tcPr>
          <w:p>
            <w:pPr>
              <w:spacing w:line="280" w:lineRule="exact"/>
              <w:rPr>
                <w:rFonts w:ascii="Times New Roman" w:hAnsi="Times New Roman"/>
                <w:color w:val="000000"/>
              </w:rPr>
            </w:pPr>
            <w:r>
              <w:rPr>
                <w:rFonts w:ascii="宋体" w:hAnsi="宋体"/>
                <w:color w:val="000000"/>
              </w:rPr>
              <w:t>工程建设强制性标准监督检查</w:t>
            </w:r>
          </w:p>
        </w:tc>
        <w:tc>
          <w:tcPr>
            <w:tcW w:w="3490" w:type="dxa"/>
            <w:noWrap w:val="0"/>
            <w:vAlign w:val="center"/>
          </w:tcPr>
          <w:p>
            <w:pPr>
              <w:spacing w:line="280" w:lineRule="exact"/>
              <w:rPr>
                <w:rFonts w:ascii="Times New Roman" w:hAnsi="Times New Roman"/>
                <w:color w:val="000000"/>
              </w:rPr>
            </w:pPr>
            <w:r>
              <w:rPr>
                <w:rFonts w:ascii="宋体" w:hAnsi="宋体"/>
                <w:color w:val="000000"/>
              </w:rPr>
              <w:t>《实施工程建设强制性标准监督规定》（建设部令第</w:t>
            </w:r>
            <w:r>
              <w:rPr>
                <w:rFonts w:ascii="Times New Roman" w:hAnsi="Times New Roman"/>
                <w:color w:val="000000"/>
              </w:rPr>
              <w:t>81</w:t>
            </w:r>
            <w:r>
              <w:rPr>
                <w:rFonts w:ascii="宋体" w:hAnsi="宋体"/>
                <w:color w:val="000000"/>
              </w:rPr>
              <w:t>号）有关条文。</w:t>
            </w:r>
          </w:p>
        </w:tc>
        <w:tc>
          <w:tcPr>
            <w:tcW w:w="858" w:type="dxa"/>
            <w:noWrap w:val="0"/>
            <w:vAlign w:val="center"/>
          </w:tcPr>
          <w:p>
            <w:pPr>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城市规划区范围内民用建筑</w:t>
            </w:r>
          </w:p>
        </w:tc>
        <w:tc>
          <w:tcPr>
            <w:tcW w:w="1156" w:type="dxa"/>
            <w:noWrap w:val="0"/>
            <w:vAlign w:val="center"/>
          </w:tcPr>
          <w:p>
            <w:pPr>
              <w:spacing w:line="280" w:lineRule="exact"/>
              <w:jc w:val="center"/>
              <w:rPr>
                <w:rFonts w:ascii="Times New Roman" w:hAnsi="Times New Roman"/>
                <w:color w:val="000000"/>
                <w:spacing w:val="-4"/>
                <w:kern w:val="0"/>
              </w:rPr>
            </w:pPr>
            <w:r>
              <w:rPr>
                <w:rFonts w:ascii="宋体" w:hAnsi="宋体"/>
                <w:color w:val="000000"/>
                <w:spacing w:val="-4"/>
                <w:kern w:val="0"/>
              </w:rPr>
              <w:t>抽检城市市区及所辖一个县各随机抽查</w:t>
            </w:r>
            <w:r>
              <w:rPr>
                <w:rFonts w:ascii="Times New Roman" w:hAnsi="Times New Roman"/>
                <w:color w:val="000000"/>
                <w:spacing w:val="-4"/>
                <w:kern w:val="0"/>
              </w:rPr>
              <w:t>3</w:t>
            </w:r>
            <w:r>
              <w:rPr>
                <w:rFonts w:ascii="宋体" w:hAnsi="宋体"/>
                <w:color w:val="000000"/>
                <w:spacing w:val="-4"/>
                <w:kern w:val="0"/>
              </w:rPr>
              <w:t>个实体工程</w:t>
            </w:r>
          </w:p>
        </w:tc>
        <w:tc>
          <w:tcPr>
            <w:tcW w:w="957" w:type="dxa"/>
            <w:noWrap w:val="0"/>
            <w:vAlign w:val="center"/>
          </w:tcPr>
          <w:p>
            <w:pPr>
              <w:spacing w:line="280" w:lineRule="exact"/>
              <w:jc w:val="center"/>
              <w:rPr>
                <w:rFonts w:ascii="Times New Roman" w:hAnsi="Times New Roman"/>
                <w:color w:val="000000"/>
                <w:spacing w:val="-4"/>
                <w:kern w:val="0"/>
              </w:rPr>
            </w:pPr>
            <w:r>
              <w:rPr>
                <w:rFonts w:ascii="Times New Roman" w:hAnsi="Times New Roman"/>
                <w:color w:val="000000"/>
              </w:rPr>
              <w:t>1</w:t>
            </w:r>
            <w:r>
              <w:rPr>
                <w:rFonts w:ascii="宋体" w:hAnsi="宋体"/>
                <w:color w:val="000000"/>
              </w:rPr>
              <w:t>次</w:t>
            </w:r>
            <w:r>
              <w:rPr>
                <w:rFonts w:ascii="Times New Roman" w:hAnsi="Times New Roman"/>
                <w:color w:val="000000"/>
              </w:rPr>
              <w:t>/</w:t>
            </w:r>
            <w:r>
              <w:rPr>
                <w:rFonts w:ascii="宋体" w:hAnsi="宋体"/>
                <w:color w:val="000000"/>
              </w:rPr>
              <w:t>年</w:t>
            </w:r>
          </w:p>
        </w:tc>
        <w:tc>
          <w:tcPr>
            <w:tcW w:w="957" w:type="dxa"/>
            <w:noWrap w:val="0"/>
            <w:vAlign w:val="center"/>
          </w:tcPr>
          <w:p>
            <w:pPr>
              <w:spacing w:line="280" w:lineRule="exact"/>
              <w:jc w:val="center"/>
              <w:rPr>
                <w:rFonts w:ascii="Times New Roman" w:hAnsi="Times New Roman"/>
                <w:color w:val="000000"/>
                <w:spacing w:val="-4"/>
                <w:kern w:val="0"/>
              </w:rPr>
            </w:pPr>
            <w:r>
              <w:rPr>
                <w:rFonts w:ascii="Times New Roman" w:hAnsi="Times New Roman"/>
                <w:color w:val="000000"/>
              </w:rPr>
              <w:t>10-11</w:t>
            </w:r>
            <w:r>
              <w:rPr>
                <w:rFonts w:ascii="宋体" w:hAnsi="宋体"/>
                <w:color w:val="000000"/>
              </w:rPr>
              <w:t>月</w:t>
            </w:r>
          </w:p>
        </w:tc>
        <w:tc>
          <w:tcPr>
            <w:tcW w:w="957" w:type="dxa"/>
            <w:noWrap w:val="0"/>
            <w:vAlign w:val="center"/>
          </w:tcPr>
          <w:p>
            <w:pPr>
              <w:spacing w:line="280" w:lineRule="exact"/>
              <w:jc w:val="center"/>
              <w:rPr>
                <w:rFonts w:ascii="Times New Roman" w:hAnsi="Times New Roman"/>
                <w:color w:val="000000"/>
                <w:spacing w:val="-4"/>
                <w:kern w:val="0"/>
              </w:rPr>
            </w:pPr>
            <w:r>
              <w:rPr>
                <w:rFonts w:ascii="宋体" w:hAnsi="宋体"/>
                <w:color w:val="000000"/>
              </w:rPr>
              <w:t>现场检查、书面检查</w:t>
            </w:r>
          </w:p>
        </w:tc>
        <w:tc>
          <w:tcPr>
            <w:tcW w:w="2165" w:type="dxa"/>
            <w:noWrap w:val="0"/>
            <w:vAlign w:val="center"/>
          </w:tcPr>
          <w:p>
            <w:pPr>
              <w:spacing w:line="280" w:lineRule="exact"/>
              <w:rPr>
                <w:rFonts w:ascii="Times New Roman" w:hAnsi="Times New Roman"/>
                <w:color w:val="000000"/>
                <w:spacing w:val="-8"/>
                <w:kern w:val="0"/>
              </w:rPr>
            </w:pPr>
            <w:r>
              <w:rPr>
                <w:rFonts w:ascii="宋体" w:hAnsi="宋体"/>
                <w:color w:val="000000"/>
                <w:spacing w:val="-8"/>
                <w:kern w:val="0"/>
              </w:rPr>
              <w:t>项目建设执行工程建设强制性标准情况。</w:t>
            </w:r>
          </w:p>
        </w:tc>
        <w:tc>
          <w:tcPr>
            <w:tcW w:w="0" w:type="auto"/>
            <w:vMerge w:val="continue"/>
            <w:noWrap w:val="0"/>
            <w:vAlign w:val="center"/>
          </w:tcPr>
          <w:p>
            <w:pPr>
              <w:widowControl/>
              <w:jc w:val="left"/>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5</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城镇排水和污水处理设施监督检查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《中华人民共和国水污染防治法》第九条、第四十四条；《城镇排水与污水处理条例》（国务院令第</w:t>
            </w:r>
            <w:r>
              <w:rPr>
                <w:rFonts w:ascii="Times New Roman" w:hAnsi="Times New Roman"/>
                <w:color w:val="000000"/>
              </w:rPr>
              <w:t>641</w:t>
            </w:r>
            <w:r>
              <w:rPr>
                <w:rFonts w:ascii="宋体" w:hAnsi="宋体"/>
                <w:color w:val="000000"/>
              </w:rPr>
              <w:t>号）第五条、第四十四条。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城镇生活污水处理运营单位</w:t>
            </w:r>
          </w:p>
        </w:tc>
        <w:tc>
          <w:tcPr>
            <w:tcW w:w="1156" w:type="dxa"/>
            <w:noWrap w:val="0"/>
            <w:vAlign w:val="center"/>
          </w:tcPr>
          <w:p>
            <w:pPr>
              <w:widowControl/>
              <w:spacing w:line="280" w:lineRule="exact"/>
              <w:jc w:val="center"/>
              <w:rPr>
                <w:rFonts w:ascii="Times New Roman" w:hAnsi="Times New Roman"/>
                <w:color w:val="000000"/>
              </w:rPr>
            </w:pPr>
            <w:r>
              <w:rPr>
                <w:rFonts w:ascii="宋体" w:hAnsi="宋体"/>
                <w:color w:val="000000"/>
              </w:rPr>
              <w:t>共不超过</w:t>
            </w:r>
            <w:r>
              <w:rPr>
                <w:rFonts w:ascii="Times New Roman" w:hAnsi="Times New Roman"/>
                <w:color w:val="000000"/>
              </w:rPr>
              <w:t>20%</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spacing w:val="-4"/>
                <w:kern w:val="0"/>
              </w:rPr>
              <w:t>1</w:t>
            </w:r>
            <w:r>
              <w:rPr>
                <w:rFonts w:ascii="宋体" w:hAnsi="宋体"/>
                <w:color w:val="000000"/>
                <w:spacing w:val="-4"/>
                <w:kern w:val="0"/>
              </w:rPr>
              <w:t>次</w:t>
            </w:r>
            <w:r>
              <w:rPr>
                <w:rFonts w:ascii="Times New Roman" w:hAnsi="Times New Roman"/>
                <w:color w:val="000000"/>
                <w:spacing w:val="-4"/>
                <w:kern w:val="0"/>
              </w:rPr>
              <w:t>/</w:t>
            </w:r>
            <w:r>
              <w:rPr>
                <w:rFonts w:ascii="宋体" w:hAnsi="宋体"/>
                <w:color w:val="000000"/>
                <w:spacing w:val="-4"/>
                <w:kern w:val="0"/>
              </w:rPr>
              <w:t>年</w:t>
            </w:r>
          </w:p>
        </w:tc>
        <w:tc>
          <w:tcPr>
            <w:tcW w:w="957" w:type="dxa"/>
            <w:noWrap w:val="0"/>
            <w:vAlign w:val="center"/>
          </w:tcPr>
          <w:p>
            <w:pPr>
              <w:widowControl/>
              <w:spacing w:line="280" w:lineRule="exact"/>
              <w:jc w:val="center"/>
              <w:rPr>
                <w:rFonts w:ascii="Times New Roman" w:hAnsi="Times New Roman"/>
                <w:color w:val="000000"/>
                <w:spacing w:val="-4"/>
                <w:kern w:val="0"/>
              </w:rPr>
            </w:pPr>
            <w:r>
              <w:rPr>
                <w:rFonts w:ascii="Times New Roman" w:hAnsi="Times New Roman"/>
                <w:color w:val="000000"/>
              </w:rPr>
              <w:t>5</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spacing w:val="-4"/>
                <w:kern w:val="0"/>
              </w:rPr>
              <w:t>现场检查、书面检查</w:t>
            </w:r>
          </w:p>
        </w:tc>
        <w:tc>
          <w:tcPr>
            <w:tcW w:w="2165" w:type="dxa"/>
            <w:noWrap w:val="0"/>
            <w:vAlign w:val="center"/>
          </w:tcPr>
          <w:p>
            <w:pPr>
              <w:widowControl/>
              <w:spacing w:line="280" w:lineRule="exact"/>
              <w:rPr>
                <w:rFonts w:ascii="Times New Roman" w:hAnsi="Times New Roman"/>
                <w:color w:val="000000"/>
              </w:rPr>
            </w:pPr>
            <w:r>
              <w:rPr>
                <w:rFonts w:ascii="宋体" w:hAnsi="宋体"/>
                <w:color w:val="000000"/>
              </w:rPr>
              <w:t>对运行管理、污染物达标排放、污泥处理处置等方面开展检查。</w:t>
            </w:r>
          </w:p>
        </w:tc>
        <w:tc>
          <w:tcPr>
            <w:tcW w:w="697" w:type="dxa"/>
            <w:vMerge w:val="restart"/>
            <w:noWrap w:val="0"/>
            <w:vAlign w:val="center"/>
          </w:tcPr>
          <w:p>
            <w:pPr>
              <w:spacing w:line="280" w:lineRule="exact"/>
              <w:jc w:val="center"/>
              <w:rPr>
                <w:rFonts w:ascii="Times New Roman" w:hAnsi="Times New Roman"/>
                <w:color w:val="000000"/>
              </w:rPr>
            </w:pPr>
            <w:r>
              <w:rPr>
                <w:rFonts w:ascii="宋体" w:hAnsi="宋体"/>
                <w:color w:val="000000"/>
              </w:rPr>
              <w:t>城市管理处</w:t>
            </w: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rPr>
              <w:t>6</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燃气企业监督检查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《城镇燃气管理条例》（国务院令第</w:t>
            </w:r>
            <w:r>
              <w:rPr>
                <w:rFonts w:ascii="Times New Roman" w:hAnsi="Times New Roman"/>
                <w:color w:val="000000"/>
              </w:rPr>
              <w:t>583</w:t>
            </w:r>
            <w:r>
              <w:rPr>
                <w:rFonts w:ascii="宋体" w:hAnsi="宋体"/>
                <w:color w:val="000000"/>
              </w:rPr>
              <w:t>号）第五条、第四十一条；《河南省城镇燃气管理办法》（省政府令第</w:t>
            </w:r>
            <w:r>
              <w:rPr>
                <w:rFonts w:ascii="Times New Roman" w:hAnsi="Times New Roman"/>
                <w:color w:val="000000"/>
              </w:rPr>
              <w:t>158</w:t>
            </w:r>
            <w:r>
              <w:rPr>
                <w:rFonts w:ascii="宋体" w:hAnsi="宋体"/>
                <w:color w:val="000000"/>
              </w:rPr>
              <w:t>号）第五条。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燃气企业</w:t>
            </w:r>
          </w:p>
        </w:tc>
        <w:tc>
          <w:tcPr>
            <w:tcW w:w="1156" w:type="dxa"/>
            <w:noWrap w:val="0"/>
            <w:vAlign w:val="center"/>
          </w:tcPr>
          <w:p>
            <w:pPr>
              <w:widowControl/>
              <w:spacing w:line="280" w:lineRule="exact"/>
              <w:jc w:val="center"/>
              <w:rPr>
                <w:rFonts w:ascii="Times New Roman" w:hAnsi="Times New Roman"/>
                <w:color w:val="000000"/>
              </w:rPr>
            </w:pPr>
            <w:r>
              <w:rPr>
                <w:rFonts w:ascii="宋体" w:hAnsi="宋体"/>
                <w:color w:val="000000"/>
              </w:rPr>
              <w:t>不超过</w:t>
            </w:r>
            <w:r>
              <w:rPr>
                <w:rFonts w:ascii="Times New Roman" w:hAnsi="Times New Roman"/>
                <w:color w:val="000000"/>
              </w:rPr>
              <w:t>10%</w:t>
            </w:r>
          </w:p>
        </w:tc>
        <w:tc>
          <w:tcPr>
            <w:tcW w:w="957" w:type="dxa"/>
            <w:noWrap w:val="0"/>
            <w:vAlign w:val="center"/>
          </w:tcPr>
          <w:p>
            <w:pPr>
              <w:spacing w:line="280" w:lineRule="exact"/>
              <w:jc w:val="center"/>
              <w:rPr>
                <w:rFonts w:ascii="Times New Roman" w:hAnsi="Times New Roman"/>
                <w:color w:val="000000"/>
                <w:spacing w:val="-4"/>
                <w:kern w:val="0"/>
              </w:rPr>
            </w:pPr>
            <w:r>
              <w:rPr>
                <w:rFonts w:ascii="Times New Roman" w:hAnsi="Times New Roman"/>
                <w:color w:val="000000"/>
                <w:spacing w:val="-4"/>
                <w:kern w:val="0"/>
              </w:rPr>
              <w:t>1</w:t>
            </w:r>
            <w:r>
              <w:rPr>
                <w:rFonts w:ascii="宋体" w:hAnsi="宋体"/>
                <w:color w:val="000000"/>
                <w:spacing w:val="-4"/>
                <w:kern w:val="0"/>
              </w:rPr>
              <w:t>次</w:t>
            </w:r>
            <w:r>
              <w:rPr>
                <w:rFonts w:ascii="Times New Roman" w:hAnsi="Times New Roman"/>
                <w:color w:val="000000"/>
                <w:spacing w:val="-4"/>
                <w:kern w:val="0"/>
              </w:rPr>
              <w:t>/</w:t>
            </w:r>
            <w:r>
              <w:rPr>
                <w:rFonts w:ascii="宋体" w:hAnsi="宋体"/>
                <w:color w:val="000000"/>
                <w:spacing w:val="-4"/>
                <w:kern w:val="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7-9</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spacing w:val="-4"/>
                <w:kern w:val="0"/>
              </w:rPr>
            </w:pPr>
            <w:r>
              <w:rPr>
                <w:rFonts w:ascii="宋体" w:hAnsi="宋体"/>
                <w:color w:val="000000"/>
              </w:rPr>
              <w:t>现场检查、书面检查</w:t>
            </w:r>
          </w:p>
        </w:tc>
        <w:tc>
          <w:tcPr>
            <w:tcW w:w="2165" w:type="dxa"/>
            <w:noWrap w:val="0"/>
            <w:vAlign w:val="center"/>
          </w:tcPr>
          <w:p>
            <w:pPr>
              <w:widowControl/>
              <w:spacing w:line="280" w:lineRule="exact"/>
              <w:rPr>
                <w:rFonts w:ascii="Times New Roman" w:hAnsi="Times New Roman"/>
                <w:color w:val="000000"/>
              </w:rPr>
            </w:pPr>
            <w:r>
              <w:rPr>
                <w:rFonts w:ascii="宋体" w:hAnsi="宋体"/>
                <w:color w:val="000000"/>
              </w:rPr>
              <w:t>对持证经营、管网维护、应急预案制定执行、安全隐患自查自纠、入户检查和服务用户等开展检查。</w:t>
            </w:r>
          </w:p>
        </w:tc>
        <w:tc>
          <w:tcPr>
            <w:tcW w:w="0" w:type="auto"/>
            <w:vMerge w:val="continue"/>
            <w:noWrap w:val="0"/>
            <w:vAlign w:val="center"/>
          </w:tcPr>
          <w:p>
            <w:pPr>
              <w:spacing w:line="280" w:lineRule="exact"/>
              <w:jc w:val="center"/>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45" w:type="dxa"/>
            <w:noWrap w:val="0"/>
            <w:vAlign w:val="center"/>
          </w:tcPr>
          <w:p>
            <w:pPr>
              <w:spacing w:line="280" w:lineRule="exact"/>
              <w:jc w:val="center"/>
              <w:rPr>
                <w:rFonts w:ascii="Times New Roman" w:hAnsi="Times New Roman"/>
                <w:color w:val="000000"/>
              </w:rPr>
            </w:pPr>
            <w:r>
              <w:rPr>
                <w:rFonts w:ascii="Times New Roman" w:hAnsi="Times New Roman"/>
                <w:color w:val="000000"/>
              </w:rPr>
              <w:t>17</w:t>
            </w:r>
          </w:p>
        </w:tc>
        <w:tc>
          <w:tcPr>
            <w:tcW w:w="1694" w:type="dxa"/>
            <w:noWrap w:val="0"/>
            <w:vAlign w:val="center"/>
          </w:tcPr>
          <w:p>
            <w:pPr>
              <w:widowControl/>
              <w:spacing w:line="280" w:lineRule="exact"/>
              <w:jc w:val="center"/>
              <w:rPr>
                <w:rFonts w:ascii="Times New Roman" w:hAnsi="Times New Roman"/>
                <w:color w:val="000000"/>
              </w:rPr>
            </w:pPr>
            <w:r>
              <w:rPr>
                <w:rFonts w:ascii="宋体" w:hAnsi="宋体"/>
                <w:color w:val="000000"/>
              </w:rPr>
              <w:t>城市供水监督检查</w:t>
            </w:r>
          </w:p>
        </w:tc>
        <w:tc>
          <w:tcPr>
            <w:tcW w:w="3490" w:type="dxa"/>
            <w:noWrap w:val="0"/>
            <w:vAlign w:val="center"/>
          </w:tcPr>
          <w:p>
            <w:pPr>
              <w:widowControl/>
              <w:spacing w:line="280" w:lineRule="exact"/>
              <w:rPr>
                <w:rFonts w:ascii="Times New Roman" w:hAnsi="Times New Roman"/>
                <w:color w:val="000000"/>
              </w:rPr>
            </w:pPr>
            <w:r>
              <w:rPr>
                <w:rFonts w:ascii="宋体" w:hAnsi="宋体"/>
                <w:color w:val="000000"/>
              </w:rPr>
              <w:t>《城市供水水质管理规定》（建设部令第</w:t>
            </w:r>
            <w:r>
              <w:rPr>
                <w:rFonts w:ascii="Times New Roman" w:hAnsi="Times New Roman"/>
                <w:color w:val="000000"/>
              </w:rPr>
              <w:t>156</w:t>
            </w:r>
            <w:r>
              <w:rPr>
                <w:rFonts w:ascii="宋体" w:hAnsi="宋体"/>
                <w:color w:val="000000"/>
              </w:rPr>
              <w:t>号）第四条、第十五条。《河南省城市供水管理办法》（省政府令第</w:t>
            </w:r>
            <w:r>
              <w:rPr>
                <w:rFonts w:ascii="Times New Roman" w:hAnsi="Times New Roman"/>
                <w:color w:val="000000"/>
              </w:rPr>
              <w:t>194</w:t>
            </w:r>
            <w:r>
              <w:rPr>
                <w:rFonts w:ascii="宋体" w:hAnsi="宋体"/>
                <w:color w:val="000000"/>
              </w:rPr>
              <w:t>号）第五条。</w:t>
            </w:r>
          </w:p>
        </w:tc>
        <w:tc>
          <w:tcPr>
            <w:tcW w:w="858" w:type="dxa"/>
            <w:noWrap w:val="0"/>
            <w:vAlign w:val="center"/>
          </w:tcPr>
          <w:p>
            <w:pPr>
              <w:widowControl/>
              <w:spacing w:line="280" w:lineRule="exact"/>
              <w:jc w:val="center"/>
              <w:rPr>
                <w:rFonts w:ascii="Times New Roman" w:hAnsi="Times New Roman"/>
                <w:color w:val="000000"/>
              </w:rPr>
            </w:pPr>
            <w:r>
              <w:rPr>
                <w:rFonts w:ascii="宋体" w:hAnsi="宋体"/>
                <w:color w:val="000000"/>
              </w:rPr>
              <w:t>省住房和城乡建设厅</w:t>
            </w:r>
          </w:p>
        </w:tc>
        <w:tc>
          <w:tcPr>
            <w:tcW w:w="1380" w:type="dxa"/>
            <w:noWrap w:val="0"/>
            <w:vAlign w:val="center"/>
          </w:tcPr>
          <w:p>
            <w:pPr>
              <w:spacing w:line="280" w:lineRule="exact"/>
              <w:jc w:val="center"/>
              <w:rPr>
                <w:rFonts w:ascii="Times New Roman" w:hAnsi="Times New Roman"/>
                <w:color w:val="000000"/>
              </w:rPr>
            </w:pPr>
            <w:r>
              <w:rPr>
                <w:rFonts w:ascii="宋体" w:hAnsi="宋体"/>
                <w:color w:val="000000"/>
              </w:rPr>
              <w:t>城市供水单位</w:t>
            </w:r>
          </w:p>
        </w:tc>
        <w:tc>
          <w:tcPr>
            <w:tcW w:w="1156" w:type="dxa"/>
            <w:noWrap w:val="0"/>
            <w:vAlign w:val="center"/>
          </w:tcPr>
          <w:p>
            <w:pPr>
              <w:widowControl/>
              <w:spacing w:line="280" w:lineRule="exact"/>
              <w:jc w:val="center"/>
              <w:rPr>
                <w:rFonts w:ascii="Times New Roman" w:hAnsi="Times New Roman"/>
                <w:color w:val="000000"/>
              </w:rPr>
            </w:pPr>
            <w:r>
              <w:rPr>
                <w:rFonts w:ascii="宋体" w:hAnsi="宋体"/>
                <w:color w:val="000000"/>
              </w:rPr>
              <w:t>共不超过</w:t>
            </w:r>
            <w:r>
              <w:rPr>
                <w:rFonts w:ascii="Times New Roman" w:hAnsi="Times New Roman"/>
                <w:color w:val="000000"/>
              </w:rPr>
              <w:t>20%</w:t>
            </w:r>
          </w:p>
        </w:tc>
        <w:tc>
          <w:tcPr>
            <w:tcW w:w="957" w:type="dxa"/>
            <w:noWrap w:val="0"/>
            <w:vAlign w:val="center"/>
          </w:tcPr>
          <w:p>
            <w:pPr>
              <w:spacing w:line="280" w:lineRule="exact"/>
              <w:jc w:val="center"/>
              <w:rPr>
                <w:rFonts w:ascii="Times New Roman" w:hAnsi="Times New Roman"/>
                <w:color w:val="000000"/>
              </w:rPr>
            </w:pPr>
            <w:r>
              <w:rPr>
                <w:rFonts w:ascii="Times New Roman" w:hAnsi="Times New Roman"/>
                <w:color w:val="000000"/>
                <w:spacing w:val="-4"/>
                <w:kern w:val="0"/>
              </w:rPr>
              <w:t>1</w:t>
            </w:r>
            <w:r>
              <w:rPr>
                <w:rFonts w:ascii="宋体" w:hAnsi="宋体"/>
                <w:color w:val="000000"/>
                <w:spacing w:val="-4"/>
                <w:kern w:val="0"/>
              </w:rPr>
              <w:t>次</w:t>
            </w:r>
            <w:r>
              <w:rPr>
                <w:rFonts w:ascii="Times New Roman" w:hAnsi="Times New Roman"/>
                <w:color w:val="000000"/>
                <w:spacing w:val="-4"/>
                <w:kern w:val="0"/>
              </w:rPr>
              <w:t>/</w:t>
            </w:r>
            <w:r>
              <w:rPr>
                <w:rFonts w:ascii="宋体" w:hAnsi="宋体"/>
                <w:color w:val="000000"/>
                <w:spacing w:val="-4"/>
                <w:kern w:val="0"/>
              </w:rPr>
              <w:t>年</w:t>
            </w:r>
          </w:p>
        </w:tc>
        <w:tc>
          <w:tcPr>
            <w:tcW w:w="957" w:type="dxa"/>
            <w:noWrap w:val="0"/>
            <w:vAlign w:val="center"/>
          </w:tcPr>
          <w:p>
            <w:pPr>
              <w:widowControl/>
              <w:spacing w:line="280" w:lineRule="exact"/>
              <w:jc w:val="center"/>
              <w:rPr>
                <w:rFonts w:ascii="Times New Roman" w:hAnsi="Times New Roman"/>
                <w:color w:val="000000"/>
              </w:rPr>
            </w:pPr>
            <w:r>
              <w:rPr>
                <w:rFonts w:ascii="Times New Roman" w:hAnsi="Times New Roman"/>
                <w:color w:val="000000"/>
              </w:rPr>
              <w:t>9</w:t>
            </w:r>
            <w:r>
              <w:rPr>
                <w:rFonts w:ascii="宋体" w:hAnsi="宋体"/>
                <w:color w:val="000000"/>
              </w:rPr>
              <w:t>月</w:t>
            </w:r>
          </w:p>
        </w:tc>
        <w:tc>
          <w:tcPr>
            <w:tcW w:w="957" w:type="dxa"/>
            <w:noWrap w:val="0"/>
            <w:vAlign w:val="center"/>
          </w:tcPr>
          <w:p>
            <w:pPr>
              <w:widowControl/>
              <w:spacing w:line="280" w:lineRule="exact"/>
              <w:jc w:val="center"/>
              <w:rPr>
                <w:rFonts w:ascii="Times New Roman" w:hAnsi="Times New Roman"/>
                <w:color w:val="000000"/>
              </w:rPr>
            </w:pPr>
            <w:r>
              <w:rPr>
                <w:rFonts w:ascii="宋体" w:hAnsi="宋体"/>
                <w:color w:val="000000"/>
                <w:spacing w:val="-4"/>
                <w:kern w:val="0"/>
              </w:rPr>
              <w:t>现场检查、书面检查</w:t>
            </w:r>
          </w:p>
        </w:tc>
        <w:tc>
          <w:tcPr>
            <w:tcW w:w="2165" w:type="dxa"/>
            <w:noWrap w:val="0"/>
            <w:vAlign w:val="center"/>
          </w:tcPr>
          <w:p>
            <w:pPr>
              <w:widowControl/>
              <w:spacing w:line="280" w:lineRule="exact"/>
              <w:rPr>
                <w:rFonts w:ascii="Times New Roman" w:hAnsi="Times New Roman"/>
                <w:color w:val="000000"/>
              </w:rPr>
            </w:pPr>
            <w:r>
              <w:rPr>
                <w:rFonts w:ascii="宋体" w:hAnsi="宋体"/>
                <w:color w:val="000000"/>
              </w:rPr>
              <w:t>对水质管理、运行管理、应急管理等方面开展检查。</w:t>
            </w:r>
          </w:p>
        </w:tc>
        <w:tc>
          <w:tcPr>
            <w:tcW w:w="697" w:type="dxa"/>
            <w:vMerge w:val="continue"/>
            <w:noWrap w:val="0"/>
            <w:vAlign w:val="center"/>
          </w:tcPr>
          <w:p>
            <w:pPr>
              <w:widowControl/>
              <w:spacing w:line="280" w:lineRule="exact"/>
              <w:jc w:val="center"/>
              <w:rPr>
                <w:rFonts w:ascii="Times New Roman" w:hAnsi="Times New Roman"/>
                <w:color w:val="000000"/>
              </w:rPr>
            </w:pPr>
          </w:p>
        </w:tc>
        <w:tc>
          <w:tcPr>
            <w:tcW w:w="855" w:type="dxa"/>
            <w:noWrap w:val="0"/>
            <w:vAlign w:val="center"/>
          </w:tcPr>
          <w:p>
            <w:pPr>
              <w:widowControl/>
              <w:spacing w:line="280" w:lineRule="exact"/>
              <w:jc w:val="center"/>
              <w:rPr>
                <w:rFonts w:ascii="Times New Roman" w:hAnsi="Times New Roman"/>
                <w:color w:val="000000"/>
              </w:rPr>
            </w:pPr>
          </w:p>
        </w:tc>
      </w:tr>
    </w:tbl>
    <w:p>
      <w:pPr>
        <w:spacing w:line="100" w:lineRule="exact"/>
        <w:rPr>
          <w:rFonts w:hint="eastAsia" w:ascii="Times New Roman" w:hAnsi="Times New Roman" w:eastAsia="仿宋_GB2312"/>
          <w:color w:val="000000"/>
          <w:sz w:val="44"/>
          <w:szCs w:val="44"/>
          <w:u w:val="single"/>
        </w:rPr>
        <w:sectPr>
          <w:pgSz w:w="16838" w:h="11906" w:orient="landscape"/>
          <w:pgMar w:top="1588" w:right="2098" w:bottom="1588" w:left="2098" w:header="851" w:footer="1134" w:gutter="0"/>
          <w:cols w:space="425" w:num="1"/>
          <w:docGrid w:linePitch="287" w:charSpace="-2374"/>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4F24E58"/>
    <w:rsid w:val="44F2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2023-05-19T02:17:00Z</dcterms:created>
  <dc:creator>Cathy</dc:creator>
  <cp:lastModifiedBy>Cathy</cp:lastModifiedBy>
  <dcterms:modified xsi:type="dcterms:W3CDTF">2023-05-19T02:17:39Z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4140D7310F804F21B2B2B058F92F1589</vt:lpwstr>
  </property>
</Properties>
</file>