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Lines="50" w:line="360" w:lineRule="auto"/>
        <w:jc w:val="center"/>
        <w:rPr>
          <w:rFonts w:hint="eastAsia" w:ascii="Times New Roman" w:hAnsi="Times New Roman" w:eastAsia="宋体" w:cs="Times New Roman"/>
          <w:b/>
          <w:spacing w:val="20"/>
          <w:sz w:val="44"/>
          <w:szCs w:val="44"/>
        </w:rPr>
      </w:pPr>
    </w:p>
    <w:p>
      <w:pPr>
        <w:snapToGrid w:val="0"/>
        <w:spacing w:beforeLines="50" w:line="360" w:lineRule="auto"/>
        <w:jc w:val="center"/>
        <w:rPr>
          <w:rFonts w:hint="eastAsia" w:ascii="Times New Roman" w:hAnsi="Times New Roman" w:eastAsia="宋体" w:cs="Times New Roman"/>
          <w:b/>
          <w:spacing w:val="20"/>
          <w:sz w:val="36"/>
          <w:szCs w:val="36"/>
          <w:lang w:eastAsia="zh-CN"/>
        </w:rPr>
      </w:pPr>
    </w:p>
    <w:p>
      <w:pPr>
        <w:snapToGrid w:val="0"/>
        <w:spacing w:beforeLines="50" w:line="360" w:lineRule="auto"/>
        <w:jc w:val="center"/>
        <w:rPr>
          <w:rFonts w:hint="eastAsia" w:ascii="Times New Roman" w:hAnsi="Times New Roman" w:eastAsia="宋体" w:cs="Times New Roman"/>
          <w:b/>
          <w:spacing w:val="20"/>
          <w:sz w:val="36"/>
          <w:szCs w:val="36"/>
          <w:lang w:eastAsia="zh-CN"/>
        </w:rPr>
      </w:pPr>
    </w:p>
    <w:p>
      <w:pPr>
        <w:snapToGrid w:val="0"/>
        <w:spacing w:beforeLines="50" w:line="360" w:lineRule="auto"/>
        <w:jc w:val="center"/>
        <w:rPr>
          <w:rFonts w:hint="eastAsia" w:ascii="Times New Roman" w:hAnsi="Times New Roman" w:eastAsia="宋体" w:cs="Times New Roman"/>
          <w:b/>
          <w:spacing w:val="20"/>
          <w:sz w:val="36"/>
          <w:szCs w:val="36"/>
        </w:rPr>
      </w:pPr>
      <w:r>
        <w:rPr>
          <w:rFonts w:hint="eastAsia" w:ascii="Times New Roman" w:hAnsi="Times New Roman" w:eastAsia="宋体" w:cs="Times New Roman"/>
          <w:b/>
          <w:spacing w:val="20"/>
          <w:sz w:val="36"/>
          <w:szCs w:val="36"/>
          <w:lang w:eastAsia="zh-CN"/>
        </w:rPr>
        <w:t>桐柏县生活垃圾处理厂（南阳市双信物业管理有限公司）</w:t>
      </w:r>
      <w:r>
        <w:rPr>
          <w:rFonts w:hint="eastAsia" w:ascii="Times New Roman" w:hAnsi="Times New Roman" w:eastAsia="宋体" w:cs="Times New Roman"/>
          <w:b/>
          <w:spacing w:val="20"/>
          <w:sz w:val="36"/>
          <w:szCs w:val="36"/>
        </w:rPr>
        <w:t>土壤及地下</w:t>
      </w:r>
      <w:r>
        <w:rPr>
          <w:rFonts w:hint="eastAsia" w:ascii="Times New Roman" w:hAnsi="Times New Roman" w:eastAsia="宋体" w:cs="Times New Roman"/>
          <w:b/>
          <w:spacing w:val="20"/>
          <w:sz w:val="36"/>
          <w:szCs w:val="36"/>
          <w:lang w:val="en-US" w:eastAsia="zh-CN"/>
        </w:rPr>
        <w:t>水</w:t>
      </w:r>
      <w:r>
        <w:rPr>
          <w:rFonts w:hint="eastAsia" w:ascii="Times New Roman" w:hAnsi="Times New Roman" w:eastAsia="宋体" w:cs="Times New Roman"/>
          <w:b/>
          <w:spacing w:val="20"/>
          <w:sz w:val="36"/>
          <w:szCs w:val="36"/>
        </w:rPr>
        <w:t>自行监测方案</w:t>
      </w:r>
    </w:p>
    <w:p>
      <w:pPr>
        <w:widowControl/>
        <w:spacing w:line="900" w:lineRule="atLeast"/>
        <w:jc w:val="center"/>
        <w:rPr>
          <w:rFonts w:ascii="Times New Roman" w:hAnsi="Times New Roman" w:eastAsia="宋体" w:cs="Times New Roman"/>
          <w:sz w:val="36"/>
          <w:szCs w:val="36"/>
        </w:rPr>
      </w:pPr>
    </w:p>
    <w:p>
      <w:pPr>
        <w:widowControl/>
        <w:spacing w:line="400" w:lineRule="atLeast"/>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jc w:val="center"/>
        <w:rPr>
          <w:rFonts w:ascii="Times New Roman" w:hAnsi="Times New Roman" w:eastAsia="宋体" w:cs="Times New Roman"/>
          <w:b/>
          <w:sz w:val="36"/>
          <w:szCs w:val="36"/>
        </w:rPr>
      </w:pPr>
    </w:p>
    <w:p>
      <w:pPr>
        <w:pStyle w:val="25"/>
        <w:spacing w:line="360" w:lineRule="auto"/>
        <w:ind w:firstLine="1810" w:firstLineChars="578"/>
        <w:jc w:val="both"/>
        <w:rPr>
          <w:rFonts w:hint="eastAsia" w:ascii="Times New Roman" w:hAnsi="Times New Roman" w:eastAsia="宋体" w:cs="Times New Roman"/>
          <w:b/>
          <w:sz w:val="30"/>
          <w:szCs w:val="30"/>
        </w:rPr>
      </w:pPr>
    </w:p>
    <w:p>
      <w:pPr>
        <w:pStyle w:val="25"/>
        <w:spacing w:line="360" w:lineRule="auto"/>
        <w:ind w:firstLine="1810" w:firstLineChars="578"/>
        <w:jc w:val="both"/>
        <w:rPr>
          <w:rFonts w:hint="eastAsia" w:ascii="Times New Roman" w:hAnsi="Times New Roman" w:eastAsia="宋体" w:cs="Times New Roman"/>
          <w:b/>
          <w:sz w:val="30"/>
          <w:szCs w:val="30"/>
        </w:rPr>
      </w:pPr>
    </w:p>
    <w:p>
      <w:pPr>
        <w:pStyle w:val="25"/>
        <w:spacing w:line="360" w:lineRule="auto"/>
        <w:ind w:firstLine="1810" w:firstLineChars="578"/>
        <w:jc w:val="both"/>
        <w:rPr>
          <w:rFonts w:hint="eastAsia" w:ascii="Times New Roman" w:hAnsi="Times New Roman" w:eastAsia="宋体" w:cs="Times New Roman"/>
          <w:b/>
          <w:sz w:val="30"/>
          <w:szCs w:val="30"/>
        </w:rPr>
      </w:pPr>
    </w:p>
    <w:p>
      <w:pPr>
        <w:pStyle w:val="25"/>
        <w:spacing w:line="360" w:lineRule="auto"/>
        <w:ind w:firstLine="1810" w:firstLineChars="578"/>
        <w:jc w:val="both"/>
        <w:rPr>
          <w:rFonts w:hint="eastAsia" w:ascii="Times New Roman" w:hAnsi="Times New Roman" w:eastAsia="宋体" w:cs="Times New Roman"/>
          <w:b/>
          <w:sz w:val="30"/>
          <w:szCs w:val="30"/>
        </w:rPr>
      </w:pPr>
    </w:p>
    <w:p>
      <w:pPr>
        <w:pStyle w:val="25"/>
        <w:spacing w:line="360" w:lineRule="auto"/>
        <w:ind w:firstLine="1810" w:firstLineChars="578"/>
        <w:jc w:val="both"/>
        <w:rPr>
          <w:rFonts w:hint="eastAsia" w:ascii="Times New Roman" w:hAnsi="Times New Roman" w:eastAsia="宋体" w:cs="Times New Roman"/>
          <w:b/>
          <w:sz w:val="30"/>
          <w:szCs w:val="30"/>
        </w:rPr>
      </w:pPr>
    </w:p>
    <w:p>
      <w:pPr>
        <w:jc w:val="center"/>
        <w:rPr>
          <w:rFonts w:hint="eastAsia" w:ascii="Times New Roman" w:hAnsi="Times New Roman" w:cs="Times New Roman"/>
          <w:b/>
          <w:sz w:val="30"/>
          <w:szCs w:val="30"/>
          <w:lang w:eastAsia="zh-CN"/>
        </w:rPr>
      </w:pPr>
    </w:p>
    <w:p>
      <w:pPr>
        <w:jc w:val="center"/>
        <w:rPr>
          <w:rFonts w:hint="eastAsia" w:ascii="Times New Roman" w:hAnsi="Times New Roman" w:cs="Times New Roman"/>
          <w:b/>
          <w:sz w:val="30"/>
          <w:szCs w:val="30"/>
          <w:lang w:eastAsia="zh-CN"/>
        </w:rPr>
      </w:pPr>
    </w:p>
    <w:p>
      <w:pPr>
        <w:jc w:val="center"/>
        <w:rPr>
          <w:rFonts w:hint="eastAsia" w:ascii="Times New Roman" w:hAnsi="Times New Roman" w:cs="Times New Roman"/>
          <w:b/>
          <w:sz w:val="30"/>
          <w:szCs w:val="30"/>
          <w:lang w:eastAsia="zh-CN"/>
        </w:rPr>
      </w:pPr>
      <w:r>
        <w:rPr>
          <w:rFonts w:hint="eastAsia" w:ascii="Times New Roman" w:hAnsi="Times New Roman" w:cs="Times New Roman"/>
          <w:b/>
          <w:sz w:val="30"/>
          <w:szCs w:val="30"/>
          <w:lang w:eastAsia="zh-CN"/>
        </w:rPr>
        <w:t>桐柏县生活垃圾处理厂（南阳市双信物业管理有限公司）</w:t>
      </w:r>
    </w:p>
    <w:p>
      <w:pPr>
        <w:jc w:val="center"/>
        <w:rPr>
          <w:rFonts w:ascii="Times New Roman" w:hAnsi="Times New Roman" w:eastAsia="宋体" w:cs="Times New Roman"/>
          <w:b/>
          <w:sz w:val="30"/>
          <w:szCs w:val="30"/>
        </w:rPr>
      </w:pPr>
      <w:r>
        <w:rPr>
          <w:rFonts w:ascii="Times New Roman" w:hAnsi="Times New Roman" w:eastAsia="宋体" w:cs="Times New Roman"/>
          <w:b/>
          <w:sz w:val="30"/>
          <w:szCs w:val="30"/>
        </w:rPr>
        <w:t>二〇</w:t>
      </w:r>
      <w:r>
        <w:rPr>
          <w:rFonts w:hint="eastAsia" w:ascii="Times New Roman" w:hAnsi="Times New Roman" w:eastAsia="宋体" w:cs="Times New Roman"/>
          <w:b/>
          <w:sz w:val="30"/>
          <w:szCs w:val="30"/>
          <w:lang w:val="en-US" w:eastAsia="zh-CN"/>
        </w:rPr>
        <w:t>二二</w:t>
      </w:r>
      <w:r>
        <w:rPr>
          <w:rFonts w:ascii="Times New Roman" w:hAnsi="Times New Roman" w:eastAsia="宋体" w:cs="Times New Roman"/>
          <w:b/>
          <w:sz w:val="30"/>
          <w:szCs w:val="30"/>
        </w:rPr>
        <w:t>年</w:t>
      </w:r>
      <w:r>
        <w:rPr>
          <w:rFonts w:hint="eastAsia" w:ascii="Times New Roman" w:hAnsi="Times New Roman" w:eastAsia="宋体" w:cs="Times New Roman"/>
          <w:b/>
          <w:sz w:val="30"/>
          <w:szCs w:val="30"/>
          <w:lang w:val="en-US" w:eastAsia="zh-CN"/>
        </w:rPr>
        <w:t>六</w:t>
      </w:r>
      <w:r>
        <w:rPr>
          <w:rFonts w:ascii="Times New Roman" w:hAnsi="Times New Roman" w:eastAsia="宋体" w:cs="Times New Roman"/>
          <w:b/>
          <w:sz w:val="30"/>
          <w:szCs w:val="30"/>
        </w:rPr>
        <w:t>月</w:t>
      </w:r>
    </w:p>
    <w:p>
      <w:pPr>
        <w:pStyle w:val="26"/>
        <w:jc w:val="both"/>
        <w:rPr>
          <w:rFonts w:ascii="Times New Roman" w:hAnsi="Times New Roman" w:eastAsia="宋体" w:cs="Times New Roman"/>
          <w:color w:val="auto"/>
          <w:sz w:val="32"/>
          <w:szCs w:val="32"/>
          <w:lang w:val="zh-CN"/>
        </w:rPr>
        <w:sectPr>
          <w:headerReference r:id="rId3" w:type="default"/>
          <w:pgSz w:w="11906" w:h="16838"/>
          <w:pgMar w:top="1440" w:right="1463" w:bottom="1440" w:left="1463" w:header="851" w:footer="992" w:gutter="0"/>
          <w:pgNumType w:fmt="upperRoman" w:start="1"/>
          <w:cols w:space="720" w:num="1"/>
          <w:docGrid w:type="lines" w:linePitch="320" w:charSpace="0"/>
        </w:sectPr>
      </w:pPr>
      <w:bookmarkStart w:id="0" w:name="_Toc25439"/>
      <w:bookmarkStart w:id="1" w:name="_Toc4838"/>
      <w:bookmarkStart w:id="2" w:name="_Toc18836"/>
    </w:p>
    <w:p>
      <w:pPr>
        <w:pStyle w:val="26"/>
        <w:jc w:val="center"/>
        <w:rPr>
          <w:rFonts w:ascii="Times New Roman" w:hAnsi="Times New Roman" w:eastAsia="宋体" w:cs="Times New Roman"/>
          <w:color w:val="auto"/>
          <w:sz w:val="32"/>
          <w:szCs w:val="32"/>
        </w:rPr>
      </w:pPr>
      <w:bookmarkStart w:id="3" w:name="_Toc25080"/>
      <w:r>
        <w:rPr>
          <w:rFonts w:ascii="Times New Roman" w:hAnsi="Times New Roman" w:eastAsia="宋体" w:cs="Times New Roman"/>
          <w:color w:val="auto"/>
          <w:sz w:val="32"/>
          <w:szCs w:val="32"/>
          <w:lang w:val="zh-CN"/>
        </w:rPr>
        <w:t>目  录</w:t>
      </w:r>
      <w:bookmarkEnd w:id="0"/>
      <w:bookmarkEnd w:id="1"/>
      <w:bookmarkEnd w:id="2"/>
      <w:bookmarkEnd w:id="3"/>
    </w:p>
    <w:p>
      <w:pPr>
        <w:pStyle w:val="13"/>
        <w:tabs>
          <w:tab w:val="right" w:leader="dot" w:pos="8980"/>
        </w:tabs>
        <w:spacing w:line="360" w:lineRule="auto"/>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TOC \o "1-2" \h \z \u </w:instrText>
      </w:r>
      <w:r>
        <w:rPr>
          <w:rFonts w:ascii="Times New Roman" w:hAnsi="Times New Roman" w:eastAsia="宋体" w:cs="Times New Roman"/>
          <w:sz w:val="24"/>
          <w:szCs w:val="24"/>
        </w:rPr>
        <w:fldChar w:fldCharType="separate"/>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_Toc8527 </w:instrText>
      </w:r>
      <w:r>
        <w:rPr>
          <w:rFonts w:ascii="Times New Roman" w:hAnsi="Times New Roman" w:eastAsia="宋体" w:cs="Times New Roman"/>
          <w:szCs w:val="24"/>
        </w:rPr>
        <w:fldChar w:fldCharType="separate"/>
      </w:r>
      <w:r>
        <w:rPr>
          <w:rFonts w:hint="eastAsia" w:ascii="Times New Roman" w:hAnsi="Times New Roman" w:eastAsia="宋体" w:cs="Times New Roman"/>
          <w:bCs/>
        </w:rPr>
        <w:t>一、前言</w:t>
      </w:r>
      <w:r>
        <w:tab/>
      </w:r>
      <w:r>
        <w:fldChar w:fldCharType="begin"/>
      </w:r>
      <w:r>
        <w:instrText xml:space="preserve"> PAGEREF _Toc8527 \h </w:instrText>
      </w:r>
      <w:r>
        <w:fldChar w:fldCharType="separate"/>
      </w:r>
      <w:r>
        <w:t>1</w:t>
      </w:r>
      <w:r>
        <w:fldChar w:fldCharType="end"/>
      </w:r>
      <w:r>
        <w:rPr>
          <w:rFonts w:ascii="Times New Roman" w:hAnsi="Times New Roman" w:eastAsia="宋体" w:cs="Times New Roman"/>
          <w:szCs w:val="24"/>
        </w:rPr>
        <w:fldChar w:fldCharType="end"/>
      </w:r>
    </w:p>
    <w:p>
      <w:pPr>
        <w:pStyle w:val="13"/>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_Toc24325 </w:instrText>
      </w:r>
      <w:r>
        <w:rPr>
          <w:rFonts w:ascii="Times New Roman" w:hAnsi="Times New Roman" w:eastAsia="宋体" w:cs="Times New Roman"/>
          <w:szCs w:val="24"/>
        </w:rPr>
        <w:fldChar w:fldCharType="separate"/>
      </w:r>
      <w:r>
        <w:rPr>
          <w:rFonts w:hint="eastAsia" w:ascii="Times New Roman" w:hAnsi="Times New Roman" w:eastAsia="宋体" w:cs="Times New Roman"/>
          <w:bCs/>
        </w:rPr>
        <w:t>二、编制依据</w:t>
      </w:r>
      <w:r>
        <w:tab/>
      </w:r>
      <w:r>
        <w:fldChar w:fldCharType="begin"/>
      </w:r>
      <w:r>
        <w:instrText xml:space="preserve"> PAGEREF _Toc24325 \h </w:instrText>
      </w:r>
      <w:r>
        <w:fldChar w:fldCharType="separate"/>
      </w:r>
      <w:r>
        <w:t>1</w:t>
      </w:r>
      <w:r>
        <w:fldChar w:fldCharType="end"/>
      </w:r>
      <w:r>
        <w:rPr>
          <w:rFonts w:ascii="Times New Roman" w:hAnsi="Times New Roman" w:eastAsia="宋体" w:cs="Times New Roman"/>
          <w:szCs w:val="24"/>
        </w:rPr>
        <w:fldChar w:fldCharType="end"/>
      </w:r>
    </w:p>
    <w:p>
      <w:pPr>
        <w:pStyle w:val="14"/>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_Toc16243 </w:instrText>
      </w:r>
      <w:r>
        <w:rPr>
          <w:rFonts w:ascii="Times New Roman" w:hAnsi="Times New Roman" w:eastAsia="宋体" w:cs="Times New Roman"/>
          <w:szCs w:val="24"/>
        </w:rPr>
        <w:fldChar w:fldCharType="separate"/>
      </w:r>
      <w:r>
        <w:rPr>
          <w:rFonts w:hint="eastAsia" w:ascii="Times New Roman" w:hAnsi="Times New Roman" w:eastAsia="宋体" w:cs="Times New Roman"/>
        </w:rPr>
        <w:t>2.1法律法规</w:t>
      </w:r>
      <w:r>
        <w:tab/>
      </w:r>
      <w:r>
        <w:fldChar w:fldCharType="begin"/>
      </w:r>
      <w:r>
        <w:instrText xml:space="preserve"> PAGEREF _Toc16243 \h </w:instrText>
      </w:r>
      <w:r>
        <w:fldChar w:fldCharType="separate"/>
      </w:r>
      <w:r>
        <w:t>1</w:t>
      </w:r>
      <w:r>
        <w:fldChar w:fldCharType="end"/>
      </w:r>
      <w:r>
        <w:rPr>
          <w:rFonts w:ascii="Times New Roman" w:hAnsi="Times New Roman" w:eastAsia="宋体" w:cs="Times New Roman"/>
          <w:szCs w:val="24"/>
        </w:rPr>
        <w:fldChar w:fldCharType="end"/>
      </w:r>
    </w:p>
    <w:p>
      <w:pPr>
        <w:pStyle w:val="14"/>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_Toc25194 </w:instrText>
      </w:r>
      <w:r>
        <w:rPr>
          <w:rFonts w:ascii="Times New Roman" w:hAnsi="Times New Roman" w:eastAsia="宋体" w:cs="Times New Roman"/>
          <w:szCs w:val="24"/>
        </w:rPr>
        <w:fldChar w:fldCharType="separate"/>
      </w:r>
      <w:r>
        <w:rPr>
          <w:rFonts w:hint="eastAsia" w:ascii="Times New Roman" w:hAnsi="Times New Roman" w:eastAsia="宋体" w:cs="Times New Roman"/>
        </w:rPr>
        <w:t>2.2</w:t>
      </w:r>
      <w:r>
        <w:rPr>
          <w:rFonts w:ascii="Times New Roman" w:hAnsi="Times New Roman" w:eastAsia="宋体" w:cs="Times New Roman"/>
        </w:rPr>
        <w:t>导则、规范</w:t>
      </w:r>
      <w:r>
        <w:rPr>
          <w:rFonts w:hint="eastAsia" w:ascii="Times New Roman" w:hAnsi="Times New Roman" w:eastAsia="宋体" w:cs="Times New Roman"/>
        </w:rPr>
        <w:t>及标准</w:t>
      </w:r>
      <w:r>
        <w:tab/>
      </w:r>
      <w:r>
        <w:fldChar w:fldCharType="begin"/>
      </w:r>
      <w:r>
        <w:instrText xml:space="preserve"> PAGEREF _Toc25194 \h </w:instrText>
      </w:r>
      <w:r>
        <w:fldChar w:fldCharType="separate"/>
      </w:r>
      <w:r>
        <w:t>1</w:t>
      </w:r>
      <w:r>
        <w:fldChar w:fldCharType="end"/>
      </w:r>
      <w:r>
        <w:rPr>
          <w:rFonts w:ascii="Times New Roman" w:hAnsi="Times New Roman" w:eastAsia="宋体" w:cs="Times New Roman"/>
          <w:szCs w:val="24"/>
        </w:rPr>
        <w:fldChar w:fldCharType="end"/>
      </w:r>
    </w:p>
    <w:p>
      <w:pPr>
        <w:pStyle w:val="13"/>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_Toc14832 </w:instrText>
      </w:r>
      <w:r>
        <w:rPr>
          <w:rFonts w:ascii="Times New Roman" w:hAnsi="Times New Roman" w:eastAsia="宋体" w:cs="Times New Roman"/>
          <w:szCs w:val="24"/>
        </w:rPr>
        <w:fldChar w:fldCharType="separate"/>
      </w:r>
      <w:r>
        <w:rPr>
          <w:rFonts w:hint="eastAsia" w:ascii="Times New Roman" w:hAnsi="Times New Roman" w:eastAsia="宋体" w:cs="Times New Roman"/>
          <w:bCs/>
        </w:rPr>
        <w:t>三、场地自然概况</w:t>
      </w:r>
      <w:r>
        <w:tab/>
      </w:r>
      <w:r>
        <w:fldChar w:fldCharType="begin"/>
      </w:r>
      <w:r>
        <w:instrText xml:space="preserve"> PAGEREF _Toc14832 \h </w:instrText>
      </w:r>
      <w:r>
        <w:fldChar w:fldCharType="separate"/>
      </w:r>
      <w:r>
        <w:t>2</w:t>
      </w:r>
      <w:r>
        <w:fldChar w:fldCharType="end"/>
      </w:r>
      <w:r>
        <w:rPr>
          <w:rFonts w:ascii="Times New Roman" w:hAnsi="Times New Roman" w:eastAsia="宋体" w:cs="Times New Roman"/>
          <w:szCs w:val="24"/>
        </w:rPr>
        <w:fldChar w:fldCharType="end"/>
      </w:r>
    </w:p>
    <w:p>
      <w:pPr>
        <w:pStyle w:val="14"/>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_Toc2699 </w:instrText>
      </w:r>
      <w:r>
        <w:rPr>
          <w:rFonts w:ascii="Times New Roman" w:hAnsi="Times New Roman" w:eastAsia="宋体" w:cs="Times New Roman"/>
          <w:szCs w:val="24"/>
        </w:rPr>
        <w:fldChar w:fldCharType="separate"/>
      </w:r>
      <w:r>
        <w:rPr>
          <w:rFonts w:hint="eastAsia" w:ascii="Times New Roman" w:hAnsi="Times New Roman" w:eastAsia="宋体" w:cs="Times New Roman"/>
        </w:rPr>
        <w:t>3.1地理位置</w:t>
      </w:r>
      <w:r>
        <w:tab/>
      </w:r>
      <w:r>
        <w:fldChar w:fldCharType="begin"/>
      </w:r>
      <w:r>
        <w:instrText xml:space="preserve"> PAGEREF _Toc2699 \h </w:instrText>
      </w:r>
      <w:r>
        <w:fldChar w:fldCharType="separate"/>
      </w:r>
      <w:r>
        <w:t>2</w:t>
      </w:r>
      <w:r>
        <w:fldChar w:fldCharType="end"/>
      </w:r>
      <w:r>
        <w:rPr>
          <w:rFonts w:ascii="Times New Roman" w:hAnsi="Times New Roman" w:eastAsia="宋体" w:cs="Times New Roman"/>
          <w:szCs w:val="24"/>
        </w:rPr>
        <w:fldChar w:fldCharType="end"/>
      </w:r>
    </w:p>
    <w:p>
      <w:pPr>
        <w:pStyle w:val="14"/>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_Toc2528 </w:instrText>
      </w:r>
      <w:r>
        <w:rPr>
          <w:rFonts w:ascii="Times New Roman" w:hAnsi="Times New Roman" w:eastAsia="宋体" w:cs="Times New Roman"/>
          <w:szCs w:val="24"/>
        </w:rPr>
        <w:fldChar w:fldCharType="separate"/>
      </w:r>
      <w:r>
        <w:rPr>
          <w:rFonts w:hint="eastAsia" w:ascii="Times New Roman" w:hAnsi="Times New Roman" w:eastAsia="宋体" w:cs="Times New Roman"/>
        </w:rPr>
        <w:t>3.2地形地貌</w:t>
      </w:r>
      <w:r>
        <w:tab/>
      </w:r>
      <w:r>
        <w:fldChar w:fldCharType="begin"/>
      </w:r>
      <w:r>
        <w:instrText xml:space="preserve"> PAGEREF _Toc2528 \h </w:instrText>
      </w:r>
      <w:r>
        <w:fldChar w:fldCharType="separate"/>
      </w:r>
      <w:r>
        <w:t>2</w:t>
      </w:r>
      <w:r>
        <w:fldChar w:fldCharType="end"/>
      </w:r>
      <w:r>
        <w:rPr>
          <w:rFonts w:ascii="Times New Roman" w:hAnsi="Times New Roman" w:eastAsia="宋体" w:cs="Times New Roman"/>
          <w:szCs w:val="24"/>
        </w:rPr>
        <w:fldChar w:fldCharType="end"/>
      </w:r>
    </w:p>
    <w:p>
      <w:pPr>
        <w:pStyle w:val="14"/>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_Toc5216 </w:instrText>
      </w:r>
      <w:r>
        <w:rPr>
          <w:rFonts w:ascii="Times New Roman" w:hAnsi="Times New Roman" w:eastAsia="宋体" w:cs="Times New Roman"/>
          <w:szCs w:val="24"/>
        </w:rPr>
        <w:fldChar w:fldCharType="separate"/>
      </w:r>
      <w:r>
        <w:rPr>
          <w:rFonts w:hint="eastAsia" w:ascii="Times New Roman" w:hAnsi="Times New Roman" w:eastAsia="宋体" w:cs="Times New Roman"/>
        </w:rPr>
        <w:t>3.3气候气象</w:t>
      </w:r>
      <w:r>
        <w:tab/>
      </w:r>
      <w:r>
        <w:fldChar w:fldCharType="begin"/>
      </w:r>
      <w:r>
        <w:instrText xml:space="preserve"> PAGEREF _Toc5216 \h </w:instrText>
      </w:r>
      <w:r>
        <w:fldChar w:fldCharType="separate"/>
      </w:r>
      <w:r>
        <w:t>3</w:t>
      </w:r>
      <w:r>
        <w:fldChar w:fldCharType="end"/>
      </w:r>
      <w:r>
        <w:rPr>
          <w:rFonts w:ascii="Times New Roman" w:hAnsi="Times New Roman" w:eastAsia="宋体" w:cs="Times New Roman"/>
          <w:szCs w:val="24"/>
        </w:rPr>
        <w:fldChar w:fldCharType="end"/>
      </w:r>
    </w:p>
    <w:p>
      <w:pPr>
        <w:pStyle w:val="14"/>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_Toc1945 </w:instrText>
      </w:r>
      <w:r>
        <w:rPr>
          <w:rFonts w:ascii="Times New Roman" w:hAnsi="Times New Roman" w:eastAsia="宋体" w:cs="Times New Roman"/>
          <w:szCs w:val="24"/>
        </w:rPr>
        <w:fldChar w:fldCharType="separate"/>
      </w:r>
      <w:r>
        <w:rPr>
          <w:rFonts w:hint="eastAsia" w:ascii="Times New Roman" w:hAnsi="Times New Roman" w:eastAsia="宋体" w:cs="Times New Roman"/>
        </w:rPr>
        <w:t>3.4地表水</w:t>
      </w:r>
      <w:r>
        <w:tab/>
      </w:r>
      <w:r>
        <w:fldChar w:fldCharType="begin"/>
      </w:r>
      <w:r>
        <w:instrText xml:space="preserve"> PAGEREF _Toc1945 \h </w:instrText>
      </w:r>
      <w:r>
        <w:fldChar w:fldCharType="separate"/>
      </w:r>
      <w:r>
        <w:t>3</w:t>
      </w:r>
      <w:r>
        <w:fldChar w:fldCharType="end"/>
      </w:r>
      <w:r>
        <w:rPr>
          <w:rFonts w:ascii="Times New Roman" w:hAnsi="Times New Roman" w:eastAsia="宋体" w:cs="Times New Roman"/>
          <w:szCs w:val="24"/>
        </w:rPr>
        <w:fldChar w:fldCharType="end"/>
      </w:r>
    </w:p>
    <w:p>
      <w:pPr>
        <w:pStyle w:val="14"/>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_Toc12597 </w:instrText>
      </w:r>
      <w:r>
        <w:rPr>
          <w:rFonts w:ascii="Times New Roman" w:hAnsi="Times New Roman" w:eastAsia="宋体" w:cs="Times New Roman"/>
          <w:szCs w:val="24"/>
        </w:rPr>
        <w:fldChar w:fldCharType="separate"/>
      </w:r>
      <w:r>
        <w:rPr>
          <w:rFonts w:hint="eastAsia" w:ascii="Times New Roman" w:hAnsi="Times New Roman" w:eastAsia="宋体" w:cs="Times New Roman"/>
        </w:rPr>
        <w:t>3.5</w:t>
      </w:r>
      <w:r>
        <w:rPr>
          <w:rFonts w:hint="eastAsia" w:ascii="Times New Roman" w:hAnsi="Times New Roman" w:eastAsia="宋体" w:cs="Times New Roman"/>
          <w:lang w:val="en-US" w:eastAsia="zh-CN"/>
        </w:rPr>
        <w:t>地下水</w:t>
      </w:r>
      <w:r>
        <w:tab/>
      </w:r>
      <w:r>
        <w:fldChar w:fldCharType="begin"/>
      </w:r>
      <w:r>
        <w:instrText xml:space="preserve"> PAGEREF _Toc12597 \h </w:instrText>
      </w:r>
      <w:r>
        <w:fldChar w:fldCharType="separate"/>
      </w:r>
      <w:r>
        <w:t>4</w:t>
      </w:r>
      <w:r>
        <w:fldChar w:fldCharType="end"/>
      </w:r>
      <w:r>
        <w:rPr>
          <w:rFonts w:ascii="Times New Roman" w:hAnsi="Times New Roman" w:eastAsia="宋体" w:cs="Times New Roman"/>
          <w:szCs w:val="24"/>
        </w:rPr>
        <w:fldChar w:fldCharType="end"/>
      </w:r>
    </w:p>
    <w:p>
      <w:pPr>
        <w:pStyle w:val="13"/>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_Toc14392 </w:instrText>
      </w:r>
      <w:r>
        <w:rPr>
          <w:rFonts w:ascii="Times New Roman" w:hAnsi="Times New Roman" w:eastAsia="宋体" w:cs="Times New Roman"/>
          <w:szCs w:val="24"/>
        </w:rPr>
        <w:fldChar w:fldCharType="separate"/>
      </w:r>
      <w:r>
        <w:rPr>
          <w:rFonts w:hint="eastAsia" w:ascii="Times New Roman" w:hAnsi="Times New Roman" w:eastAsia="宋体" w:cs="Times New Roman"/>
          <w:bCs/>
        </w:rPr>
        <w:t>四、企业基本情况</w:t>
      </w:r>
      <w:r>
        <w:tab/>
      </w:r>
      <w:r>
        <w:fldChar w:fldCharType="begin"/>
      </w:r>
      <w:r>
        <w:instrText xml:space="preserve"> PAGEREF _Toc14392 \h </w:instrText>
      </w:r>
      <w:r>
        <w:fldChar w:fldCharType="separate"/>
      </w:r>
      <w:r>
        <w:t>4</w:t>
      </w:r>
      <w:r>
        <w:fldChar w:fldCharType="end"/>
      </w:r>
      <w:r>
        <w:rPr>
          <w:rFonts w:ascii="Times New Roman" w:hAnsi="Times New Roman" w:eastAsia="宋体" w:cs="Times New Roman"/>
          <w:szCs w:val="24"/>
        </w:rPr>
        <w:fldChar w:fldCharType="end"/>
      </w:r>
    </w:p>
    <w:p>
      <w:pPr>
        <w:pStyle w:val="13"/>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_Toc11925 </w:instrText>
      </w:r>
      <w:r>
        <w:rPr>
          <w:rFonts w:ascii="Times New Roman" w:hAnsi="Times New Roman" w:eastAsia="宋体" w:cs="Times New Roman"/>
          <w:szCs w:val="24"/>
        </w:rPr>
        <w:fldChar w:fldCharType="separate"/>
      </w:r>
      <w:r>
        <w:rPr>
          <w:rFonts w:hint="eastAsia" w:ascii="Times New Roman" w:hAnsi="Times New Roman" w:eastAsia="宋体" w:cs="Times New Roman"/>
          <w:bCs/>
        </w:rPr>
        <w:t>五、重点区域划分</w:t>
      </w:r>
      <w:r>
        <w:tab/>
      </w:r>
      <w:r>
        <w:fldChar w:fldCharType="begin"/>
      </w:r>
      <w:r>
        <w:instrText xml:space="preserve"> PAGEREF _Toc11925 \h </w:instrText>
      </w:r>
      <w:r>
        <w:fldChar w:fldCharType="separate"/>
      </w:r>
      <w:r>
        <w:t>8</w:t>
      </w:r>
      <w:r>
        <w:fldChar w:fldCharType="end"/>
      </w:r>
      <w:r>
        <w:rPr>
          <w:rFonts w:ascii="Times New Roman" w:hAnsi="Times New Roman" w:eastAsia="宋体" w:cs="Times New Roman"/>
          <w:szCs w:val="24"/>
        </w:rPr>
        <w:fldChar w:fldCharType="end"/>
      </w:r>
    </w:p>
    <w:p>
      <w:pPr>
        <w:pStyle w:val="13"/>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_Toc9343 </w:instrText>
      </w:r>
      <w:r>
        <w:rPr>
          <w:rFonts w:ascii="Times New Roman" w:hAnsi="Times New Roman" w:eastAsia="宋体" w:cs="Times New Roman"/>
          <w:szCs w:val="24"/>
        </w:rPr>
        <w:fldChar w:fldCharType="separate"/>
      </w:r>
      <w:r>
        <w:rPr>
          <w:rFonts w:hint="eastAsia" w:ascii="Times New Roman" w:hAnsi="Times New Roman" w:eastAsia="宋体" w:cs="Times New Roman"/>
          <w:bCs/>
        </w:rPr>
        <w:t>六、监测内容</w:t>
      </w:r>
      <w:r>
        <w:tab/>
      </w:r>
      <w:r>
        <w:fldChar w:fldCharType="begin"/>
      </w:r>
      <w:r>
        <w:instrText xml:space="preserve"> PAGEREF _Toc9343 \h </w:instrText>
      </w:r>
      <w:r>
        <w:fldChar w:fldCharType="separate"/>
      </w:r>
      <w:r>
        <w:t>9</w:t>
      </w:r>
      <w:r>
        <w:fldChar w:fldCharType="end"/>
      </w:r>
      <w:r>
        <w:rPr>
          <w:rFonts w:ascii="Times New Roman" w:hAnsi="Times New Roman" w:eastAsia="宋体" w:cs="Times New Roman"/>
          <w:szCs w:val="24"/>
        </w:rPr>
        <w:fldChar w:fldCharType="end"/>
      </w:r>
    </w:p>
    <w:p>
      <w:pPr>
        <w:pStyle w:val="13"/>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_Toc1584 </w:instrText>
      </w:r>
      <w:r>
        <w:rPr>
          <w:rFonts w:ascii="Times New Roman" w:hAnsi="Times New Roman" w:eastAsia="宋体" w:cs="Times New Roman"/>
          <w:szCs w:val="24"/>
        </w:rPr>
        <w:fldChar w:fldCharType="separate"/>
      </w:r>
      <w:r>
        <w:rPr>
          <w:rFonts w:hint="eastAsia" w:ascii="Times New Roman" w:hAnsi="Times New Roman" w:eastAsia="宋体" w:cs="Times New Roman"/>
          <w:bCs/>
          <w:lang w:eastAsia="zh-CN"/>
        </w:rPr>
        <w:t>七</w:t>
      </w:r>
      <w:r>
        <w:rPr>
          <w:rFonts w:hint="eastAsia" w:ascii="Times New Roman" w:hAnsi="Times New Roman" w:eastAsia="宋体" w:cs="Times New Roman"/>
          <w:bCs/>
        </w:rPr>
        <w:t>、质量控制和质量保证</w:t>
      </w:r>
      <w:r>
        <w:tab/>
      </w:r>
      <w:r>
        <w:fldChar w:fldCharType="begin"/>
      </w:r>
      <w:r>
        <w:instrText xml:space="preserve"> PAGEREF _Toc1584 \h </w:instrText>
      </w:r>
      <w:r>
        <w:fldChar w:fldCharType="separate"/>
      </w:r>
      <w:r>
        <w:t>19</w:t>
      </w:r>
      <w:r>
        <w:fldChar w:fldCharType="end"/>
      </w:r>
      <w:r>
        <w:rPr>
          <w:rFonts w:ascii="Times New Roman" w:hAnsi="Times New Roman" w:eastAsia="宋体" w:cs="Times New Roman"/>
          <w:szCs w:val="24"/>
        </w:rPr>
        <w:fldChar w:fldCharType="end"/>
      </w:r>
    </w:p>
    <w:p>
      <w:pPr>
        <w:pStyle w:val="13"/>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_Toc27523 </w:instrText>
      </w:r>
      <w:r>
        <w:rPr>
          <w:rFonts w:ascii="Times New Roman" w:hAnsi="Times New Roman" w:eastAsia="宋体" w:cs="Times New Roman"/>
          <w:szCs w:val="24"/>
        </w:rPr>
        <w:fldChar w:fldCharType="separate"/>
      </w:r>
      <w:r>
        <w:rPr>
          <w:rFonts w:hint="eastAsia" w:ascii="Times New Roman" w:hAnsi="Times New Roman" w:eastAsia="宋体" w:cs="Times New Roman"/>
          <w:bCs/>
          <w:lang w:eastAsia="zh-CN"/>
        </w:rPr>
        <w:t>八、</w:t>
      </w:r>
      <w:r>
        <w:rPr>
          <w:rFonts w:hint="eastAsia" w:ascii="Times New Roman" w:hAnsi="Times New Roman" w:eastAsia="宋体" w:cs="Times New Roman"/>
          <w:bCs/>
          <w:lang w:val="en-US" w:eastAsia="zh-CN"/>
        </w:rPr>
        <w:t>监测点位图</w:t>
      </w:r>
      <w:r>
        <w:tab/>
      </w:r>
      <w:r>
        <w:fldChar w:fldCharType="begin"/>
      </w:r>
      <w:r>
        <w:instrText xml:space="preserve"> PAGEREF _Toc27523 \h </w:instrText>
      </w:r>
      <w:r>
        <w:fldChar w:fldCharType="separate"/>
      </w:r>
      <w:r>
        <w:t>20</w:t>
      </w:r>
      <w:r>
        <w:fldChar w:fldCharType="end"/>
      </w:r>
      <w:r>
        <w:rPr>
          <w:rFonts w:ascii="Times New Roman" w:hAnsi="Times New Roman" w:eastAsia="宋体" w:cs="Times New Roman"/>
          <w:szCs w:val="24"/>
        </w:rPr>
        <w:fldChar w:fldCharType="end"/>
      </w:r>
      <w:bookmarkStart w:id="31" w:name="_GoBack"/>
      <w:bookmarkEnd w:id="31"/>
    </w:p>
    <w:p>
      <w:pPr>
        <w:pStyle w:val="13"/>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_Toc24131 </w:instrText>
      </w:r>
      <w:r>
        <w:rPr>
          <w:rFonts w:ascii="Times New Roman" w:hAnsi="Times New Roman" w:eastAsia="宋体" w:cs="Times New Roman"/>
          <w:szCs w:val="24"/>
        </w:rPr>
        <w:fldChar w:fldCharType="separate"/>
      </w:r>
      <w:r>
        <w:rPr>
          <w:rFonts w:hint="eastAsia" w:ascii="Times New Roman" w:hAnsi="Times New Roman" w:eastAsia="宋体" w:cs="Times New Roman"/>
          <w:bCs/>
          <w:lang w:eastAsia="zh-CN"/>
        </w:rPr>
        <w:t>九、</w:t>
      </w:r>
      <w:r>
        <w:rPr>
          <w:rFonts w:hint="eastAsia" w:ascii="Times New Roman" w:hAnsi="Times New Roman" w:eastAsia="宋体" w:cs="Times New Roman"/>
          <w:bCs/>
          <w:lang w:val="en-US" w:eastAsia="zh-CN"/>
        </w:rPr>
        <w:t>监测数据分析</w:t>
      </w:r>
      <w:r>
        <w:tab/>
      </w:r>
      <w:r>
        <w:fldChar w:fldCharType="begin"/>
      </w:r>
      <w:r>
        <w:instrText xml:space="preserve"> PAGEREF _Toc24131 \h </w:instrText>
      </w:r>
      <w:r>
        <w:fldChar w:fldCharType="separate"/>
      </w:r>
      <w:r>
        <w:t>22</w:t>
      </w:r>
      <w:r>
        <w:fldChar w:fldCharType="end"/>
      </w:r>
      <w:r>
        <w:rPr>
          <w:rFonts w:ascii="Times New Roman" w:hAnsi="Times New Roman" w:eastAsia="宋体" w:cs="Times New Roman"/>
          <w:szCs w:val="24"/>
        </w:rPr>
        <w:fldChar w:fldCharType="end"/>
      </w:r>
    </w:p>
    <w:p>
      <w:pPr>
        <w:pStyle w:val="13"/>
        <w:tabs>
          <w:tab w:val="right" w:leader="dot" w:pos="8980"/>
        </w:tabs>
        <w:spacing w:line="360" w:lineRule="auto"/>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_Toc6152 </w:instrText>
      </w:r>
      <w:r>
        <w:rPr>
          <w:rFonts w:ascii="Times New Roman" w:hAnsi="Times New Roman" w:eastAsia="宋体" w:cs="Times New Roman"/>
          <w:szCs w:val="24"/>
        </w:rPr>
        <w:fldChar w:fldCharType="separate"/>
      </w:r>
      <w:r>
        <w:rPr>
          <w:rFonts w:hint="eastAsia" w:ascii="Times New Roman" w:hAnsi="Times New Roman" w:eastAsia="宋体" w:cs="Times New Roman"/>
          <w:bCs/>
          <w:lang w:eastAsia="zh-CN"/>
        </w:rPr>
        <w:t>十、</w:t>
      </w:r>
      <w:r>
        <w:rPr>
          <w:rFonts w:hint="eastAsia" w:ascii="Times New Roman" w:hAnsi="Times New Roman" w:eastAsia="宋体" w:cs="Times New Roman"/>
          <w:bCs/>
          <w:lang w:val="en-US" w:eastAsia="zh-CN"/>
        </w:rPr>
        <w:t>结论</w:t>
      </w:r>
      <w:r>
        <w:tab/>
      </w:r>
      <w:r>
        <w:fldChar w:fldCharType="begin"/>
      </w:r>
      <w:r>
        <w:instrText xml:space="preserve"> PAGEREF _Toc6152 \h </w:instrText>
      </w:r>
      <w:r>
        <w:fldChar w:fldCharType="separate"/>
      </w:r>
      <w:r>
        <w:t>28</w:t>
      </w:r>
      <w:r>
        <w:fldChar w:fldCharType="end"/>
      </w:r>
      <w:r>
        <w:rPr>
          <w:rFonts w:ascii="Times New Roman" w:hAnsi="Times New Roman" w:eastAsia="宋体" w:cs="Times New Roman"/>
          <w:szCs w:val="24"/>
        </w:rPr>
        <w:fldChar w:fldCharType="end"/>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imes New Roman" w:hAnsi="Times New Roman" w:eastAsia="宋体" w:cs="Times New Roman"/>
          <w:sz w:val="24"/>
          <w:szCs w:val="24"/>
        </w:rPr>
      </w:pPr>
      <w:r>
        <w:rPr>
          <w:rFonts w:ascii="Times New Roman" w:hAnsi="Times New Roman" w:eastAsia="宋体" w:cs="Times New Roman"/>
          <w:szCs w:val="24"/>
        </w:rPr>
        <w:fldChar w:fldCharType="end"/>
      </w:r>
    </w:p>
    <w:p>
      <w:pPr>
        <w:widowControl/>
        <w:spacing w:line="360" w:lineRule="auto"/>
        <w:jc w:val="left"/>
        <w:rPr>
          <w:rFonts w:ascii="Times New Roman" w:hAnsi="Times New Roman" w:eastAsia="宋体" w:cs="Times New Roman"/>
          <w:sz w:val="24"/>
          <w:szCs w:val="24"/>
        </w:rPr>
      </w:pPr>
    </w:p>
    <w:p>
      <w:pPr>
        <w:spacing w:line="400" w:lineRule="exact"/>
        <w:rPr>
          <w:rFonts w:ascii="Times New Roman" w:hAnsi="Times New Roman" w:eastAsia="宋体" w:cs="Times New Roman"/>
          <w:b/>
          <w:sz w:val="24"/>
          <w:szCs w:val="24"/>
        </w:rPr>
        <w:sectPr>
          <w:pgSz w:w="11906" w:h="16838"/>
          <w:pgMar w:top="1440" w:right="1463" w:bottom="1440" w:left="1463" w:header="851" w:footer="992" w:gutter="0"/>
          <w:pgNumType w:fmt="upperRoman" w:start="1"/>
          <w:cols w:space="720" w:num="1"/>
          <w:docGrid w:type="lines" w:linePitch="320" w:charSpace="0"/>
        </w:sectPr>
      </w:pPr>
    </w:p>
    <w:p>
      <w:pPr>
        <w:pStyle w:val="29"/>
        <w:tabs>
          <w:tab w:val="clear" w:pos="0"/>
        </w:tabs>
        <w:adjustRightInd/>
        <w:snapToGrid/>
        <w:spacing w:before="0" w:after="0" w:line="360" w:lineRule="auto"/>
        <w:rPr>
          <w:rFonts w:ascii="Times New Roman" w:hAnsi="Times New Roman" w:eastAsia="宋体" w:cs="Times New Roman"/>
          <w:b/>
          <w:bCs/>
          <w:color w:val="auto"/>
        </w:rPr>
      </w:pPr>
      <w:bookmarkStart w:id="4" w:name="_Toc8527"/>
      <w:r>
        <w:rPr>
          <w:rFonts w:hint="eastAsia" w:ascii="Times New Roman" w:hAnsi="Times New Roman" w:eastAsia="宋体" w:cs="Times New Roman"/>
          <w:b/>
          <w:bCs/>
          <w:color w:val="auto"/>
        </w:rPr>
        <w:t>一、前言</w:t>
      </w:r>
      <w:bookmarkEnd w:id="4"/>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sz w:val="24"/>
          <w:szCs w:val="24"/>
          <w:lang w:eastAsia="zh-CN"/>
        </w:rPr>
        <w:t>桐柏县垃圾卫生填埋场设计处理规模为日平均处理城市生活</w:t>
      </w:r>
      <w:r>
        <w:rPr>
          <w:rFonts w:hint="eastAsia" w:ascii="Times New Roman" w:hAnsi="Times New Roman" w:eastAsia="宋体" w:cs="Times New Roman"/>
          <w:sz w:val="24"/>
          <w:szCs w:val="24"/>
          <w:lang w:val="en-US" w:eastAsia="zh-CN"/>
        </w:rPr>
        <w:t>垃圾130t，</w:t>
      </w:r>
      <w:r>
        <w:rPr>
          <w:rFonts w:hint="eastAsia" w:ascii="Times New Roman" w:hAnsi="Times New Roman" w:eastAsia="宋体" w:cs="Times New Roman"/>
          <w:sz w:val="24"/>
          <w:szCs w:val="24"/>
          <w:lang w:eastAsia="zh-CN"/>
        </w:rPr>
        <w:t>填埋区总库容</w:t>
      </w:r>
      <w:r>
        <w:rPr>
          <w:rFonts w:hint="eastAsia" w:ascii="Times New Roman" w:hAnsi="Times New Roman" w:eastAsia="宋体" w:cs="Times New Roman"/>
          <w:sz w:val="24"/>
          <w:szCs w:val="24"/>
          <w:lang w:val="en-US" w:eastAsia="zh-CN"/>
        </w:rPr>
        <w:t>80.16</w:t>
      </w:r>
      <w:r>
        <w:rPr>
          <w:rFonts w:hint="eastAsia" w:ascii="Times New Roman" w:hAnsi="Times New Roman" w:eastAsia="宋体" w:cs="Times New Roman"/>
          <w:sz w:val="24"/>
          <w:szCs w:val="24"/>
          <w:lang w:eastAsia="zh-CN"/>
        </w:rPr>
        <w:t>万</w:t>
      </w:r>
      <w:r>
        <w:rPr>
          <w:rFonts w:hint="default" w:ascii="Times New Roman" w:hAnsi="Times New Roman" w:eastAsia="宋体" w:cs="Times New Roman"/>
          <w:sz w:val="24"/>
          <w:szCs w:val="24"/>
          <w:lang w:eastAsia="zh-CN"/>
        </w:rPr>
        <w:t>m</w:t>
      </w:r>
      <w:r>
        <w:rPr>
          <w:rFonts w:hint="default"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主要建设有垃圾卫生填埋一座、渗滤液处理及辅助生产设施等；垃圾坝一座，分区坝一座，截污坝一座</w:t>
      </w:r>
      <w:r>
        <w:rPr>
          <w:rFonts w:hint="eastAsia" w:ascii="Times New Roman" w:hAnsi="Times New Roman" w:eastAsia="宋体" w:cs="Times New Roman"/>
          <w:color w:val="auto"/>
          <w:sz w:val="24"/>
          <w:szCs w:val="24"/>
          <w:lang w:val="en-US" w:eastAsia="zh-CN"/>
        </w:rPr>
        <w:t>。其</w:t>
      </w:r>
      <w:r>
        <w:rPr>
          <w:rFonts w:hint="eastAsia" w:ascii="Times New Roman" w:hAnsi="Times New Roman" w:eastAsia="宋体" w:cs="Times New Roman"/>
          <w:color w:val="auto"/>
          <w:sz w:val="24"/>
          <w:szCs w:val="24"/>
          <w:lang w:eastAsia="zh-CN"/>
        </w:rPr>
        <w:t>设计使用年限为14年。起始规模</w:t>
      </w:r>
      <w:r>
        <w:rPr>
          <w:rFonts w:hint="eastAsia" w:ascii="Times New Roman" w:hAnsi="Times New Roman" w:eastAsia="宋体" w:cs="Times New Roman"/>
          <w:color w:val="auto"/>
          <w:sz w:val="24"/>
          <w:szCs w:val="24"/>
          <w:lang w:val="en-US" w:eastAsia="zh-CN"/>
        </w:rPr>
        <w:t>92.14t/d</w:t>
      </w:r>
      <w:r>
        <w:rPr>
          <w:rFonts w:hint="eastAsia" w:ascii="Times New Roman" w:hAnsi="Times New Roman" w:eastAsia="宋体" w:cs="Times New Roman"/>
          <w:color w:val="auto"/>
          <w:sz w:val="24"/>
          <w:szCs w:val="24"/>
          <w:lang w:eastAsia="zh-CN"/>
        </w:rPr>
        <w:t>，封场规模</w:t>
      </w:r>
      <w:r>
        <w:rPr>
          <w:rFonts w:hint="eastAsia" w:ascii="Times New Roman" w:hAnsi="Times New Roman" w:eastAsia="宋体" w:cs="Times New Roman"/>
          <w:color w:val="auto"/>
          <w:sz w:val="24"/>
          <w:szCs w:val="24"/>
          <w:lang w:val="en-US" w:eastAsia="zh-CN"/>
        </w:rPr>
        <w:t>173.49t/d</w:t>
      </w:r>
      <w:r>
        <w:rPr>
          <w:rFonts w:hint="eastAsia" w:ascii="Times New Roman" w:hAnsi="Times New Roman" w:eastAsia="宋体" w:cs="Times New Roman"/>
          <w:color w:val="auto"/>
          <w:sz w:val="24"/>
          <w:szCs w:val="24"/>
          <w:lang w:eastAsia="zh-CN"/>
        </w:rPr>
        <w:t>，总投资</w:t>
      </w:r>
      <w:r>
        <w:rPr>
          <w:rFonts w:hint="eastAsia" w:ascii="Times New Roman" w:hAnsi="Times New Roman" w:eastAsia="宋体" w:cs="Times New Roman"/>
          <w:color w:val="auto"/>
          <w:sz w:val="24"/>
          <w:szCs w:val="24"/>
          <w:lang w:val="en-US" w:eastAsia="zh-CN"/>
        </w:rPr>
        <w:t>2431</w:t>
      </w:r>
      <w:r>
        <w:rPr>
          <w:rFonts w:hint="eastAsia" w:ascii="Times New Roman" w:hAnsi="Times New Roman" w:eastAsia="宋体" w:cs="Times New Roman"/>
          <w:color w:val="auto"/>
          <w:sz w:val="24"/>
          <w:szCs w:val="24"/>
          <w:lang w:eastAsia="zh-CN"/>
        </w:rPr>
        <w:t>万元。工程于2007年</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月开工建设、</w:t>
      </w:r>
      <w:r>
        <w:rPr>
          <w:rFonts w:hint="eastAsia" w:ascii="Times New Roman" w:hAnsi="Times New Roman" w:eastAsia="宋体" w:cs="Times New Roman"/>
          <w:color w:val="auto"/>
          <w:sz w:val="24"/>
          <w:szCs w:val="24"/>
          <w:lang w:val="en-US" w:eastAsia="zh-CN"/>
        </w:rPr>
        <w:t>2007</w:t>
      </w:r>
      <w:r>
        <w:rPr>
          <w:rFonts w:hint="eastAsia"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11月</w:t>
      </w:r>
      <w:r>
        <w:rPr>
          <w:rFonts w:hint="eastAsia" w:ascii="Times New Roman" w:hAnsi="Times New Roman" w:eastAsia="宋体" w:cs="Times New Roman"/>
          <w:color w:val="auto"/>
          <w:sz w:val="24"/>
          <w:szCs w:val="24"/>
          <w:lang w:eastAsia="zh-CN"/>
        </w:rPr>
        <w:t>建成并投入试运行。</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贯彻落实《南阳市生态环境局办公室关于下达2022年度土壤污染重点监管单位监测任务的通知》宛环办（2022）6号文及附件要求，结合《南阳市生态环境局关于印发2022年南阳市生态环境局监测方案的要求》，我公司按照《工业企业土壤和地下水自行监测技术指南（实行）》(HJ1209-2021)要求开展自行监测。</w:t>
      </w:r>
    </w:p>
    <w:p>
      <w:pPr>
        <w:pStyle w:val="29"/>
        <w:tabs>
          <w:tab w:val="clear" w:pos="0"/>
        </w:tabs>
        <w:adjustRightInd/>
        <w:snapToGrid/>
        <w:spacing w:before="0" w:after="0" w:line="360" w:lineRule="auto"/>
        <w:rPr>
          <w:rFonts w:ascii="Times New Roman" w:hAnsi="Times New Roman" w:eastAsia="宋体" w:cs="Times New Roman"/>
          <w:b/>
          <w:bCs/>
          <w:color w:val="auto"/>
        </w:rPr>
      </w:pPr>
      <w:bookmarkStart w:id="5" w:name="_Toc24325"/>
      <w:r>
        <w:rPr>
          <w:rFonts w:hint="eastAsia" w:ascii="Times New Roman" w:hAnsi="Times New Roman" w:eastAsia="宋体" w:cs="Times New Roman"/>
          <w:b/>
          <w:bCs/>
          <w:color w:val="auto"/>
        </w:rPr>
        <w:t>二、编制依据</w:t>
      </w:r>
      <w:bookmarkEnd w:id="5"/>
    </w:p>
    <w:p>
      <w:pPr>
        <w:pStyle w:val="4"/>
        <w:spacing w:before="0" w:after="0" w:line="360" w:lineRule="auto"/>
        <w:rPr>
          <w:rFonts w:ascii="Times New Roman" w:hAnsi="Times New Roman" w:eastAsia="宋体" w:cs="Times New Roman"/>
          <w:b/>
        </w:rPr>
      </w:pPr>
      <w:bookmarkStart w:id="6" w:name="_Toc528246144"/>
      <w:bookmarkStart w:id="7" w:name="_Toc16243"/>
      <w:r>
        <w:rPr>
          <w:rFonts w:hint="eastAsia" w:ascii="Times New Roman" w:hAnsi="Times New Roman" w:eastAsia="宋体" w:cs="Times New Roman"/>
          <w:b/>
        </w:rPr>
        <w:t>2.1法律法规</w:t>
      </w:r>
      <w:bookmarkEnd w:id="6"/>
      <w:bookmarkEnd w:id="7"/>
    </w:p>
    <w:p>
      <w:pPr>
        <w:tabs>
          <w:tab w:val="left" w:pos="420"/>
        </w:tabs>
        <w:spacing w:line="360" w:lineRule="auto"/>
        <w:ind w:left="480"/>
        <w:rPr>
          <w:rFonts w:ascii="Times New Roman" w:hAnsi="Times New Roman" w:eastAsia="宋体" w:cs="Times New Roman"/>
          <w:sz w:val="24"/>
          <w:szCs w:val="24"/>
        </w:rPr>
      </w:pPr>
      <w:bookmarkStart w:id="8" w:name="_Toc528246145"/>
      <w:r>
        <w:rPr>
          <w:rFonts w:ascii="Times New Roman" w:hAnsi="Times New Roman" w:eastAsia="宋体" w:cs="Times New Roman"/>
          <w:sz w:val="24"/>
          <w:szCs w:val="24"/>
        </w:rPr>
        <w:t>（1）《中华人民共和国环境保护法》（2015.1.1）；</w:t>
      </w:r>
    </w:p>
    <w:p>
      <w:pPr>
        <w:tabs>
          <w:tab w:val="left" w:pos="420"/>
        </w:tabs>
        <w:spacing w:line="360" w:lineRule="auto"/>
        <w:ind w:left="480"/>
        <w:rPr>
          <w:rFonts w:ascii="Times New Roman" w:hAnsi="Times New Roman" w:eastAsia="宋体" w:cs="Times New Roman"/>
          <w:sz w:val="24"/>
          <w:szCs w:val="24"/>
        </w:rPr>
      </w:pPr>
      <w:r>
        <w:rPr>
          <w:rFonts w:ascii="Times New Roman" w:hAnsi="Times New Roman" w:eastAsia="宋体" w:cs="Times New Roman"/>
          <w:sz w:val="24"/>
          <w:szCs w:val="24"/>
        </w:rPr>
        <w:t>（2）《中华人民共和国固体废物污染环境防治法》（2016.11.7）；</w:t>
      </w:r>
    </w:p>
    <w:p>
      <w:pPr>
        <w:tabs>
          <w:tab w:val="left" w:pos="420"/>
        </w:tabs>
        <w:spacing w:line="360" w:lineRule="auto"/>
        <w:ind w:left="480"/>
        <w:rPr>
          <w:rFonts w:ascii="Times New Roman" w:hAnsi="Times New Roman" w:eastAsia="宋体" w:cs="Times New Roman"/>
          <w:sz w:val="24"/>
          <w:szCs w:val="24"/>
        </w:rPr>
      </w:pPr>
      <w:r>
        <w:rPr>
          <w:rFonts w:ascii="Times New Roman" w:hAnsi="Times New Roman" w:eastAsia="宋体" w:cs="Times New Roman"/>
          <w:sz w:val="24"/>
          <w:szCs w:val="24"/>
        </w:rPr>
        <w:t>（3）《中华人民共和国土壤污染防治法》（2019.1.1）；</w:t>
      </w:r>
    </w:p>
    <w:p>
      <w:pPr>
        <w:tabs>
          <w:tab w:val="left" w:pos="420"/>
        </w:tabs>
        <w:spacing w:line="360" w:lineRule="auto"/>
        <w:ind w:left="480"/>
        <w:rPr>
          <w:rFonts w:ascii="Times New Roman" w:hAnsi="Times New Roman" w:eastAsia="宋体" w:cs="Times New Roman"/>
          <w:sz w:val="24"/>
          <w:szCs w:val="24"/>
        </w:rPr>
      </w:pPr>
      <w:r>
        <w:rPr>
          <w:rFonts w:ascii="Times New Roman" w:hAnsi="Times New Roman" w:eastAsia="宋体" w:cs="Times New Roman"/>
          <w:sz w:val="24"/>
          <w:szCs w:val="24"/>
        </w:rPr>
        <w:t>（4）《中华人民共和国土地管理法》（2004.8.28）。</w:t>
      </w:r>
    </w:p>
    <w:p>
      <w:pPr>
        <w:pStyle w:val="4"/>
        <w:spacing w:before="0" w:after="0" w:line="360" w:lineRule="auto"/>
        <w:rPr>
          <w:rFonts w:ascii="Times New Roman" w:hAnsi="Times New Roman" w:eastAsia="宋体" w:cs="Times New Roman"/>
          <w:b/>
        </w:rPr>
      </w:pPr>
      <w:bookmarkStart w:id="9" w:name="_Toc25194"/>
      <w:r>
        <w:rPr>
          <w:rFonts w:hint="eastAsia" w:ascii="Times New Roman" w:hAnsi="Times New Roman" w:eastAsia="宋体" w:cs="Times New Roman"/>
          <w:b/>
        </w:rPr>
        <w:t>2.2</w:t>
      </w:r>
      <w:r>
        <w:rPr>
          <w:rFonts w:ascii="Times New Roman" w:hAnsi="Times New Roman" w:eastAsia="宋体" w:cs="Times New Roman"/>
          <w:b/>
        </w:rPr>
        <w:t>导则、规范</w:t>
      </w:r>
      <w:r>
        <w:rPr>
          <w:rFonts w:hint="eastAsia" w:ascii="Times New Roman" w:hAnsi="Times New Roman" w:eastAsia="宋体" w:cs="Times New Roman"/>
          <w:b/>
        </w:rPr>
        <w:t>及标准</w:t>
      </w:r>
      <w:bookmarkEnd w:id="8"/>
      <w:bookmarkEnd w:id="9"/>
    </w:p>
    <w:p>
      <w:pPr>
        <w:tabs>
          <w:tab w:val="left" w:pos="420"/>
        </w:tabs>
        <w:spacing w:line="360" w:lineRule="auto"/>
        <w:ind w:left="480"/>
        <w:rPr>
          <w:rFonts w:hint="eastAsia" w:ascii="Times New Roman" w:hAnsi="Times New Roman" w:eastAsia="宋体" w:cs="Times New Roman"/>
          <w:sz w:val="24"/>
          <w:szCs w:val="24"/>
          <w:lang w:eastAsia="zh-CN"/>
        </w:rPr>
      </w:pPr>
      <w:bookmarkStart w:id="10" w:name="_Toc528246146"/>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《国家重点监控企业自行监测及信息公开办法（试行）》</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《排污单位自行监测技术指南总则》（HJ819-2017）</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val="en-GB"/>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GB"/>
        </w:rPr>
        <w:t>《</w:t>
      </w:r>
      <w:r>
        <w:rPr>
          <w:rFonts w:hint="eastAsia" w:ascii="Times New Roman" w:hAnsi="Times New Roman" w:eastAsia="宋体" w:cs="Times New Roman"/>
          <w:sz w:val="24"/>
          <w:szCs w:val="24"/>
          <w:lang w:eastAsia="zh-CN"/>
        </w:rPr>
        <w:t>工业企业土壤和地下水自行监测技术指南》（试行）（</w:t>
      </w:r>
      <w:r>
        <w:rPr>
          <w:rFonts w:hint="eastAsia" w:ascii="Times New Roman" w:hAnsi="Times New Roman" w:eastAsia="宋体" w:cs="Times New Roman"/>
          <w:sz w:val="24"/>
          <w:szCs w:val="24"/>
          <w:lang w:val="en-US" w:eastAsia="zh-CN"/>
        </w:rPr>
        <w:t>HJ 1209-2021</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4、《重点监管单位土壤污染隐患排查指南（试行）》；</w:t>
      </w:r>
    </w:p>
    <w:p>
      <w:pPr>
        <w:tabs>
          <w:tab w:val="left" w:pos="420"/>
        </w:tabs>
        <w:spacing w:line="360" w:lineRule="auto"/>
        <w:ind w:left="48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土壤环境质量建设用地土壤污染风险管控标准（试行）</w:t>
      </w:r>
      <w:r>
        <w:rPr>
          <w:rFonts w:hint="eastAsia" w:ascii="Times New Roman" w:hAnsi="Times New Roman" w:eastAsia="宋体" w:cs="Times New Roman"/>
          <w:sz w:val="24"/>
          <w:szCs w:val="24"/>
        </w:rPr>
        <w:t>》（GB</w:t>
      </w:r>
      <w:r>
        <w:rPr>
          <w:rFonts w:hint="eastAsia" w:ascii="Times New Roman" w:hAnsi="Times New Roman" w:eastAsia="宋体" w:cs="Times New Roman"/>
          <w:sz w:val="24"/>
          <w:szCs w:val="24"/>
          <w:lang w:val="en-US" w:eastAsia="zh-CN"/>
        </w:rPr>
        <w:t>36600</w:t>
      </w:r>
      <w:r>
        <w:rPr>
          <w:rFonts w:hint="eastAsia"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8）</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地下水质量标准</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GB/T 14848</w:t>
      </w:r>
      <w:r>
        <w:rPr>
          <w:rFonts w:hint="eastAsia" w:ascii="Times New Roman" w:hAnsi="Times New Roman" w:eastAsia="宋体" w:cs="Times New Roman"/>
          <w:sz w:val="24"/>
          <w:szCs w:val="24"/>
          <w:lang w:eastAsia="zh-CN"/>
        </w:rPr>
        <w:t>）；</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7、《生活垃圾填埋场污染控制标准》（GB16889-2008）；</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8、《建设用地土壤污染风险管控和修复监测技术导则》（HJ 25.2-2019）；</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9、《土壤环境监测技术规范》（HJ/T 166-2004）；</w:t>
      </w:r>
    </w:p>
    <w:p>
      <w:pPr>
        <w:tabs>
          <w:tab w:val="left" w:pos="420"/>
        </w:tabs>
        <w:spacing w:line="360" w:lineRule="auto"/>
        <w:ind w:left="48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10、《地下水环境监测技术规范》（HJ 164-2020）；</w:t>
      </w:r>
    </w:p>
    <w:p>
      <w:pPr>
        <w:tabs>
          <w:tab w:val="left" w:pos="420"/>
        </w:tabs>
        <w:spacing w:line="360" w:lineRule="auto"/>
        <w:ind w:left="48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11、《地块土壤和地下水中挥发性有机物采样技术导则》 （</w:t>
      </w:r>
      <w:r>
        <w:rPr>
          <w:rFonts w:hint="default" w:ascii="Times New Roman" w:hAnsi="Times New Roman" w:eastAsia="宋体" w:cs="Times New Roman"/>
          <w:sz w:val="24"/>
          <w:szCs w:val="24"/>
          <w:lang w:val="en-US" w:eastAsia="zh-CN"/>
        </w:rPr>
        <w:t>HJ 1019</w:t>
      </w:r>
      <w:r>
        <w:rPr>
          <w:rFonts w:hint="eastAsia" w:ascii="Times New Roman" w:hAnsi="Times New Roman" w:eastAsia="宋体" w:cs="Times New Roman"/>
          <w:sz w:val="24"/>
          <w:szCs w:val="24"/>
          <w:lang w:val="en-US" w:eastAsia="zh-CN"/>
        </w:rPr>
        <w:t>）。</w:t>
      </w:r>
    </w:p>
    <w:bookmarkEnd w:id="10"/>
    <w:p>
      <w:pPr>
        <w:pStyle w:val="29"/>
        <w:tabs>
          <w:tab w:val="clear" w:pos="0"/>
        </w:tabs>
        <w:adjustRightInd/>
        <w:snapToGrid/>
        <w:spacing w:before="0" w:after="0" w:line="360" w:lineRule="auto"/>
        <w:rPr>
          <w:rFonts w:ascii="Times New Roman" w:hAnsi="Times New Roman" w:eastAsia="宋体" w:cs="Times New Roman"/>
          <w:b/>
          <w:bCs/>
          <w:color w:val="auto"/>
        </w:rPr>
      </w:pPr>
      <w:bookmarkStart w:id="11" w:name="_Toc14832"/>
      <w:r>
        <w:rPr>
          <w:rFonts w:hint="eastAsia" w:ascii="Times New Roman" w:hAnsi="Times New Roman" w:eastAsia="宋体" w:cs="Times New Roman"/>
          <w:b/>
          <w:bCs/>
          <w:color w:val="auto"/>
        </w:rPr>
        <w:t>三、场地自然概况</w:t>
      </w:r>
      <w:bookmarkEnd w:id="11"/>
    </w:p>
    <w:p>
      <w:pPr>
        <w:pStyle w:val="4"/>
        <w:spacing w:before="0" w:after="0" w:line="360" w:lineRule="auto"/>
        <w:rPr>
          <w:rFonts w:ascii="Times New Roman" w:hAnsi="Times New Roman" w:eastAsia="宋体" w:cs="Times New Roman"/>
          <w:b/>
        </w:rPr>
      </w:pPr>
      <w:bookmarkStart w:id="12" w:name="_Toc528246148"/>
      <w:bookmarkStart w:id="13" w:name="_Toc2699"/>
      <w:r>
        <w:rPr>
          <w:rFonts w:hint="eastAsia" w:ascii="Times New Roman" w:hAnsi="Times New Roman" w:eastAsia="宋体" w:cs="Times New Roman"/>
          <w:b/>
        </w:rPr>
        <w:t>3.1地理位置</w:t>
      </w:r>
      <w:bookmarkEnd w:id="12"/>
      <w:bookmarkEnd w:id="13"/>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桐柏县垃圾卫生填埋场场址位于</w:t>
      </w:r>
      <w:r>
        <w:rPr>
          <w:rFonts w:hint="eastAsia" w:ascii="Times New Roman" w:hAnsi="Times New Roman" w:eastAsia="宋体" w:cs="Times New Roman"/>
          <w:sz w:val="24"/>
          <w:szCs w:val="24"/>
          <w:lang w:val="en-US" w:eastAsia="zh-CN"/>
        </w:rPr>
        <w:t>桐柏县城以北，距城区约10公里处，大河镇峡山村</w:t>
      </w:r>
      <w:r>
        <w:rPr>
          <w:rFonts w:hint="eastAsia" w:ascii="Times New Roman" w:hAnsi="Times New Roman" w:eastAsia="宋体" w:cs="Times New Roman"/>
          <w:sz w:val="24"/>
          <w:szCs w:val="24"/>
          <w:lang w:eastAsia="zh-CN"/>
        </w:rPr>
        <w:t>，占地面积</w:t>
      </w:r>
      <w:r>
        <w:rPr>
          <w:rFonts w:hint="eastAsia" w:ascii="Times New Roman" w:hAnsi="Times New Roman" w:eastAsia="宋体" w:cs="Times New Roman"/>
          <w:sz w:val="24"/>
          <w:szCs w:val="24"/>
          <w:lang w:val="en-US" w:eastAsia="zh-CN"/>
        </w:rPr>
        <w:t>88.64</w:t>
      </w:r>
      <w:r>
        <w:rPr>
          <w:rFonts w:hint="eastAsia" w:ascii="Times New Roman" w:hAnsi="Times New Roman" w:eastAsia="宋体" w:cs="Times New Roman"/>
          <w:sz w:val="24"/>
          <w:szCs w:val="24"/>
          <w:lang w:eastAsia="zh-CN"/>
        </w:rPr>
        <w:t>亩。填埋场类型为平原地坑型填埋场，填埋库区设计为</w:t>
      </w:r>
      <w:r>
        <w:rPr>
          <w:rFonts w:hint="eastAsia" w:ascii="Times New Roman" w:hAnsi="Times New Roman" w:eastAsia="宋体" w:cs="Times New Roman"/>
          <w:sz w:val="24"/>
          <w:szCs w:val="24"/>
          <w:lang w:val="en-US" w:eastAsia="zh-CN"/>
        </w:rPr>
        <w:t>长约400米，平均沟宽约70米，最大沟深60米</w:t>
      </w:r>
      <w:r>
        <w:rPr>
          <w:rFonts w:hint="eastAsia" w:ascii="Times New Roman" w:hAnsi="Times New Roman" w:eastAsia="宋体" w:cs="Times New Roman"/>
          <w:sz w:val="24"/>
          <w:szCs w:val="24"/>
          <w:lang w:eastAsia="zh-CN"/>
        </w:rPr>
        <w:t>。</w:t>
      </w:r>
    </w:p>
    <w:p>
      <w:pPr>
        <w:spacing w:line="360" w:lineRule="auto"/>
        <w:ind w:firstLine="480" w:firstLineChars="200"/>
        <w:rPr>
          <w:rFonts w:ascii="Times New Roman" w:hAnsi="Times New Roman" w:eastAsia="宋体" w:cs="Times New Roman"/>
          <w:color w:val="0000FF"/>
          <w:sz w:val="24"/>
          <w:szCs w:val="24"/>
        </w:rPr>
      </w:pPr>
      <w:r>
        <w:rPr>
          <w:rFonts w:hint="eastAsia" w:ascii="Times New Roman" w:hAnsi="Times New Roman" w:eastAsia="宋体" w:cs="Times New Roman"/>
          <w:sz w:val="24"/>
          <w:szCs w:val="24"/>
          <w:lang w:eastAsia="zh-CN"/>
        </w:rPr>
        <w:t>桐柏县垃圾卫生填埋场</w:t>
      </w:r>
      <w:r>
        <w:rPr>
          <w:rFonts w:hint="eastAsia" w:ascii="Times New Roman" w:hAnsi="Times New Roman" w:eastAsia="宋体" w:cs="Times New Roman"/>
          <w:sz w:val="24"/>
          <w:szCs w:val="24"/>
        </w:rPr>
        <w:t>位于</w:t>
      </w:r>
      <w:r>
        <w:rPr>
          <w:rFonts w:hint="eastAsia" w:ascii="Times New Roman" w:hAnsi="Times New Roman" w:eastAsia="宋体" w:cs="Times New Roman"/>
          <w:sz w:val="24"/>
          <w:szCs w:val="24"/>
          <w:lang w:val="en-US" w:eastAsia="zh-CN"/>
        </w:rPr>
        <w:t>桐柏县城以北，距城区约10公里处，大河镇峡山村</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该渗滤液处理站设计规模为50吨/日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场地四周为</w:t>
      </w:r>
      <w:r>
        <w:rPr>
          <w:rFonts w:hint="eastAsia" w:ascii="Times New Roman" w:hAnsi="Times New Roman" w:eastAsia="宋体" w:cs="Times New Roman"/>
          <w:color w:val="auto"/>
          <w:sz w:val="24"/>
          <w:szCs w:val="24"/>
          <w:lang w:val="en-US" w:eastAsia="zh-CN"/>
        </w:rPr>
        <w:t>空地</w:t>
      </w:r>
      <w:r>
        <w:rPr>
          <w:rFonts w:hint="eastAsia" w:ascii="Times New Roman" w:hAnsi="Times New Roman" w:eastAsia="宋体" w:cs="Times New Roman"/>
          <w:color w:val="auto"/>
          <w:sz w:val="24"/>
          <w:szCs w:val="24"/>
        </w:rPr>
        <w:t>。场地中心地理坐标为</w:t>
      </w:r>
      <w:r>
        <w:rPr>
          <w:rFonts w:ascii="Times New Roman" w:hAnsi="Times New Roman" w:eastAsia="宋体" w:cs="Times New Roman"/>
          <w:color w:val="auto"/>
          <w:sz w:val="24"/>
          <w:szCs w:val="24"/>
        </w:rPr>
        <w:t>东经</w:t>
      </w:r>
      <w:r>
        <w:rPr>
          <w:rFonts w:hint="eastAsia" w:ascii="Times New Roman" w:hAnsi="Times New Roman" w:eastAsia="宋体" w:cs="Times New Roman"/>
          <w:color w:val="auto"/>
          <w:sz w:val="24"/>
          <w:szCs w:val="24"/>
          <w:lang w:val="en-US" w:eastAsia="zh-CN"/>
        </w:rPr>
        <w:t>113.418936</w:t>
      </w:r>
      <w:r>
        <w:rPr>
          <w:rFonts w:ascii="Times New Roman" w:hAnsi="Times New Roman" w:eastAsia="宋体" w:cs="Times New Roman"/>
          <w:color w:val="auto"/>
          <w:sz w:val="24"/>
          <w:szCs w:val="24"/>
        </w:rPr>
        <w:t>°，北纬</w:t>
      </w:r>
      <w:r>
        <w:rPr>
          <w:rFonts w:hint="eastAsia" w:ascii="Times New Roman" w:hAnsi="Times New Roman" w:eastAsia="宋体" w:cs="Times New Roman"/>
          <w:color w:val="auto"/>
          <w:sz w:val="24"/>
          <w:szCs w:val="24"/>
          <w:lang w:val="en-US" w:eastAsia="zh-CN"/>
        </w:rPr>
        <w:t>32.461425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场地地理位置见图3-1。</w:t>
      </w:r>
    </w:p>
    <w:p>
      <w:pPr>
        <w:spacing w:line="360" w:lineRule="auto"/>
        <w:ind w:firstLine="480" w:firstLineChars="200"/>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sz w:val="24"/>
          <w:szCs w:val="24"/>
          <w:lang w:eastAsia="zh-CN"/>
        </w:rPr>
        <w:drawing>
          <wp:anchor distT="0" distB="0" distL="114935" distR="114935" simplePos="0" relativeHeight="251663360" behindDoc="1" locked="0" layoutInCell="1" allowOverlap="1">
            <wp:simplePos x="0" y="0"/>
            <wp:positionH relativeFrom="column">
              <wp:posOffset>-226695</wp:posOffset>
            </wp:positionH>
            <wp:positionV relativeFrom="paragraph">
              <wp:posOffset>163195</wp:posOffset>
            </wp:positionV>
            <wp:extent cx="5901690" cy="4133215"/>
            <wp:effectExtent l="0" t="0" r="3810" b="635"/>
            <wp:wrapNone/>
            <wp:docPr id="4" name="图片 4" descr="1569137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69137157(1)"/>
                    <pic:cNvPicPr>
                      <a:picLocks noChangeAspect="1"/>
                    </pic:cNvPicPr>
                  </pic:nvPicPr>
                  <pic:blipFill>
                    <a:blip r:embed="rId7"/>
                    <a:stretch>
                      <a:fillRect/>
                    </a:stretch>
                  </pic:blipFill>
                  <pic:spPr>
                    <a:xfrm>
                      <a:off x="0" y="0"/>
                      <a:ext cx="5901690" cy="4133215"/>
                    </a:xfrm>
                    <a:prstGeom prst="rect">
                      <a:avLst/>
                    </a:prstGeom>
                  </pic:spPr>
                </pic:pic>
              </a:graphicData>
            </a:graphic>
          </wp:anchor>
        </w:drawing>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color w:val="0000FF"/>
          <w:sz w:val="24"/>
          <w:szCs w:val="24"/>
          <w:lang w:val="en-US" w:eastAsia="zh-CN"/>
        </w:rPr>
        <w:t xml:space="preserve">  </w:t>
      </w: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r>
        <w:rPr>
          <w:rFonts w:ascii="Times New Roman" w:hAnsi="Times New Roman" w:eastAsia="宋体" w:cs="Times New Roman"/>
          <w:sz w:val="24"/>
        </w:rPr>
        <mc:AlternateContent>
          <mc:Choice Requires="wps">
            <w:drawing>
              <wp:anchor distT="0" distB="0" distL="114300" distR="114300" simplePos="0" relativeHeight="251660288" behindDoc="0" locked="0" layoutInCell="1" allowOverlap="1">
                <wp:simplePos x="0" y="0"/>
                <wp:positionH relativeFrom="column">
                  <wp:posOffset>2331085</wp:posOffset>
                </wp:positionH>
                <wp:positionV relativeFrom="paragraph">
                  <wp:posOffset>74930</wp:posOffset>
                </wp:positionV>
                <wp:extent cx="510540" cy="262890"/>
                <wp:effectExtent l="4445" t="4445" r="18415" b="75565"/>
                <wp:wrapNone/>
                <wp:docPr id="1" name="自选图形 14"/>
                <wp:cNvGraphicFramePr/>
                <a:graphic xmlns:a="http://schemas.openxmlformats.org/drawingml/2006/main">
                  <a:graphicData uri="http://schemas.microsoft.com/office/word/2010/wordprocessingShape">
                    <wps:wsp>
                      <wps:cNvSpPr/>
                      <wps:spPr>
                        <a:xfrm>
                          <a:off x="0" y="0"/>
                          <a:ext cx="510540" cy="262890"/>
                        </a:xfrm>
                        <a:prstGeom prst="wedgeRectCallout">
                          <a:avLst>
                            <a:gd name="adj1" fmla="val -43750"/>
                            <a:gd name="adj2" fmla="val 70000"/>
                          </a:avLst>
                        </a:prstGeom>
                        <a:noFill/>
                        <a:ln w="9525" cap="flat" cmpd="sng">
                          <a:solidFill>
                            <a:srgbClr val="FF0000"/>
                          </a:solidFill>
                          <a:prstDash val="solid"/>
                          <a:miter/>
                          <a:headEnd type="none" w="med" len="med"/>
                          <a:tailEnd type="none" w="med" len="med"/>
                        </a:ln>
                      </wps:spPr>
                      <wps:txbx>
                        <w:txbxContent>
                          <w:p>
                            <w:pPr>
                              <w:rPr>
                                <w:rFonts w:hint="eastAsia" w:eastAsiaTheme="minorEastAsia"/>
                                <w:color w:val="FF0000"/>
                                <w:sz w:val="15"/>
                                <w:szCs w:val="15"/>
                                <w:lang w:val="en-US" w:eastAsia="zh-CN"/>
                              </w:rPr>
                            </w:pPr>
                            <w:r>
                              <w:rPr>
                                <w:rFonts w:hint="eastAsia"/>
                                <w:color w:val="FF0000"/>
                                <w:sz w:val="15"/>
                                <w:szCs w:val="15"/>
                                <w:lang w:val="en-US" w:eastAsia="zh-CN"/>
                              </w:rPr>
                              <w:t>本项目</w:t>
                            </w:r>
                          </w:p>
                        </w:txbxContent>
                      </wps:txbx>
                      <wps:bodyPr upright="1"/>
                    </wps:wsp>
                  </a:graphicData>
                </a:graphic>
              </wp:anchor>
            </w:drawing>
          </mc:Choice>
          <mc:Fallback>
            <w:pict>
              <v:shape id="自选图形 14" o:spid="_x0000_s1026" o:spt="61" type="#_x0000_t61" style="position:absolute;left:0pt;margin-left:183.55pt;margin-top:5.9pt;height:20.7pt;width:40.2pt;z-index:251660288;mso-width-relative:page;mso-height-relative:page;" filled="f" stroked="t" coordsize="21600,21600" o:gfxdata="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ponq1gAAAAkBAAAPAAAAAAAAAAEAIAAAACIAAABkcnMvZG93bnJldi54&#10;bWxQSwECFAAUAAAACACHTuJA6t5EsDUCAABkBAAADgAAAAAAAAABACAAAAAlAQAAZHJzL2Uyb0Rv&#10;Yy54bWxQSwUGAAAAAAYABgBZAQAAzAUAAAAA&#10;" adj="1350,25920">
                <v:fill on="f" focussize="0,0"/>
                <v:stroke color="#FF0000" joinstyle="miter"/>
                <v:imagedata o:title=""/>
                <o:lock v:ext="edit" aspectratio="f"/>
                <v:textbox>
                  <w:txbxContent>
                    <w:p>
                      <w:pPr>
                        <w:rPr>
                          <w:rFonts w:hint="eastAsia" w:eastAsiaTheme="minorEastAsia"/>
                          <w:color w:val="FF0000"/>
                          <w:sz w:val="15"/>
                          <w:szCs w:val="15"/>
                          <w:lang w:val="en-US" w:eastAsia="zh-CN"/>
                        </w:rPr>
                      </w:pPr>
                      <w:r>
                        <w:rPr>
                          <w:rFonts w:hint="eastAsia"/>
                          <w:color w:val="FF0000"/>
                          <w:sz w:val="15"/>
                          <w:szCs w:val="15"/>
                          <w:lang w:val="en-US" w:eastAsia="zh-CN"/>
                        </w:rPr>
                        <w:t>本项目</w:t>
                      </w:r>
                    </w:p>
                  </w:txbxContent>
                </v:textbox>
              </v:shape>
            </w:pict>
          </mc:Fallback>
        </mc:AlternateContent>
      </w:r>
    </w:p>
    <w:p>
      <w:pPr>
        <w:spacing w:line="360" w:lineRule="auto"/>
        <w:ind w:firstLine="480" w:firstLineChars="200"/>
        <w:rPr>
          <w:rFonts w:hint="eastAsia" w:ascii="Times New Roman" w:hAnsi="Times New Roman" w:eastAsia="宋体" w:cs="Times New Roman"/>
          <w:color w:val="0000FF"/>
          <w:sz w:val="24"/>
          <w:szCs w:val="24"/>
          <w:lang w:val="en-US" w:eastAsia="zh-CN"/>
        </w:rPr>
      </w:pPr>
      <w:r>
        <w:rPr>
          <w:rFonts w:ascii="Times New Roman" w:hAnsi="Times New Roman" w:eastAsia="宋体" w:cs="Times New Roman"/>
          <w:sz w:val="24"/>
        </w:rPr>
        <mc:AlternateContent>
          <mc:Choice Requires="wps">
            <w:drawing>
              <wp:anchor distT="0" distB="0" distL="114300" distR="114300" simplePos="0" relativeHeight="251661312" behindDoc="0" locked="0" layoutInCell="1" allowOverlap="1">
                <wp:simplePos x="0" y="0"/>
                <wp:positionH relativeFrom="column">
                  <wp:posOffset>2231390</wp:posOffset>
                </wp:positionH>
                <wp:positionV relativeFrom="paragraph">
                  <wp:posOffset>90170</wp:posOffset>
                </wp:positionV>
                <wp:extent cx="75565" cy="75565"/>
                <wp:effectExtent l="4445" t="4445" r="15240" b="15240"/>
                <wp:wrapNone/>
                <wp:docPr id="5" name="自选图形 15"/>
                <wp:cNvGraphicFramePr/>
                <a:graphic xmlns:a="http://schemas.openxmlformats.org/drawingml/2006/main">
                  <a:graphicData uri="http://schemas.microsoft.com/office/word/2010/wordprocessingShape">
                    <wps:wsp>
                      <wps:cNvSpPr/>
                      <wps:spPr>
                        <a:xfrm>
                          <a:off x="0" y="0"/>
                          <a:ext cx="75565" cy="75565"/>
                        </a:xfrm>
                        <a:prstGeom prst="octagon">
                          <a:avLst>
                            <a:gd name="adj" fmla="val 29287"/>
                          </a:avLst>
                        </a:prstGeom>
                        <a:solidFill>
                          <a:srgbClr val="FFFFFF"/>
                        </a:solidFill>
                        <a:ln w="9525" cap="flat" cmpd="sng">
                          <a:solidFill>
                            <a:srgbClr val="FF0000"/>
                          </a:solidFill>
                          <a:prstDash val="solid"/>
                          <a:miter/>
                          <a:headEnd type="none" w="med" len="med"/>
                          <a:tailEnd type="none" w="med" len="med"/>
                        </a:ln>
                      </wps:spPr>
                      <wps:bodyPr upright="1"/>
                    </wps:wsp>
                  </a:graphicData>
                </a:graphic>
              </wp:anchor>
            </w:drawing>
          </mc:Choice>
          <mc:Fallback>
            <w:pict>
              <v:shape id="自选图形 15" o:spid="_x0000_s1026" o:spt="10" type="#_x0000_t10" style="position:absolute;left:0pt;margin-left:175.7pt;margin-top:7.1pt;height:5.95pt;width:5.95pt;z-index:251661312;mso-width-relative:page;mso-height-relative:page;" fillcolor="#FFFFFF" filled="t" stroked="t" coordsize="21600,21600" o:gfxdata="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qEyJ9UAAAAJAQAADwAA&#10;AAAAAAABACAAAAAiAAAAZHJzL2Rvd25yZXYueG1sUEsBAhQAFAAAAAgAh07iQJCtaIkZAgAAUQQA&#10;AA4AAAAAAAAAAQAgAAAAJAEAAGRycy9lMm9Eb2MueG1sUEsFBgAAAAAGAAYAWQEAAK8FAAAAAA==&#10;" adj="6326">
                <v:fill on="t" focussize="0,0"/>
                <v:stroke color="#FF0000" joinstyle="miter"/>
                <v:imagedata o:title=""/>
                <o:lock v:ext="edit" aspectratio="f"/>
              </v:shape>
            </w:pict>
          </mc:Fallback>
        </mc:AlternateContent>
      </w: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480" w:firstLineChars="200"/>
        <w:rPr>
          <w:rFonts w:hint="eastAsia" w:ascii="Times New Roman" w:hAnsi="Times New Roman" w:eastAsia="宋体" w:cs="Times New Roman"/>
          <w:color w:val="0000FF"/>
          <w:sz w:val="24"/>
          <w:szCs w:val="24"/>
          <w:lang w:val="en-US" w:eastAsia="zh-CN"/>
        </w:rPr>
      </w:pPr>
    </w:p>
    <w:p>
      <w:pPr>
        <w:spacing w:line="360" w:lineRule="auto"/>
        <w:ind w:firstLine="3614" w:firstLineChars="1500"/>
        <w:rPr>
          <w:rFonts w:hint="eastAsia" w:ascii="Times New Roman" w:hAnsi="Times New Roman" w:eastAsia="宋体" w:cs="Times New Roman"/>
          <w:b/>
        </w:rPr>
      </w:pPr>
      <w:r>
        <w:rPr>
          <w:rFonts w:hint="eastAsia" w:ascii="Times New Roman" w:hAnsi="Times New Roman" w:eastAsia="宋体" w:cs="Times New Roman"/>
          <w:b/>
          <w:color w:val="auto"/>
          <w:sz w:val="24"/>
          <w:szCs w:val="24"/>
        </w:rPr>
        <w:t>图3-1 场地地理位置图</w:t>
      </w:r>
      <w:bookmarkStart w:id="14" w:name="_Toc528246149"/>
    </w:p>
    <w:p>
      <w:pPr>
        <w:pStyle w:val="4"/>
        <w:spacing w:before="0" w:after="0" w:line="360" w:lineRule="auto"/>
        <w:rPr>
          <w:rFonts w:hint="eastAsia" w:ascii="Times New Roman" w:hAnsi="Times New Roman" w:eastAsia="宋体" w:cs="Times New Roman"/>
          <w:b/>
        </w:rPr>
      </w:pPr>
      <w:bookmarkStart w:id="15" w:name="_Toc2528"/>
      <w:r>
        <w:rPr>
          <w:rFonts w:hint="eastAsia" w:ascii="Times New Roman" w:hAnsi="Times New Roman" w:eastAsia="宋体" w:cs="Times New Roman"/>
          <w:b/>
        </w:rPr>
        <w:t>3.2地形地貌</w:t>
      </w:r>
      <w:bookmarkEnd w:id="14"/>
      <w:bookmarkEnd w:id="15"/>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桐柏县境地貌以浅山、丘陵为主,斜贯县境的桐柏山构成地貌的骨架桐柏山主脉由西向东,蜿蜓于县境南侧,为河南、湖北两省天然分界。余脉延伸至中部、北部和东北部,形成大面积浅山和丘陵。共有山峰800多个。岗丘700余条。地势以南侧边缘最高,东北部顶端次之;南侧中部突起,东西两端渐低;北侧则由西向东呈总体渐次升高状。面积较大的平地在西北部,其它大部分地域内,有不同密度、面积的谷式盆地分布。山地面积474.5平方公里,占24.749%;丘陵岗地942.8平方公里,占49.17%;平原395.7平方公里,占20.6%;水域面积1042平方公里,占5.4%。素有“七山、一水、二分田”之说。桐柏山群属于大别山西段,地质年龄大于25亿年,为南北气候和动、植物区系分界线。山脉走向为西北—东南,主脉位于鸿仪河—县城一线。太白顶为桐柏山主峰,海拔1140米。主脉西段南侧低山位于程湾乡境内,为桐柏山南支向西的延伸部分,山体破碎,呈丘状分布于丘陵之上。主脉北部低山,由西南向东北呈雁形展布于大河、朱庄、回龙、毛集等乡镇境内。构成南阳盆地与吴城盆地,黄岗—毛集盆地的分界线。丘陵主要分布于县境西部南阳盆地边缘和东部吴城盆地,黄岗—毛集盆地内,多为侵蚀剥蚀丘陵。在山地与丘陵的过渡地带,有孤山耸立于波状起伏的丘陵中。平原主要分布于县境西部位于南阳盆地内的阜江、平氏、安棚、新集等乡镇和吴城盆地、黃岗一毛集盆地。</w:t>
      </w:r>
    </w:p>
    <w:p>
      <w:pPr>
        <w:pStyle w:val="4"/>
        <w:spacing w:before="0" w:after="0" w:line="360" w:lineRule="auto"/>
        <w:rPr>
          <w:rFonts w:hint="eastAsia" w:ascii="Times New Roman" w:hAnsi="Times New Roman" w:eastAsia="宋体" w:cs="Times New Roman"/>
          <w:b/>
        </w:rPr>
      </w:pPr>
      <w:bookmarkStart w:id="16" w:name="_Toc528246150"/>
      <w:bookmarkStart w:id="17" w:name="_Toc5216"/>
      <w:r>
        <w:rPr>
          <w:rFonts w:hint="eastAsia" w:ascii="Times New Roman" w:hAnsi="Times New Roman" w:eastAsia="宋体" w:cs="Times New Roman"/>
          <w:b/>
        </w:rPr>
        <w:t>3.3气候气象</w:t>
      </w:r>
      <w:bookmarkEnd w:id="16"/>
      <w:bookmarkEnd w:id="17"/>
    </w:p>
    <w:p>
      <w:pPr>
        <w:spacing w:line="520" w:lineRule="exact"/>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桐柏县城地处浅山、浅丘区,亚热带季风型大陆性半湿润气候,兼有亚热带和温暖带的一般特征。四季分明,温暖湿润。县域范围内水系发达适合亚热带地区的生物生长,东西向的条形桐柏山主脉地区亚热带常绿阔叶林植被发育良妤,易构筑天然的生态屏障,县城周边生态系统结构复杂,稳定性好。县城士地资源丰富,周边水系发达且属于淮河源区。叮利用水资源量丰富,开发利用潜力很大。年平均气温14.9℃,年平均降水量1149.20mm,年平均蒸发量15112mm,年最大降水量1940.5mm,年最小降水量629.90mm。主导风向为西南风和东南风。降水集中于69月份,且多为暴雨,约占全年70%,干旱季节持续较长,三涝二旱、伏旱季节淮河断流,影响城市供水。</w:t>
      </w:r>
    </w:p>
    <w:p>
      <w:pPr>
        <w:pStyle w:val="4"/>
        <w:spacing w:before="0" w:after="0" w:line="360" w:lineRule="auto"/>
        <w:rPr>
          <w:rFonts w:hint="eastAsia" w:ascii="Times New Roman" w:hAnsi="Times New Roman" w:eastAsia="宋体" w:cs="Times New Roman"/>
          <w:b/>
        </w:rPr>
      </w:pPr>
      <w:bookmarkStart w:id="18" w:name="_Toc528246151"/>
      <w:bookmarkStart w:id="19" w:name="_Toc1945"/>
      <w:r>
        <w:rPr>
          <w:rFonts w:hint="eastAsia" w:ascii="Times New Roman" w:hAnsi="Times New Roman" w:eastAsia="宋体" w:cs="Times New Roman"/>
          <w:b/>
        </w:rPr>
        <w:t>3.4地表水</w:t>
      </w:r>
      <w:bookmarkEnd w:id="18"/>
      <w:bookmarkEnd w:id="19"/>
    </w:p>
    <w:p>
      <w:pPr>
        <w:spacing w:line="520" w:lineRule="exact"/>
        <w:ind w:firstLine="480"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桐柏县地跨淮河、长江(汉水)两大水系,是淮河的发源地。全县境内河流58条,其中流域面积大于100km2的有9条。淮河是流经相县区域的主要河流,发源于桐柏山太白顶北麓的牌坊洞,向东蜿蜒流入河南信阻,境内长达83km,流域面积1321k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,以雨水补给为主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流经县城的河流主要有淮河、西小河、龙潭河、银盘河4条。其中以淮河最大,以雨水补给为主,多年平均径流量为66亿m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,年最大径流量15.07亿m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(1956年),最小径流量0.95亿m3(1966年),径流年变化与降水一致。河流多年平均流量为16.5m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rPr>
        <w:t>s最大值达4200m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rPr>
        <w:t>s(1975年8月7日),最小值仅0.005m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rPr>
        <w:t>s(1957年10月)。最大流量多出现在6-8月,最小流量常见于6、7、12及次年1月,水质基本上属于Ⅱ-I类水质。</w:t>
      </w:r>
    </w:p>
    <w:p>
      <w:pPr>
        <w:spacing w:line="520" w:lineRule="exact"/>
        <w:ind w:firstLine="480"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城郊主要水库有龙潭河中型水库、水帘水库。龙潭河中型水库据县城仅2.0公里,可向城区供水600-700万m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,目前该水库为桐柏县第水</w:t>
      </w:r>
      <w:r>
        <w:rPr>
          <w:rFonts w:hint="eastAsia" w:ascii="Times New Roman" w:hAnsi="Times New Roman" w:eastAsia="宋体" w:cs="Times New Roman"/>
          <w:sz w:val="24"/>
          <w:szCs w:val="24"/>
          <w:lang w:eastAsia="zh-CN"/>
        </w:rPr>
        <w:t>场</w:t>
      </w:r>
      <w:r>
        <w:rPr>
          <w:rFonts w:hint="eastAsia" w:ascii="Times New Roman" w:hAnsi="Times New Roman" w:eastAsia="宋体" w:cs="Times New Roman"/>
          <w:sz w:val="24"/>
          <w:szCs w:val="24"/>
        </w:rPr>
        <w:t>的水源地。水帘水库属小Ⅱ水库,水量较小。两座水库水质均能达到国家地表水Ⅱ标准。</w:t>
      </w:r>
    </w:p>
    <w:p>
      <w:pPr>
        <w:pStyle w:val="4"/>
        <w:spacing w:before="0" w:after="0" w:line="360" w:lineRule="auto"/>
        <w:rPr>
          <w:rFonts w:hint="eastAsia" w:ascii="Times New Roman" w:hAnsi="Times New Roman" w:eastAsia="宋体" w:cs="Times New Roman"/>
          <w:b/>
          <w:lang w:val="en-US" w:eastAsia="zh-CN"/>
        </w:rPr>
      </w:pPr>
      <w:bookmarkStart w:id="20" w:name="_Toc528246152"/>
      <w:bookmarkStart w:id="21" w:name="_Toc12597"/>
      <w:r>
        <w:rPr>
          <w:rFonts w:hint="eastAsia" w:ascii="Times New Roman" w:hAnsi="Times New Roman" w:eastAsia="宋体" w:cs="Times New Roman"/>
          <w:b/>
        </w:rPr>
        <w:t>3.5</w:t>
      </w:r>
      <w:bookmarkEnd w:id="20"/>
      <w:r>
        <w:rPr>
          <w:rFonts w:hint="eastAsia" w:ascii="Times New Roman" w:hAnsi="Times New Roman" w:eastAsia="宋体" w:cs="Times New Roman"/>
          <w:b/>
          <w:lang w:val="en-US" w:eastAsia="zh-CN"/>
        </w:rPr>
        <w:t>地下水</w:t>
      </w:r>
      <w:bookmarkEnd w:id="21"/>
    </w:p>
    <w:p>
      <w:pPr>
        <w:spacing w:line="520" w:lineRule="exact"/>
        <w:ind w:firstLine="480"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桐柏县地下水资源丰富,储量约1.39亿m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,主要分布在唐白河等主要大</w:t>
      </w:r>
      <w:r>
        <w:rPr>
          <w:rFonts w:hint="eastAsia" w:ascii="Times New Roman" w:hAnsi="Times New Roman" w:eastAsia="宋体" w:cs="Times New Roman"/>
          <w:sz w:val="24"/>
          <w:szCs w:val="24"/>
          <w:lang w:val="en-US" w:eastAsia="zh-CN"/>
        </w:rPr>
        <w:t>河</w:t>
      </w:r>
      <w:r>
        <w:rPr>
          <w:rFonts w:hint="eastAsia" w:ascii="Times New Roman" w:hAnsi="Times New Roman" w:eastAsia="宋体" w:cs="Times New Roman"/>
          <w:sz w:val="24"/>
          <w:szCs w:val="24"/>
        </w:rPr>
        <w:t>沿岸,水埋深3.0m,含水层厚度6.4m根据南阳市环境地质公司《桐柏县垃圾填理场岩上勘察报》,桐柏县垃圾填埋场处地下水含水层埋深&gt;20m,流向为西北一东南</w:t>
      </w:r>
      <w:r>
        <w:rPr>
          <w:rFonts w:hint="eastAsia" w:ascii="Times New Roman" w:hAnsi="Times New Roman" w:eastAsia="宋体" w:cs="Times New Roman"/>
          <w:sz w:val="24"/>
          <w:szCs w:val="24"/>
          <w:lang w:val="en-US" w:eastAsia="zh-CN"/>
        </w:rPr>
        <w:t>。</w:t>
      </w:r>
    </w:p>
    <w:p>
      <w:pPr>
        <w:pStyle w:val="29"/>
        <w:tabs>
          <w:tab w:val="clear" w:pos="0"/>
        </w:tabs>
        <w:adjustRightInd/>
        <w:snapToGrid/>
        <w:spacing w:before="0" w:after="0" w:line="360" w:lineRule="auto"/>
        <w:rPr>
          <w:rFonts w:ascii="Times New Roman" w:hAnsi="Times New Roman" w:eastAsia="宋体" w:cs="Times New Roman"/>
          <w:b/>
          <w:bCs/>
          <w:color w:val="auto"/>
        </w:rPr>
      </w:pPr>
      <w:bookmarkStart w:id="22" w:name="_Toc14392"/>
      <w:r>
        <w:rPr>
          <w:rFonts w:hint="eastAsia" w:ascii="Times New Roman" w:hAnsi="Times New Roman" w:eastAsia="宋体" w:cs="Times New Roman"/>
          <w:b/>
          <w:bCs/>
          <w:color w:val="auto"/>
        </w:rPr>
        <w:t>四、企业基本情况</w:t>
      </w:r>
      <w:bookmarkEnd w:id="2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（1）建设规模</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桐柏县垃圾卫生填埋场</w:t>
      </w:r>
      <w:r>
        <w:rPr>
          <w:rFonts w:hint="eastAsia" w:ascii="Times New Roman" w:hAnsi="Times New Roman" w:eastAsia="宋体" w:cs="Times New Roman"/>
          <w:sz w:val="24"/>
          <w:szCs w:val="24"/>
        </w:rPr>
        <w:t>位于</w:t>
      </w:r>
      <w:r>
        <w:rPr>
          <w:rFonts w:hint="eastAsia" w:ascii="Times New Roman" w:hAnsi="Times New Roman" w:eastAsia="宋体" w:cs="Times New Roman"/>
          <w:sz w:val="24"/>
          <w:szCs w:val="24"/>
          <w:lang w:val="en-US" w:eastAsia="zh-CN"/>
        </w:rPr>
        <w:t>桐柏县城以北，距城区约10公里处，大河镇峡山村</w:t>
      </w:r>
      <w:r>
        <w:rPr>
          <w:rFonts w:hint="eastAsia" w:ascii="Times New Roman" w:hAnsi="Times New Roman" w:eastAsia="宋体" w:cs="Times New Roman"/>
          <w:sz w:val="24"/>
          <w:szCs w:val="24"/>
        </w:rPr>
        <w:t>，生活垃圾填埋</w:t>
      </w:r>
      <w:r>
        <w:rPr>
          <w:rFonts w:hint="eastAsia" w:ascii="Times New Roman" w:hAnsi="Times New Roman" w:eastAsia="宋体" w:cs="Times New Roman"/>
          <w:sz w:val="24"/>
          <w:szCs w:val="24"/>
          <w:lang w:val="en-US" w:eastAsia="zh-CN"/>
        </w:rPr>
        <w:t>日平均处理</w:t>
      </w:r>
      <w:r>
        <w:rPr>
          <w:rFonts w:hint="eastAsia" w:ascii="Times New Roman" w:hAnsi="Times New Roman" w:eastAsia="宋体" w:cs="Times New Roman"/>
          <w:sz w:val="24"/>
          <w:szCs w:val="24"/>
        </w:rPr>
        <w:t>规模为</w:t>
      </w:r>
      <w:r>
        <w:rPr>
          <w:rFonts w:hint="eastAsia" w:ascii="Times New Roman" w:hAnsi="Times New Roman" w:eastAsia="宋体" w:cs="Times New Roman"/>
          <w:sz w:val="24"/>
          <w:szCs w:val="24"/>
          <w:lang w:val="en-US" w:eastAsia="zh-CN"/>
        </w:rPr>
        <w:t>130</w:t>
      </w:r>
      <w:r>
        <w:rPr>
          <w:rFonts w:hint="eastAsia" w:ascii="Times New Roman" w:hAnsi="Times New Roman" w:eastAsia="宋体" w:cs="Times New Roman"/>
          <w:sz w:val="24"/>
          <w:szCs w:val="24"/>
        </w:rPr>
        <w:t>t/d，</w:t>
      </w:r>
      <w:r>
        <w:rPr>
          <w:rFonts w:hint="eastAsia" w:ascii="Times New Roman" w:hAnsi="Times New Roman" w:eastAsia="宋体" w:cs="Times New Roman"/>
          <w:sz w:val="24"/>
          <w:szCs w:val="24"/>
          <w:lang w:val="en-US" w:eastAsia="zh-CN"/>
        </w:rPr>
        <w:t>填埋区总库容81.5</w:t>
      </w:r>
      <w:r>
        <w:rPr>
          <w:rFonts w:hint="eastAsia" w:ascii="Times New Roman" w:hAnsi="Times New Roman" w:eastAsia="宋体" w:cs="Times New Roman"/>
          <w:sz w:val="24"/>
          <w:szCs w:val="24"/>
        </w:rPr>
        <w:t>万</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rPr>
        <w:t>，服务年限</w:t>
      </w:r>
      <w:r>
        <w:rPr>
          <w:rFonts w:hint="eastAsia" w:ascii="Times New Roman" w:hAnsi="Times New Roman" w:eastAsia="宋体" w:cs="Times New Roman"/>
          <w:sz w:val="24"/>
          <w:szCs w:val="24"/>
          <w:lang w:val="en-US" w:eastAsia="zh-CN"/>
        </w:rPr>
        <w:t>14</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企业基本信息见表4-1。</w:t>
      </w:r>
    </w:p>
    <w:p>
      <w:pPr>
        <w:spacing w:line="360" w:lineRule="auto"/>
        <w:ind w:firstLine="482" w:firstLineChars="200"/>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表4-</w:t>
      </w:r>
      <w:r>
        <w:rPr>
          <w:rFonts w:hint="eastAsia" w:ascii="Times New Roman" w:hAnsi="Times New Roman" w:eastAsia="宋体" w:cs="Times New Roman"/>
          <w:b/>
          <w:sz w:val="24"/>
          <w:szCs w:val="24"/>
          <w:lang w:val="en-US" w:eastAsia="zh-CN"/>
        </w:rPr>
        <w:t>1 企业基本信息</w:t>
      </w:r>
    </w:p>
    <w:tbl>
      <w:tblPr>
        <w:tblStyle w:val="17"/>
        <w:tblW w:w="83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5"/>
        <w:gridCol w:w="2412"/>
        <w:gridCol w:w="525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序号</w:t>
            </w:r>
          </w:p>
        </w:tc>
        <w:tc>
          <w:tcPr>
            <w:tcW w:w="2412"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名称</w:t>
            </w:r>
          </w:p>
        </w:tc>
        <w:tc>
          <w:tcPr>
            <w:tcW w:w="5255"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企业名称</w:t>
            </w:r>
          </w:p>
        </w:tc>
        <w:tc>
          <w:tcPr>
            <w:tcW w:w="5255"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桐柏县生活垃圾处理厂（南阳市双信物业管理有限公司）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法人代表</w:t>
            </w:r>
          </w:p>
        </w:tc>
        <w:tc>
          <w:tcPr>
            <w:tcW w:w="525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张培磊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地址</w:t>
            </w:r>
          </w:p>
        </w:tc>
        <w:tc>
          <w:tcPr>
            <w:tcW w:w="525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桐柏县大河镇峡山村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地理位置</w:t>
            </w:r>
          </w:p>
        </w:tc>
        <w:tc>
          <w:tcPr>
            <w:tcW w:w="525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color w:val="auto"/>
                <w:szCs w:val="21"/>
                <w:lang w:val="en-US" w:eastAsia="zh-CN"/>
              </w:rPr>
              <w:t>东经113.418936°，北纬32.461425°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企业类型</w:t>
            </w:r>
          </w:p>
        </w:tc>
        <w:tc>
          <w:tcPr>
            <w:tcW w:w="525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企业规模</w:t>
            </w:r>
          </w:p>
        </w:tc>
        <w:tc>
          <w:tcPr>
            <w:tcW w:w="5255"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生活垃圾填埋日平均处理规模为130t/d，</w:t>
            </w:r>
          </w:p>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填埋区总库容81.5万m</w:t>
            </w:r>
            <w:r>
              <w:rPr>
                <w:rFonts w:hint="eastAsia" w:ascii="Times New Roman" w:hAnsi="Times New Roman" w:eastAsia="宋体" w:cs="Times New Roman"/>
                <w:szCs w:val="21"/>
                <w:vertAlign w:val="superscript"/>
                <w:lang w:val="en-US"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营业期限</w:t>
            </w:r>
          </w:p>
        </w:tc>
        <w:tc>
          <w:tcPr>
            <w:tcW w:w="5255"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服务年限14年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行业类别</w:t>
            </w:r>
          </w:p>
        </w:tc>
        <w:tc>
          <w:tcPr>
            <w:tcW w:w="5255"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公共设施管理业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行业代码</w:t>
            </w:r>
          </w:p>
        </w:tc>
        <w:tc>
          <w:tcPr>
            <w:tcW w:w="525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782 环境卫生管理（生活垃圾处置）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所属工业园区或集聚区</w:t>
            </w:r>
          </w:p>
        </w:tc>
        <w:tc>
          <w:tcPr>
            <w:tcW w:w="525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地块面积</w:t>
            </w:r>
          </w:p>
        </w:tc>
        <w:tc>
          <w:tcPr>
            <w:tcW w:w="5255"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占地面积88.64亩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现使用权属</w:t>
            </w:r>
          </w:p>
        </w:tc>
        <w:tc>
          <w:tcPr>
            <w:tcW w:w="5255"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桐柏县城乡建设管理局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70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2412"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地块利用历史</w:t>
            </w:r>
          </w:p>
        </w:tc>
        <w:tc>
          <w:tcPr>
            <w:tcW w:w="5255"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以前为荒地，现在为生活垃圾填埋区</w:t>
            </w:r>
          </w:p>
        </w:tc>
      </w:tr>
    </w:tbl>
    <w:p>
      <w:pPr>
        <w:numPr>
          <w:ilvl w:val="0"/>
          <w:numId w:val="1"/>
        </w:numPr>
        <w:spacing w:line="360" w:lineRule="auto"/>
        <w:ind w:left="0" w:leftChars="0"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经济技术指标</w:t>
      </w:r>
    </w:p>
    <w:p>
      <w:pPr>
        <w:numPr>
          <w:ilvl w:val="0"/>
          <w:numId w:val="0"/>
        </w:numPr>
        <w:spacing w:line="360" w:lineRule="auto"/>
        <w:ind w:left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企业主要经济技术指标见表4-2。</w:t>
      </w:r>
    </w:p>
    <w:p>
      <w:pPr>
        <w:spacing w:line="360" w:lineRule="auto"/>
        <w:ind w:firstLine="482" w:firstLineChars="200"/>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表4-</w:t>
      </w:r>
      <w:r>
        <w:rPr>
          <w:rFonts w:hint="eastAsia" w:ascii="Times New Roman" w:hAnsi="Times New Roman" w:eastAsia="宋体" w:cs="Times New Roman"/>
          <w:b/>
          <w:sz w:val="24"/>
          <w:szCs w:val="24"/>
          <w:lang w:val="en-US" w:eastAsia="zh-CN"/>
        </w:rPr>
        <w:t>2</w:t>
      </w:r>
      <w:r>
        <w:rPr>
          <w:rFonts w:hint="eastAsia" w:ascii="Times New Roman" w:hAnsi="Times New Roman" w:eastAsia="宋体" w:cs="Times New Roman"/>
          <w:b/>
          <w:sz w:val="24"/>
          <w:szCs w:val="24"/>
        </w:rPr>
        <w:t>主要经济技术指标</w:t>
      </w:r>
    </w:p>
    <w:tbl>
      <w:tblPr>
        <w:tblStyle w:val="17"/>
        <w:tblW w:w="83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39"/>
        <w:gridCol w:w="2547"/>
        <w:gridCol w:w="2093"/>
        <w:gridCol w:w="20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项目</w:t>
            </w:r>
          </w:p>
        </w:tc>
        <w:tc>
          <w:tcPr>
            <w:tcW w:w="209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单位</w:t>
            </w:r>
          </w:p>
        </w:tc>
        <w:tc>
          <w:tcPr>
            <w:tcW w:w="209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指标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建设规模</w:t>
            </w:r>
          </w:p>
        </w:tc>
        <w:tc>
          <w:tcPr>
            <w:tcW w:w="2093" w:type="dxa"/>
            <w:vAlign w:val="center"/>
          </w:tcPr>
          <w:p>
            <w:pPr>
              <w:spacing w:line="240" w:lineRule="atLeast"/>
              <w:jc w:val="center"/>
              <w:rPr>
                <w:rFonts w:ascii="Times New Roman" w:hAnsi="Times New Roman" w:eastAsia="宋体" w:cs="Times New Roman"/>
                <w:szCs w:val="21"/>
              </w:rPr>
            </w:pPr>
          </w:p>
        </w:tc>
        <w:tc>
          <w:tcPr>
            <w:tcW w:w="2093" w:type="dxa"/>
            <w:vAlign w:val="center"/>
          </w:tcPr>
          <w:p>
            <w:pPr>
              <w:spacing w:line="240" w:lineRule="atLeast"/>
              <w:jc w:val="center"/>
              <w:rPr>
                <w:rFonts w:ascii="Times New Roman" w:hAnsi="Times New Roman" w:eastAsia="宋体" w:cs="Times New Roman"/>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1.1</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日</w:t>
            </w:r>
            <w:r>
              <w:rPr>
                <w:rFonts w:hint="eastAsia" w:ascii="Times New Roman" w:hAnsi="Times New Roman" w:eastAsia="宋体" w:cs="Times New Roman"/>
                <w:szCs w:val="21"/>
              </w:rPr>
              <w:t>处理生活垃圾</w:t>
            </w:r>
          </w:p>
        </w:tc>
        <w:tc>
          <w:tcPr>
            <w:tcW w:w="209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t</w:t>
            </w:r>
          </w:p>
        </w:tc>
        <w:tc>
          <w:tcPr>
            <w:tcW w:w="2093"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总投资</w:t>
            </w:r>
          </w:p>
        </w:tc>
        <w:tc>
          <w:tcPr>
            <w:tcW w:w="209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万元</w:t>
            </w:r>
          </w:p>
        </w:tc>
        <w:tc>
          <w:tcPr>
            <w:tcW w:w="2093"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2431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全</w:t>
            </w:r>
            <w:r>
              <w:rPr>
                <w:rFonts w:hint="eastAsia" w:ascii="Times New Roman" w:hAnsi="Times New Roman" w:eastAsia="宋体" w:cs="Times New Roman"/>
                <w:szCs w:val="21"/>
                <w:lang w:eastAsia="zh-CN"/>
              </w:rPr>
              <w:t>场</w:t>
            </w:r>
            <w:r>
              <w:rPr>
                <w:rFonts w:hint="eastAsia" w:ascii="Times New Roman" w:hAnsi="Times New Roman" w:eastAsia="宋体" w:cs="Times New Roman"/>
                <w:szCs w:val="21"/>
              </w:rPr>
              <w:t>定员</w:t>
            </w:r>
          </w:p>
        </w:tc>
        <w:tc>
          <w:tcPr>
            <w:tcW w:w="209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人</w:t>
            </w:r>
          </w:p>
        </w:tc>
        <w:tc>
          <w:tcPr>
            <w:tcW w:w="2093"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全年生产天数</w:t>
            </w:r>
          </w:p>
        </w:tc>
        <w:tc>
          <w:tcPr>
            <w:tcW w:w="209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天</w:t>
            </w:r>
          </w:p>
        </w:tc>
        <w:tc>
          <w:tcPr>
            <w:tcW w:w="2093"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主要原材料及动力</w:t>
            </w:r>
          </w:p>
        </w:tc>
        <w:tc>
          <w:tcPr>
            <w:tcW w:w="2093" w:type="dxa"/>
            <w:vAlign w:val="center"/>
          </w:tcPr>
          <w:p>
            <w:pPr>
              <w:spacing w:line="240" w:lineRule="atLeast"/>
              <w:jc w:val="center"/>
              <w:rPr>
                <w:rFonts w:ascii="Times New Roman" w:hAnsi="Times New Roman" w:eastAsia="宋体" w:cs="Times New Roman"/>
                <w:szCs w:val="21"/>
              </w:rPr>
            </w:pPr>
          </w:p>
        </w:tc>
        <w:tc>
          <w:tcPr>
            <w:tcW w:w="2093"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水</w:t>
            </w:r>
          </w:p>
        </w:tc>
        <w:tc>
          <w:tcPr>
            <w:tcW w:w="209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t/a</w:t>
            </w:r>
          </w:p>
        </w:tc>
        <w:tc>
          <w:tcPr>
            <w:tcW w:w="2093"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5.2</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电</w:t>
            </w:r>
          </w:p>
        </w:tc>
        <w:tc>
          <w:tcPr>
            <w:tcW w:w="209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度</w:t>
            </w:r>
          </w:p>
        </w:tc>
        <w:tc>
          <w:tcPr>
            <w:tcW w:w="2093"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场地总占地面积</w:t>
            </w:r>
          </w:p>
        </w:tc>
        <w:tc>
          <w:tcPr>
            <w:tcW w:w="2093" w:type="dxa"/>
            <w:vAlign w:val="center"/>
          </w:tcPr>
          <w:p>
            <w:pPr>
              <w:spacing w:line="240" w:lineRule="atLeas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亩</w:t>
            </w:r>
          </w:p>
        </w:tc>
        <w:tc>
          <w:tcPr>
            <w:tcW w:w="2093"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88.64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6.1</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填埋区占地面积</w:t>
            </w:r>
          </w:p>
        </w:tc>
        <w:tc>
          <w:tcPr>
            <w:tcW w:w="2093" w:type="dxa"/>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m</w:t>
            </w:r>
            <w:r>
              <w:rPr>
                <w:rFonts w:hint="eastAsia" w:ascii="Times New Roman" w:hAnsi="Times New Roman" w:eastAsia="宋体" w:cs="Times New Roman"/>
                <w:szCs w:val="21"/>
                <w:vertAlign w:val="superscript"/>
              </w:rPr>
              <w:t>2</w:t>
            </w:r>
          </w:p>
        </w:tc>
        <w:tc>
          <w:tcPr>
            <w:tcW w:w="2093" w:type="dxa"/>
            <w:vAlign w:val="center"/>
          </w:tcPr>
          <w:p>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1639"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2547"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年平均成本</w:t>
            </w:r>
          </w:p>
        </w:tc>
        <w:tc>
          <w:tcPr>
            <w:tcW w:w="2093" w:type="dxa"/>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万元</w:t>
            </w:r>
          </w:p>
        </w:tc>
        <w:tc>
          <w:tcPr>
            <w:tcW w:w="2093" w:type="dxa"/>
            <w:vAlign w:val="center"/>
          </w:tcPr>
          <w:p>
            <w:pPr>
              <w:spacing w:line="2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bl>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（3）生产工艺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垃圾卫生填埋是专业性很强的作业过程，除采用通用机械完成挖土、运土、铺土、推土、碾压和和夯实等一般性土方工程作业外，根据垃圾的组成、强度及外形等特性以及垃圾场处理规模等因素选用一些专用机械、机具，以确保填埋场在运行过程中能够达到全天候运行的目的。</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将填埋作业区划分为若干相对独立的作业区,然后按顺序逐区进行“单元式”填埋作业,单元数量和大小在设计过程中视具体情况而定,一般以一日一层作业量为一单元,垃圾填埋场工程设计采用分层摊铺、往返碾压,分单元逐日覆土的填埋工艺。来自城区的生活垃圾经地磅计量后,通过临时通道和作业平台进入填埋单元作业点卸车,然后由填埋机械摊铺、碾压。碾压作业要求分层进行,每层压实厚度不超过50当压实厚度达到2.3m时,覆土0.2m,构成一个2.5m厚的填埋单元。一般以一日为一个填埋单元,利于逐日覆土。多个填埋单元组成2.5m厚的单元层单元组成一个高度为1的填埋分层。为利于排除层面上的地表径流,减少渗滤液产生量,分层要形成一个坡向填埋场区边沿环场截洪沟的坡度。坡度为各分层之间设宽度为10m的控制平台,以通行填埋机械。控制平台上布置有截排坡面径流的环向排水沟。排水沟收集的雨水接入环场区截洪沟填埋后的垃圾堆体的坡面总坡度为1:3.5,水平顶面的坡度分层填埋作业是以分区分子单元按照顺序填埋为基础,分为第一层填埋作业和第二层填埋作业及第三层填埋作业。</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工艺流程见下图4-1。</w:t>
      </w:r>
    </w:p>
    <w:p>
      <w:pPr>
        <w:spacing w:line="360" w:lineRule="auto"/>
        <w:ind w:firstLine="420" w:firstLineChars="200"/>
        <w:rPr>
          <w:rFonts w:ascii="Times New Roman" w:hAnsi="Times New Roman" w:eastAsia="宋体" w:cs="Times New Roman"/>
        </w:rPr>
        <w:sectPr>
          <w:footerReference r:id="rId4" w:type="default"/>
          <w:pgSz w:w="11906" w:h="16838"/>
          <w:pgMar w:top="1440" w:right="1800" w:bottom="1440" w:left="1800" w:header="851" w:footer="992" w:gutter="0"/>
          <w:pgNumType w:fmt="decimal" w:start="1"/>
          <w:cols w:space="425" w:num="1"/>
          <w:docGrid w:type="lines" w:linePitch="312" w:charSpace="0"/>
        </w:sectPr>
      </w:pPr>
    </w:p>
    <w:p>
      <w:pPr>
        <w:spacing w:line="360" w:lineRule="auto"/>
        <w:rPr>
          <w:rFonts w:ascii="Times New Roman" w:hAnsi="Times New Roman" w:eastAsia="宋体" w:cs="Times New Roman"/>
        </w:rPr>
      </w:pPr>
      <w:r>
        <w:rPr>
          <w:rFonts w:ascii="Times New Roman" w:hAnsi="Times New Roman" w:eastAsia="宋体" w:cs="Times New Roman"/>
          <w:sz w:val="21"/>
        </w:rPr>
        <mc:AlternateContent>
          <mc:Choice Requires="wps">
            <w:drawing>
              <wp:anchor distT="0" distB="0" distL="114300" distR="114300" simplePos="0" relativeHeight="251662336" behindDoc="0" locked="0" layoutInCell="1" allowOverlap="1">
                <wp:simplePos x="0" y="0"/>
                <wp:positionH relativeFrom="column">
                  <wp:posOffset>7480300</wp:posOffset>
                </wp:positionH>
                <wp:positionV relativeFrom="paragraph">
                  <wp:posOffset>3406775</wp:posOffset>
                </wp:positionV>
                <wp:extent cx="1134110" cy="277495"/>
                <wp:effectExtent l="4445" t="4445" r="23495" b="22860"/>
                <wp:wrapNone/>
                <wp:docPr id="8" name="矩形 16"/>
                <wp:cNvGraphicFramePr/>
                <a:graphic xmlns:a="http://schemas.openxmlformats.org/drawingml/2006/main">
                  <a:graphicData uri="http://schemas.microsoft.com/office/word/2010/wordprocessingShape">
                    <wps:wsp>
                      <wps:cNvSpPr/>
                      <wps:spPr>
                        <a:xfrm>
                          <a:off x="0" y="0"/>
                          <a:ext cx="113411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排放刁河</w:t>
                            </w:r>
                          </w:p>
                        </w:txbxContent>
                      </wps:txbx>
                      <wps:bodyPr upright="1"/>
                    </wps:wsp>
                  </a:graphicData>
                </a:graphic>
              </wp:anchor>
            </w:drawing>
          </mc:Choice>
          <mc:Fallback>
            <w:pict>
              <v:rect id="矩形 16" o:spid="_x0000_s1026" o:spt="1" style="position:absolute;left:0pt;margin-left:589pt;margin-top:268.25pt;height:21.85pt;width:89.3pt;z-index:251662336;mso-width-relative:page;mso-height-relative:page;" fillcolor="#FFFFFF" filled="t" stroked="t" coordsize="21600,21600" o:gfxdata="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M/zK2gAAAA0BAAAPAAAAAAAAAAEAIAAAACIAAABkcnMv&#10;ZG93bnJldi54bWxQSwECFAAUAAAACACHTuJA3INfbwECAAAqBAAADgAAAAAAAAABACAAAAApAQAA&#10;ZHJzL2Uyb0RvYy54bWxQSwUGAAAAAAYABgBZAQAAnAUAAAAA&#10;">
                <v:fill on="t" focussize="0,0"/>
                <v:stroke color="#000000" joinstyle="miter"/>
                <v:imagedata o:title=""/>
                <o:lock v:ext="edit" aspectratio="f"/>
                <v:textbox>
                  <w:txbxContent>
                    <w:p>
                      <w:pPr>
                        <w:rPr>
                          <w:rFonts w:hint="default" w:eastAsiaTheme="minorEastAsia"/>
                          <w:lang w:val="en-US" w:eastAsia="zh-CN"/>
                        </w:rPr>
                      </w:pPr>
                      <w:r>
                        <w:rPr>
                          <w:rFonts w:hint="eastAsia"/>
                          <w:lang w:val="en-US" w:eastAsia="zh-CN"/>
                        </w:rPr>
                        <w:t>排放刁河</w:t>
                      </w:r>
                    </w:p>
                  </w:txbxContent>
                </v:textbox>
              </v:rect>
            </w:pict>
          </mc:Fallback>
        </mc:AlternateContent>
      </w:r>
      <w:r>
        <w:rPr>
          <w:rFonts w:hint="eastAsia" w:ascii="Times New Roman" w:hAnsi="Times New Roman" w:eastAsia="宋体" w:cs="Times New Roman"/>
        </w:rPr>
        <w:drawing>
          <wp:inline distT="0" distB="0" distL="0" distR="0">
            <wp:extent cx="8620125" cy="4182110"/>
            <wp:effectExtent l="0" t="0" r="9525" b="8890"/>
            <wp:docPr id="23" name="图片 8" descr="E:\项目\松筠监测\宜阳垃圾填埋厂咨询\工艺流程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E:\项目\松筠监测\宜阳垃圾填埋厂咨询\工艺流程 拷贝.jpg"/>
                    <pic:cNvPicPr>
                      <a:picLocks noChangeAspect="1" noChangeArrowheads="1"/>
                    </pic:cNvPicPr>
                  </pic:nvPicPr>
                  <pic:blipFill>
                    <a:blip r:embed="rId8"/>
                    <a:srcRect l="3687" r="1899"/>
                    <a:stretch>
                      <a:fillRect/>
                    </a:stretch>
                  </pic:blipFill>
                  <pic:spPr>
                    <a:xfrm>
                      <a:off x="0" y="0"/>
                      <a:ext cx="8620125" cy="4182546"/>
                    </a:xfrm>
                    <a:prstGeom prst="rect">
                      <a:avLst/>
                    </a:prstGeom>
                    <a:noFill/>
                    <a:ln w="9525">
                      <a:noFill/>
                      <a:miter lim="800000"/>
                      <a:headEnd/>
                      <a:tailEnd/>
                    </a:ln>
                  </pic:spPr>
                </pic:pic>
              </a:graphicData>
            </a:graphic>
          </wp:inline>
        </w:drawing>
      </w:r>
    </w:p>
    <w:p>
      <w:pPr>
        <w:spacing w:line="360" w:lineRule="auto"/>
        <w:ind w:firstLine="420" w:firstLineChars="200"/>
        <w:jc w:val="center"/>
        <w:rPr>
          <w:rFonts w:ascii="Times New Roman" w:hAnsi="Times New Roman" w:eastAsia="宋体" w:cs="Times New Roman"/>
          <w:b/>
        </w:rPr>
      </w:pPr>
      <w:r>
        <w:rPr>
          <w:rFonts w:hint="eastAsia" w:ascii="Times New Roman" w:hAnsi="Times New Roman" w:eastAsia="宋体" w:cs="Times New Roman"/>
          <w:b/>
        </w:rPr>
        <w:t>图4-1 工艺流程图</w:t>
      </w:r>
    </w:p>
    <w:p>
      <w:pPr>
        <w:spacing w:line="360" w:lineRule="auto"/>
        <w:ind w:firstLine="420" w:firstLineChars="200"/>
        <w:rPr>
          <w:rFonts w:ascii="Times New Roman" w:hAnsi="Times New Roman" w:eastAsia="宋体" w:cs="Times New Roman"/>
        </w:rPr>
        <w:sectPr>
          <w:pgSz w:w="16838" w:h="11906" w:orient="landscape"/>
          <w:pgMar w:top="1797" w:right="1440" w:bottom="1797" w:left="1440" w:header="851" w:footer="992" w:gutter="0"/>
          <w:pgNumType w:fmt="decimal"/>
          <w:cols w:space="425" w:num="1"/>
          <w:docGrid w:type="linesAndChars" w:linePitch="312" w:charSpace="0"/>
        </w:sectPr>
      </w:pP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（4）平面布置</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本场地的平面布置包括办公区、垃圾填埋区、渗滤液收集池等设施</w:t>
      </w:r>
      <w:r>
        <w:rPr>
          <w:rFonts w:hint="eastAsia" w:ascii="Times New Roman" w:hAnsi="Times New Roman" w:eastAsia="宋体" w:cs="Times New Roman"/>
          <w:sz w:val="24"/>
          <w:szCs w:val="24"/>
          <w:lang w:eastAsia="zh-CN"/>
        </w:rPr>
        <w:t>，占地面积</w:t>
      </w:r>
      <w:r>
        <w:rPr>
          <w:rFonts w:hint="eastAsia" w:ascii="Times New Roman" w:hAnsi="Times New Roman" w:eastAsia="宋体" w:cs="Times New Roman"/>
          <w:szCs w:val="21"/>
          <w:lang w:val="en-US" w:eastAsia="zh-CN"/>
        </w:rPr>
        <w:t>88.64</w:t>
      </w:r>
      <w:r>
        <w:rPr>
          <w:rFonts w:hint="eastAsia" w:ascii="Times New Roman" w:hAnsi="Times New Roman" w:eastAsia="宋体" w:cs="Times New Roman"/>
          <w:sz w:val="24"/>
          <w:szCs w:val="24"/>
          <w:lang w:eastAsia="zh-CN"/>
        </w:rPr>
        <w:t>亩。</w:t>
      </w:r>
      <w:r>
        <w:rPr>
          <w:rFonts w:hint="eastAsia" w:ascii="Times New Roman" w:hAnsi="Times New Roman" w:eastAsia="宋体" w:cs="Times New Roman"/>
          <w:sz w:val="24"/>
          <w:szCs w:val="24"/>
        </w:rPr>
        <w:t>平布置情况见下图</w:t>
      </w:r>
      <w:r>
        <w:rPr>
          <w:rFonts w:hint="eastAsia" w:ascii="Times New Roman" w:hAnsi="Times New Roman" w:eastAsia="宋体" w:cs="Times New Roman"/>
          <w:sz w:val="24"/>
          <w:szCs w:val="24"/>
          <w:lang w:val="en-US" w:eastAsia="zh-CN"/>
        </w:rPr>
        <w:t>4-2</w:t>
      </w:r>
      <w:r>
        <w:rPr>
          <w:rFonts w:hint="eastAsia" w:ascii="Times New Roman" w:hAnsi="Times New Roman" w:eastAsia="宋体" w:cs="Times New Roman"/>
          <w:sz w:val="24"/>
          <w:szCs w:val="24"/>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anchor distT="0" distB="0" distL="114935" distR="114935" simplePos="0" relativeHeight="251662336" behindDoc="0" locked="0" layoutInCell="1" allowOverlap="1">
            <wp:simplePos x="0" y="0"/>
            <wp:positionH relativeFrom="column">
              <wp:posOffset>-273685</wp:posOffset>
            </wp:positionH>
            <wp:positionV relativeFrom="paragraph">
              <wp:posOffset>27305</wp:posOffset>
            </wp:positionV>
            <wp:extent cx="6048375" cy="6177280"/>
            <wp:effectExtent l="0" t="0" r="9525" b="13970"/>
            <wp:wrapNone/>
            <wp:docPr id="7" name="图片 7" descr="379434fd11f6e44c26a1a07a4e61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9434fd11f6e44c26a1a07a4e618c2"/>
                    <pic:cNvPicPr>
                      <a:picLocks noChangeAspect="1"/>
                    </pic:cNvPicPr>
                  </pic:nvPicPr>
                  <pic:blipFill>
                    <a:blip r:embed="rId9"/>
                    <a:stretch>
                      <a:fillRect/>
                    </a:stretch>
                  </pic:blipFill>
                  <pic:spPr>
                    <a:xfrm>
                      <a:off x="0" y="0"/>
                      <a:ext cx="6048375" cy="6177280"/>
                    </a:xfrm>
                    <a:prstGeom prst="rect">
                      <a:avLst/>
                    </a:prstGeom>
                  </pic:spPr>
                </pic:pic>
              </a:graphicData>
            </a:graphic>
          </wp:anchor>
        </w:drawing>
      </w:r>
      <w:r>
        <w:rPr>
          <w:sz w:val="24"/>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74930</wp:posOffset>
                </wp:positionV>
                <wp:extent cx="2557145" cy="3749675"/>
                <wp:effectExtent l="9525" t="9525" r="24130" b="12700"/>
                <wp:wrapNone/>
                <wp:docPr id="9" name="任意多边形 56"/>
                <wp:cNvGraphicFramePr/>
                <a:graphic xmlns:a="http://schemas.openxmlformats.org/drawingml/2006/main">
                  <a:graphicData uri="http://schemas.microsoft.com/office/word/2010/wordprocessingShape">
                    <wps:wsp>
                      <wps:cNvSpPr/>
                      <wps:spPr>
                        <a:xfrm>
                          <a:off x="0" y="0"/>
                          <a:ext cx="2557145" cy="3749675"/>
                        </a:xfrm>
                        <a:custGeom>
                          <a:avLst/>
                          <a:gdLst/>
                          <a:ahLst/>
                          <a:cxnLst/>
                          <a:pathLst>
                            <a:path w="4027" h="5905">
                              <a:moveTo>
                                <a:pt x="2653" y="94"/>
                              </a:moveTo>
                              <a:lnTo>
                                <a:pt x="2732" y="78"/>
                              </a:lnTo>
                              <a:lnTo>
                                <a:pt x="3063" y="0"/>
                              </a:lnTo>
                              <a:lnTo>
                                <a:pt x="4027" y="663"/>
                              </a:lnTo>
                              <a:lnTo>
                                <a:pt x="2653" y="3394"/>
                              </a:lnTo>
                              <a:lnTo>
                                <a:pt x="2100" y="5621"/>
                              </a:lnTo>
                              <a:lnTo>
                                <a:pt x="0" y="5905"/>
                              </a:lnTo>
                              <a:lnTo>
                                <a:pt x="158" y="3994"/>
                              </a:lnTo>
                              <a:lnTo>
                                <a:pt x="1137" y="2352"/>
                              </a:lnTo>
                              <a:lnTo>
                                <a:pt x="1579" y="1168"/>
                              </a:lnTo>
                              <a:lnTo>
                                <a:pt x="2574" y="31"/>
                              </a:lnTo>
                              <a:lnTo>
                                <a:pt x="2653" y="94"/>
                              </a:lnTo>
                              <a:close/>
                            </a:path>
                          </a:pathLst>
                        </a:custGeom>
                        <a:noFill/>
                        <a:ln w="19050" cap="flat" cmpd="sng">
                          <a:solidFill>
                            <a:srgbClr val="000000"/>
                          </a:solidFill>
                          <a:prstDash val="solid"/>
                          <a:headEnd type="none" w="med" len="med"/>
                          <a:tailEnd type="none" w="med" len="med"/>
                        </a:ln>
                      </wps:spPr>
                      <wps:bodyPr upright="1"/>
                    </wps:wsp>
                  </a:graphicData>
                </a:graphic>
              </wp:anchor>
            </w:drawing>
          </mc:Choice>
          <mc:Fallback>
            <w:pict>
              <v:shape id="任意多边形 56" o:spid="_x0000_s1026" o:spt="100" style="position:absolute;left:0pt;margin-left:8.55pt;margin-top:5.9pt;height:295.25pt;width:201.35pt;z-index:251663360;mso-width-relative:page;mso-height-relative:page;" filled="f" stroked="t" coordsize="4027,5905" o:gfxdata="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EdjgDLWAAAACQEAAA8AAAAAAAAAAQAgAAAAIgAAAGRycy9k&#10;b3ducmV2LnhtbFBLAQIUABQAAAAIAIdO4kCE4ByQrwIAADoGAAAOAAAAAAAAAAEAIAAAACUBAABk&#10;cnMvZTJvRG9jLnhtbFBLBQYAAAAABgAGAFkBAABGBgAAAAA=&#10;" path="m2653,94l2732,78,3063,0,4027,663,2653,3394,2100,5621,0,5905,158,3994,1137,2352,1579,1168,2574,31,2653,94xe">
                <v:fill on="f" focussize="0,0"/>
                <v:stroke weight="1.5pt" color="#000000" joinstyle="round"/>
                <v:imagedata o:title=""/>
                <o:lock v:ext="edit" aspectratio="f"/>
              </v:shape>
            </w:pict>
          </mc:Fallback>
        </mc:AlternateContent>
      </w: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930910</wp:posOffset>
                </wp:positionH>
                <wp:positionV relativeFrom="paragraph">
                  <wp:posOffset>187325</wp:posOffset>
                </wp:positionV>
                <wp:extent cx="1022350" cy="1533525"/>
                <wp:effectExtent l="0" t="0" r="0" b="0"/>
                <wp:wrapNone/>
                <wp:docPr id="16" name="矩形 59"/>
                <wp:cNvGraphicFramePr/>
                <a:graphic xmlns:a="http://schemas.openxmlformats.org/drawingml/2006/main">
                  <a:graphicData uri="http://schemas.microsoft.com/office/word/2010/wordprocessingShape">
                    <wps:wsp>
                      <wps:cNvSpPr/>
                      <wps:spPr>
                        <a:xfrm>
                          <a:off x="0" y="0"/>
                          <a:ext cx="1022350" cy="1533525"/>
                        </a:xfrm>
                        <a:prstGeom prst="rect">
                          <a:avLst/>
                        </a:prstGeom>
                        <a:noFill/>
                        <a:ln>
                          <a:noFill/>
                        </a:ln>
                      </wps:spPr>
                      <wps:txbx>
                        <w:txbxContent>
                          <w:p>
                            <w:pPr>
                              <w:rPr>
                                <w:rFonts w:hint="eastAsia"/>
                                <w:b/>
                                <w:bCs/>
                                <w:sz w:val="36"/>
                                <w:szCs w:val="36"/>
                                <w:lang w:val="en-US" w:eastAsia="zh-CN"/>
                              </w:rPr>
                            </w:pPr>
                            <w:r>
                              <w:rPr>
                                <w:rFonts w:hint="eastAsia"/>
                                <w:b/>
                                <w:bCs/>
                                <w:sz w:val="36"/>
                                <w:szCs w:val="36"/>
                                <w:lang w:val="en-US" w:eastAsia="zh-CN"/>
                              </w:rPr>
                              <w:t>垃圾</w:t>
                            </w:r>
                          </w:p>
                          <w:p>
                            <w:pPr>
                              <w:rPr>
                                <w:rFonts w:hint="eastAsia"/>
                                <w:b/>
                                <w:bCs/>
                                <w:sz w:val="36"/>
                                <w:szCs w:val="36"/>
                                <w:lang w:val="en-US" w:eastAsia="zh-CN"/>
                              </w:rPr>
                            </w:pPr>
                            <w:r>
                              <w:rPr>
                                <w:rFonts w:hint="eastAsia"/>
                                <w:b/>
                                <w:bCs/>
                                <w:sz w:val="36"/>
                                <w:szCs w:val="36"/>
                                <w:lang w:val="en-US" w:eastAsia="zh-CN"/>
                              </w:rPr>
                              <w:t>填埋</w:t>
                            </w:r>
                          </w:p>
                          <w:p>
                            <w:pPr>
                              <w:rPr>
                                <w:rFonts w:hint="default" w:eastAsiaTheme="minorEastAsia"/>
                                <w:b/>
                                <w:bCs/>
                                <w:sz w:val="36"/>
                                <w:szCs w:val="36"/>
                                <w:lang w:val="en-US" w:eastAsia="zh-CN"/>
                              </w:rPr>
                            </w:pPr>
                            <w:r>
                              <w:rPr>
                                <w:rFonts w:hint="eastAsia"/>
                                <w:b/>
                                <w:bCs/>
                                <w:sz w:val="36"/>
                                <w:szCs w:val="36"/>
                                <w:lang w:val="en-US" w:eastAsia="zh-CN"/>
                              </w:rPr>
                              <w:t>区</w:t>
                            </w:r>
                          </w:p>
                        </w:txbxContent>
                      </wps:txbx>
                      <wps:bodyPr upright="1"/>
                    </wps:wsp>
                  </a:graphicData>
                </a:graphic>
              </wp:anchor>
            </w:drawing>
          </mc:Choice>
          <mc:Fallback>
            <w:pict>
              <v:rect id="矩形 59" o:spid="_x0000_s1026" o:spt="1" style="position:absolute;left:0pt;margin-left:73.3pt;margin-top:14.75pt;height:120.75pt;width:80.5pt;z-index:251666432;mso-width-relative:page;mso-height-relative:page;" filled="f" stroked="f" coordsize="21600,21600" o:gfxdata="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gw/SH9kAAAAKAQAADwAA&#10;AAAAAAABACAAAAAiAAAAZHJzL2Rvd25yZXYueG1sUEsBAhQAFAAAAAgAh07iQFLc1TGjAQAARAMA&#10;AA4AAAAAAAAAAQAgAAAAKAEAAGRycy9lMm9Eb2MueG1sUEsFBgAAAAAGAAYAWQEAAD0FAAAAAA==&#10;">
                <v:fill on="f" focussize="0,0"/>
                <v:stroke on="f"/>
                <v:imagedata o:title=""/>
                <o:lock v:ext="edit" aspectratio="f"/>
                <v:textbox>
                  <w:txbxContent>
                    <w:p>
                      <w:pPr>
                        <w:rPr>
                          <w:rFonts w:hint="eastAsia"/>
                          <w:b/>
                          <w:bCs/>
                          <w:sz w:val="36"/>
                          <w:szCs w:val="36"/>
                          <w:lang w:val="en-US" w:eastAsia="zh-CN"/>
                        </w:rPr>
                      </w:pPr>
                      <w:r>
                        <w:rPr>
                          <w:rFonts w:hint="eastAsia"/>
                          <w:b/>
                          <w:bCs/>
                          <w:sz w:val="36"/>
                          <w:szCs w:val="36"/>
                          <w:lang w:val="en-US" w:eastAsia="zh-CN"/>
                        </w:rPr>
                        <w:t>垃圾</w:t>
                      </w:r>
                    </w:p>
                    <w:p>
                      <w:pPr>
                        <w:rPr>
                          <w:rFonts w:hint="eastAsia"/>
                          <w:b/>
                          <w:bCs/>
                          <w:sz w:val="36"/>
                          <w:szCs w:val="36"/>
                          <w:lang w:val="en-US" w:eastAsia="zh-CN"/>
                        </w:rPr>
                      </w:pPr>
                      <w:r>
                        <w:rPr>
                          <w:rFonts w:hint="eastAsia"/>
                          <w:b/>
                          <w:bCs/>
                          <w:sz w:val="36"/>
                          <w:szCs w:val="36"/>
                          <w:lang w:val="en-US" w:eastAsia="zh-CN"/>
                        </w:rPr>
                        <w:t>填埋</w:t>
                      </w:r>
                    </w:p>
                    <w:p>
                      <w:pPr>
                        <w:rPr>
                          <w:rFonts w:hint="default" w:eastAsiaTheme="minorEastAsia"/>
                          <w:b/>
                          <w:bCs/>
                          <w:sz w:val="36"/>
                          <w:szCs w:val="36"/>
                          <w:lang w:val="en-US" w:eastAsia="zh-CN"/>
                        </w:rPr>
                      </w:pPr>
                      <w:r>
                        <w:rPr>
                          <w:rFonts w:hint="eastAsia"/>
                          <w:b/>
                          <w:bCs/>
                          <w:sz w:val="36"/>
                          <w:szCs w:val="36"/>
                          <w:lang w:val="en-US" w:eastAsia="zh-CN"/>
                        </w:rPr>
                        <w:t>区</w:t>
                      </w:r>
                    </w:p>
                  </w:txbxContent>
                </v:textbox>
              </v:rect>
            </w:pict>
          </mc:Fallback>
        </mc:AlternateContent>
      </w: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2634615</wp:posOffset>
                </wp:positionH>
                <wp:positionV relativeFrom="paragraph">
                  <wp:posOffset>282575</wp:posOffset>
                </wp:positionV>
                <wp:extent cx="882650" cy="501650"/>
                <wp:effectExtent l="0" t="0" r="0" b="0"/>
                <wp:wrapNone/>
                <wp:docPr id="18" name="矩形 61"/>
                <wp:cNvGraphicFramePr/>
                <a:graphic xmlns:a="http://schemas.openxmlformats.org/drawingml/2006/main">
                  <a:graphicData uri="http://schemas.microsoft.com/office/word/2010/wordprocessingShape">
                    <wps:wsp>
                      <wps:cNvSpPr/>
                      <wps:spPr>
                        <a:xfrm>
                          <a:off x="0" y="0"/>
                          <a:ext cx="882650" cy="501650"/>
                        </a:xfrm>
                        <a:prstGeom prst="rect">
                          <a:avLst/>
                        </a:prstGeom>
                        <a:solidFill>
                          <a:srgbClr val="000000">
                            <a:alpha val="0"/>
                          </a:srgbClr>
                        </a:solidFill>
                        <a:ln>
                          <a:noFill/>
                        </a:ln>
                      </wps:spPr>
                      <wps:txbx>
                        <w:txbxContent>
                          <w:p>
                            <w:pPr>
                              <w:rPr>
                                <w:rFonts w:hint="default" w:eastAsiaTheme="minorEastAsia"/>
                                <w:b/>
                                <w:bCs/>
                                <w:lang w:val="en-US" w:eastAsia="zh-CN"/>
                              </w:rPr>
                            </w:pPr>
                            <w:r>
                              <w:rPr>
                                <w:rFonts w:hint="eastAsia"/>
                                <w:b/>
                                <w:bCs/>
                                <w:lang w:val="en-US" w:eastAsia="zh-CN"/>
                              </w:rPr>
                              <w:t>生活办公区</w:t>
                            </w:r>
                          </w:p>
                        </w:txbxContent>
                      </wps:txbx>
                      <wps:bodyPr upright="1"/>
                    </wps:wsp>
                  </a:graphicData>
                </a:graphic>
              </wp:anchor>
            </w:drawing>
          </mc:Choice>
          <mc:Fallback>
            <w:pict>
              <v:rect id="矩形 61" o:spid="_x0000_s1026" o:spt="1" style="position:absolute;left:0pt;margin-left:207.45pt;margin-top:22.25pt;height:39.5pt;width:69.5pt;z-index:251668480;mso-width-relative:page;mso-height-relative:page;" fillcolor="#000000" filled="t" stroked="f" coordsize="21600,21600" o:gfxdata="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vPntcAAAAKAQAADwAAAAAAAAABACAAAAAiAAAAZHJzL2Rvd25yZXYueG1sUEsB&#10;AhQAFAAAAAgAh07iQNZ0AOa9AQAAiAMAAA4AAAAAAAAAAQAgAAAAJgEAAGRycy9lMm9Eb2MueG1s&#10;UEsFBgAAAAAGAAYAWQEAAFUFAAAAAA==&#10;">
                <v:fill on="t" opacity="0f" focussize="0,0"/>
                <v:stroke on="f"/>
                <v:imagedata o:title=""/>
                <o:lock v:ext="edit" aspectratio="f"/>
                <v:textbox>
                  <w:txbxContent>
                    <w:p>
                      <w:pPr>
                        <w:rPr>
                          <w:rFonts w:hint="default" w:eastAsiaTheme="minorEastAsia"/>
                          <w:b/>
                          <w:bCs/>
                          <w:lang w:val="en-US" w:eastAsia="zh-CN"/>
                        </w:rPr>
                      </w:pPr>
                      <w:r>
                        <w:rPr>
                          <w:rFonts w:hint="eastAsia"/>
                          <w:b/>
                          <w:bCs/>
                          <w:lang w:val="en-US" w:eastAsia="zh-CN"/>
                        </w:rPr>
                        <w:t>生活办公区</w:t>
                      </w:r>
                    </w:p>
                  </w:txbxContent>
                </v:textbox>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2765425</wp:posOffset>
                </wp:positionH>
                <wp:positionV relativeFrom="paragraph">
                  <wp:posOffset>92710</wp:posOffset>
                </wp:positionV>
                <wp:extent cx="902335" cy="992505"/>
                <wp:effectExtent l="9525" t="9525" r="21590" b="26670"/>
                <wp:wrapNone/>
                <wp:docPr id="13" name="任意多边形 58"/>
                <wp:cNvGraphicFramePr/>
                <a:graphic xmlns:a="http://schemas.openxmlformats.org/drawingml/2006/main">
                  <a:graphicData uri="http://schemas.microsoft.com/office/word/2010/wordprocessingShape">
                    <wps:wsp>
                      <wps:cNvSpPr/>
                      <wps:spPr>
                        <a:xfrm>
                          <a:off x="0" y="0"/>
                          <a:ext cx="902335" cy="992505"/>
                        </a:xfrm>
                        <a:custGeom>
                          <a:avLst/>
                          <a:gdLst/>
                          <a:ahLst/>
                          <a:cxnLst/>
                          <a:pathLst>
                            <a:path w="1421" h="1563">
                              <a:moveTo>
                                <a:pt x="48" y="347"/>
                              </a:moveTo>
                              <a:lnTo>
                                <a:pt x="174" y="410"/>
                              </a:lnTo>
                              <a:lnTo>
                                <a:pt x="237" y="537"/>
                              </a:lnTo>
                              <a:lnTo>
                                <a:pt x="285" y="647"/>
                              </a:lnTo>
                              <a:lnTo>
                                <a:pt x="727" y="1484"/>
                              </a:lnTo>
                              <a:lnTo>
                                <a:pt x="1121" y="1247"/>
                              </a:lnTo>
                              <a:lnTo>
                                <a:pt x="1232" y="1563"/>
                              </a:lnTo>
                              <a:lnTo>
                                <a:pt x="1421" y="1452"/>
                              </a:lnTo>
                              <a:lnTo>
                                <a:pt x="616" y="0"/>
                              </a:lnTo>
                              <a:lnTo>
                                <a:pt x="0" y="252"/>
                              </a:lnTo>
                              <a:lnTo>
                                <a:pt x="48" y="347"/>
                              </a:lnTo>
                              <a:close/>
                            </a:path>
                          </a:pathLst>
                        </a:custGeom>
                        <a:noFill/>
                        <a:ln w="19050" cap="flat" cmpd="sng">
                          <a:solidFill>
                            <a:srgbClr val="000000"/>
                          </a:solidFill>
                          <a:prstDash val="solid"/>
                          <a:headEnd type="none" w="med" len="med"/>
                          <a:tailEnd type="none" w="med" len="med"/>
                        </a:ln>
                      </wps:spPr>
                      <wps:bodyPr upright="1"/>
                    </wps:wsp>
                  </a:graphicData>
                </a:graphic>
              </wp:anchor>
            </w:drawing>
          </mc:Choice>
          <mc:Fallback>
            <w:pict>
              <v:shape id="任意多边形 58" o:spid="_x0000_s1026" o:spt="100" style="position:absolute;left:0pt;margin-left:217.75pt;margin-top:7.3pt;height:78.15pt;width:71.05pt;z-index:251665408;mso-width-relative:page;mso-height-relative:page;" filled="f" stroked="t" coordsize="1421,1563" o:gfxdata="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KOqddkAAAAKAQAADwAAAAAAAAABACAAAAAiAAAAZHJzL2Rvd25yZXYueG1sUEsBAhQA&#10;FAAAAAgAh07iQOEPakWcAgAACgYAAA4AAAAAAAAAAQAgAAAAKAEAAGRycy9lMm9Eb2MueG1sUEsF&#10;BgAAAAAGAAYAWQEAADYGAAAAAA==&#10;" path="m48,347l174,410,237,537,285,647,727,1484,1121,1247,1232,1563,1421,1452,616,0,0,252,48,347xe">
                <v:fill on="f" focussize="0,0"/>
                <v:stroke weight="1.5pt" color="#000000" joinstyle="round"/>
                <v:imagedata o:title=""/>
                <o:lock v:ext="edit" aspectratio="f"/>
              </v:shape>
            </w:pict>
          </mc:Fallback>
        </mc:AlternateContent>
      </w: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hint="eastAsia" w:ascii="Times New Roman" w:hAnsi="Times New Roman" w:eastAsia="宋体" w:cs="Times New Roman"/>
          <w:sz w:val="24"/>
          <w:szCs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1141730</wp:posOffset>
                </wp:positionH>
                <wp:positionV relativeFrom="paragraph">
                  <wp:posOffset>681355</wp:posOffset>
                </wp:positionV>
                <wp:extent cx="1052195" cy="611505"/>
                <wp:effectExtent l="0" t="0" r="0" b="0"/>
                <wp:wrapNone/>
                <wp:docPr id="17" name="矩形 60"/>
                <wp:cNvGraphicFramePr/>
                <a:graphic xmlns:a="http://schemas.openxmlformats.org/drawingml/2006/main">
                  <a:graphicData uri="http://schemas.microsoft.com/office/word/2010/wordprocessingShape">
                    <wps:wsp>
                      <wps:cNvSpPr/>
                      <wps:spPr>
                        <a:xfrm>
                          <a:off x="0" y="0"/>
                          <a:ext cx="1052195" cy="611505"/>
                        </a:xfrm>
                        <a:prstGeom prst="rect">
                          <a:avLst/>
                        </a:prstGeom>
                        <a:noFill/>
                        <a:ln>
                          <a:noFill/>
                        </a:ln>
                      </wps:spPr>
                      <wps:txbx>
                        <w:txbxContent>
                          <w:p>
                            <w:pPr>
                              <w:rPr>
                                <w:rFonts w:hint="default" w:eastAsiaTheme="minorEastAsia"/>
                                <w:b/>
                                <w:bCs/>
                                <w:lang w:val="en-US" w:eastAsia="zh-CN"/>
                              </w:rPr>
                            </w:pPr>
                            <w:r>
                              <w:rPr>
                                <w:rFonts w:hint="eastAsia"/>
                                <w:b/>
                                <w:bCs/>
                                <w:lang w:val="en-US" w:eastAsia="zh-CN"/>
                              </w:rPr>
                              <w:t>渗滤液处理区</w:t>
                            </w:r>
                          </w:p>
                        </w:txbxContent>
                      </wps:txbx>
                      <wps:bodyPr upright="1"/>
                    </wps:wsp>
                  </a:graphicData>
                </a:graphic>
              </wp:anchor>
            </w:drawing>
          </mc:Choice>
          <mc:Fallback>
            <w:pict>
              <v:rect id="矩形 60" o:spid="_x0000_s1026" o:spt="1" style="position:absolute;left:0pt;margin-left:89.9pt;margin-top:53.65pt;height:48.15pt;width:82.85pt;z-index:251667456;mso-width-relative:page;mso-height-relative:page;" filled="f" stroked="f" coordsize="21600,21600" o:gfxdata="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wv9AU3AAAAAsBAAAP&#10;AAAAAAAAAAEAIAAAACIAAABkcnMvZG93bnJldi54bWxQSwECFAAUAAAACACHTuJA5rydg6IBAABD&#10;AwAADgAAAAAAAAABACAAAAArAQAAZHJzL2Uyb0RvYy54bWxQSwUGAAAAAAYABgBZAQAAPwUAAAAA&#10;">
                <v:fill on="f" focussize="0,0"/>
                <v:stroke on="f"/>
                <v:imagedata o:title=""/>
                <o:lock v:ext="edit" aspectratio="f"/>
                <v:textbox>
                  <w:txbxContent>
                    <w:p>
                      <w:pPr>
                        <w:rPr>
                          <w:rFonts w:hint="default" w:eastAsiaTheme="minorEastAsia"/>
                          <w:b/>
                          <w:bCs/>
                          <w:lang w:val="en-US" w:eastAsia="zh-CN"/>
                        </w:rPr>
                      </w:pPr>
                      <w:r>
                        <w:rPr>
                          <w:rFonts w:hint="eastAsia"/>
                          <w:b/>
                          <w:bCs/>
                          <w:lang w:val="en-US" w:eastAsia="zh-CN"/>
                        </w:rPr>
                        <w:t>渗滤液处理区</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1051560</wp:posOffset>
                </wp:positionH>
                <wp:positionV relativeFrom="paragraph">
                  <wp:posOffset>320675</wp:posOffset>
                </wp:positionV>
                <wp:extent cx="972185" cy="1022350"/>
                <wp:effectExtent l="9525" t="9525" r="27940" b="15875"/>
                <wp:wrapNone/>
                <wp:docPr id="12" name="任意多边形 57"/>
                <wp:cNvGraphicFramePr/>
                <a:graphic xmlns:a="http://schemas.openxmlformats.org/drawingml/2006/main">
                  <a:graphicData uri="http://schemas.microsoft.com/office/word/2010/wordprocessingShape">
                    <wps:wsp>
                      <wps:cNvSpPr/>
                      <wps:spPr>
                        <a:xfrm>
                          <a:off x="0" y="0"/>
                          <a:ext cx="972185" cy="1022350"/>
                        </a:xfrm>
                        <a:custGeom>
                          <a:avLst/>
                          <a:gdLst/>
                          <a:ahLst/>
                          <a:cxnLst/>
                          <a:pathLst>
                            <a:path w="1689" h="1579">
                              <a:moveTo>
                                <a:pt x="0" y="331"/>
                              </a:moveTo>
                              <a:lnTo>
                                <a:pt x="110" y="379"/>
                              </a:lnTo>
                              <a:lnTo>
                                <a:pt x="173" y="505"/>
                              </a:lnTo>
                              <a:lnTo>
                                <a:pt x="236" y="631"/>
                              </a:lnTo>
                              <a:lnTo>
                                <a:pt x="315" y="774"/>
                              </a:lnTo>
                              <a:lnTo>
                                <a:pt x="410" y="900"/>
                              </a:lnTo>
                              <a:lnTo>
                                <a:pt x="489" y="1010"/>
                              </a:lnTo>
                              <a:lnTo>
                                <a:pt x="552" y="1121"/>
                              </a:lnTo>
                              <a:lnTo>
                                <a:pt x="600" y="1247"/>
                              </a:lnTo>
                              <a:lnTo>
                                <a:pt x="694" y="1358"/>
                              </a:lnTo>
                              <a:lnTo>
                                <a:pt x="805" y="1453"/>
                              </a:lnTo>
                              <a:lnTo>
                                <a:pt x="931" y="1547"/>
                              </a:lnTo>
                              <a:lnTo>
                                <a:pt x="1042" y="1579"/>
                              </a:lnTo>
                              <a:lnTo>
                                <a:pt x="1152" y="1579"/>
                              </a:lnTo>
                              <a:lnTo>
                                <a:pt x="1278" y="1547"/>
                              </a:lnTo>
                              <a:lnTo>
                                <a:pt x="1389" y="1563"/>
                              </a:lnTo>
                              <a:lnTo>
                                <a:pt x="1500" y="1563"/>
                              </a:lnTo>
                              <a:lnTo>
                                <a:pt x="1610" y="1500"/>
                              </a:lnTo>
                              <a:lnTo>
                                <a:pt x="1657" y="1389"/>
                              </a:lnTo>
                              <a:lnTo>
                                <a:pt x="1657" y="1279"/>
                              </a:lnTo>
                              <a:lnTo>
                                <a:pt x="1657" y="1168"/>
                              </a:lnTo>
                              <a:lnTo>
                                <a:pt x="1689" y="1058"/>
                              </a:lnTo>
                              <a:lnTo>
                                <a:pt x="1689" y="947"/>
                              </a:lnTo>
                              <a:lnTo>
                                <a:pt x="1594" y="837"/>
                              </a:lnTo>
                              <a:lnTo>
                                <a:pt x="1657" y="726"/>
                              </a:lnTo>
                              <a:lnTo>
                                <a:pt x="1547" y="616"/>
                              </a:lnTo>
                              <a:lnTo>
                                <a:pt x="1436" y="521"/>
                              </a:lnTo>
                              <a:lnTo>
                                <a:pt x="1326" y="458"/>
                              </a:lnTo>
                              <a:lnTo>
                                <a:pt x="1215" y="347"/>
                              </a:lnTo>
                              <a:lnTo>
                                <a:pt x="1105" y="300"/>
                              </a:lnTo>
                              <a:lnTo>
                                <a:pt x="994" y="253"/>
                              </a:lnTo>
                              <a:lnTo>
                                <a:pt x="868" y="189"/>
                              </a:lnTo>
                              <a:lnTo>
                                <a:pt x="757" y="142"/>
                              </a:lnTo>
                              <a:lnTo>
                                <a:pt x="647" y="31"/>
                              </a:lnTo>
                              <a:lnTo>
                                <a:pt x="521" y="0"/>
                              </a:lnTo>
                              <a:lnTo>
                                <a:pt x="410" y="0"/>
                              </a:lnTo>
                              <a:lnTo>
                                <a:pt x="300" y="0"/>
                              </a:lnTo>
                              <a:lnTo>
                                <a:pt x="189" y="0"/>
                              </a:lnTo>
                              <a:lnTo>
                                <a:pt x="78" y="79"/>
                              </a:lnTo>
                              <a:lnTo>
                                <a:pt x="31" y="189"/>
                              </a:lnTo>
                              <a:lnTo>
                                <a:pt x="15" y="300"/>
                              </a:lnTo>
                              <a:lnTo>
                                <a:pt x="0" y="331"/>
                              </a:lnTo>
                              <a:close/>
                            </a:path>
                          </a:pathLst>
                        </a:custGeom>
                        <a:noFill/>
                        <a:ln w="19050" cap="flat" cmpd="sng">
                          <a:solidFill>
                            <a:srgbClr val="000000"/>
                          </a:solidFill>
                          <a:prstDash val="solid"/>
                          <a:headEnd type="none" w="med" len="med"/>
                          <a:tailEnd type="none" w="med" len="med"/>
                        </a:ln>
                      </wps:spPr>
                      <wps:bodyPr upright="1"/>
                    </wps:wsp>
                  </a:graphicData>
                </a:graphic>
              </wp:anchor>
            </w:drawing>
          </mc:Choice>
          <mc:Fallback>
            <w:pict>
              <v:shape id="任意多边形 57" o:spid="_x0000_s1026" o:spt="100" style="position:absolute;left:0pt;margin-left:82.8pt;margin-top:25.25pt;height:80.5pt;width:76.55pt;z-index:251664384;mso-width-relative:page;mso-height-relative:page;" filled="f" stroked="t" coordsize="1689,1579" o:gfxdata="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" path="m0,331l110,379,173,505,236,631,315,774,410,900,489,1010,552,1121,600,1247,694,1358,805,1453,931,1547,1042,1579,1152,1579,1278,1547,1389,1563,1500,1563,1610,1500,1657,1389,1657,1279,1657,1168,1689,1058,1689,947,1594,837,1657,726,1547,616,1436,521,1326,458,1215,347,1105,300,994,253,868,189,757,142,647,31,521,0,410,0,300,0,189,0,78,79,31,189,15,300,0,331xe">
                <v:fill on="f" focussize="0,0"/>
                <v:stroke weight="1.5pt" color="#000000" joinstyle="round"/>
                <v:imagedata o:title=""/>
                <o:lock v:ext="edit" aspectratio="f"/>
              </v:shape>
            </w:pict>
          </mc:Fallback>
        </mc:AlternateContent>
      </w: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hint="eastAsia"/>
          <w:lang w:val="en-US" w:eastAsia="zh-CN"/>
        </w:rPr>
      </w:pPr>
    </w:p>
    <w:p>
      <w:pPr>
        <w:spacing w:line="360" w:lineRule="auto"/>
        <w:ind w:firstLine="420" w:firstLineChars="200"/>
        <w:rPr>
          <w:rFonts w:ascii="Times New Roman" w:hAnsi="Times New Roman" w:eastAsia="宋体" w:cs="Times New Roman"/>
          <w:b/>
          <w:sz w:val="24"/>
          <w:szCs w:val="24"/>
        </w:rPr>
      </w:pPr>
      <w:r>
        <w:rPr>
          <w:rFonts w:hint="eastAsia"/>
          <w:lang w:val="en-US" w:eastAsia="zh-CN"/>
        </w:rPr>
        <w:t xml:space="preserve">                      </w:t>
      </w:r>
      <w:r>
        <w:rPr>
          <w:rFonts w:hint="eastAsia" w:ascii="Times New Roman" w:hAnsi="Times New Roman" w:eastAsia="宋体" w:cs="Times New Roman"/>
          <w:b/>
          <w:sz w:val="24"/>
          <w:szCs w:val="24"/>
        </w:rPr>
        <w:t>图4-2本场地平面布置图</w:t>
      </w:r>
    </w:p>
    <w:p>
      <w:pPr>
        <w:pStyle w:val="29"/>
        <w:tabs>
          <w:tab w:val="clear" w:pos="0"/>
        </w:tabs>
        <w:adjustRightInd/>
        <w:snapToGrid/>
        <w:spacing w:before="0" w:after="0" w:line="360" w:lineRule="auto"/>
        <w:rPr>
          <w:rFonts w:ascii="Times New Roman" w:hAnsi="Times New Roman" w:eastAsia="宋体" w:cs="Times New Roman"/>
          <w:b/>
          <w:bCs/>
          <w:color w:val="auto"/>
        </w:rPr>
      </w:pPr>
      <w:bookmarkStart w:id="23" w:name="_Toc11925"/>
      <w:r>
        <w:rPr>
          <w:rFonts w:hint="eastAsia" w:ascii="Times New Roman" w:hAnsi="Times New Roman" w:eastAsia="宋体" w:cs="Times New Roman"/>
          <w:b/>
          <w:bCs/>
          <w:color w:val="auto"/>
        </w:rPr>
        <w:t>五、重点区域划分</w:t>
      </w:r>
      <w:bookmarkEnd w:id="23"/>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（1）划分原则</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根据各设施信息、污染物迁移途径等，识别企业内部存在土壤或地下水污染隐患的重点设施。存在土壤或地下水污染隐患的重点设施一般包括但不仅限于：</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a）涉及有毒有害物质的生产区或生产设施；</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b）涉及有毒有害物质的原辅材料、产品、固体废物等的贮存或堆放区；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c）涉及有毒有害物质的原辅材料、产品、固体废物等的转运、传送或装卸区；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d）贮存或运输有毒有害物质的各类罐槽或管线；</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e）三废（废气、废水、固体废物）处理处置或排放区。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（2）划分结果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本场地的办公区和停车场不存污染物质，潜在污染源主要为生活垃圾堆存和三废物处理处置。</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重点区的划分考虑垃圾填埋区、渗滤液收集</w:t>
      </w:r>
      <w:r>
        <w:rPr>
          <w:rFonts w:hint="eastAsia" w:ascii="Times New Roman" w:hAnsi="Times New Roman" w:eastAsia="宋体" w:cs="Times New Roman"/>
          <w:sz w:val="24"/>
          <w:szCs w:val="24"/>
          <w:lang w:val="en-US" w:eastAsia="zh-CN"/>
        </w:rPr>
        <w:t>处理区</w:t>
      </w:r>
      <w:r>
        <w:rPr>
          <w:rFonts w:hint="eastAsia" w:ascii="Times New Roman" w:hAnsi="Times New Roman" w:eastAsia="宋体" w:cs="Times New Roman"/>
          <w:sz w:val="24"/>
          <w:szCs w:val="24"/>
        </w:rPr>
        <w:t>所在区域。由于各区距离较近，将各区划为一个重点区，划分结果见下图。</w:t>
      </w:r>
    </w:p>
    <w:p>
      <w:pPr>
        <w:spacing w:line="360" w:lineRule="auto"/>
        <w:rPr>
          <w:rFonts w:ascii="Times New Roman" w:hAnsi="Times New Roman" w:eastAsia="宋体" w:cs="Times New Roman"/>
          <w:color w:val="FF0000"/>
          <w:sz w:val="24"/>
          <w:szCs w:val="24"/>
        </w:rPr>
      </w:pPr>
      <w:r>
        <w:drawing>
          <wp:inline distT="0" distB="0" distL="114300" distR="114300">
            <wp:extent cx="5269865" cy="5059045"/>
            <wp:effectExtent l="0" t="0" r="6985"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5269865" cy="5059045"/>
                    </a:xfrm>
                    <a:prstGeom prst="rect">
                      <a:avLst/>
                    </a:prstGeom>
                    <a:noFill/>
                    <a:ln>
                      <a:noFill/>
                    </a:ln>
                  </pic:spPr>
                </pic:pic>
              </a:graphicData>
            </a:graphic>
          </wp:inline>
        </w:drawing>
      </w:r>
    </w:p>
    <w:p>
      <w:pPr>
        <w:spacing w:line="360" w:lineRule="auto"/>
        <w:ind w:firstLine="482" w:firstLineChars="200"/>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图5-1重点区划分结果图</w:t>
      </w:r>
    </w:p>
    <w:p>
      <w:pPr>
        <w:pStyle w:val="29"/>
        <w:tabs>
          <w:tab w:val="clear" w:pos="0"/>
        </w:tabs>
        <w:adjustRightInd/>
        <w:snapToGrid/>
        <w:spacing w:before="0" w:after="0" w:line="360" w:lineRule="auto"/>
        <w:rPr>
          <w:rFonts w:ascii="Times New Roman" w:hAnsi="Times New Roman" w:eastAsia="宋体" w:cs="Times New Roman"/>
          <w:b/>
          <w:bCs/>
          <w:color w:val="auto"/>
        </w:rPr>
      </w:pPr>
      <w:bookmarkStart w:id="24" w:name="_Toc9343"/>
      <w:r>
        <w:rPr>
          <w:rFonts w:hint="eastAsia" w:ascii="Times New Roman" w:hAnsi="Times New Roman" w:eastAsia="宋体" w:cs="Times New Roman"/>
          <w:b/>
          <w:bCs/>
          <w:color w:val="auto"/>
        </w:rPr>
        <w:t>六、监测内容</w:t>
      </w:r>
      <w:bookmarkEnd w:id="2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（1）监测对象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自行监测企业应针对识别出的重点设施及重点区域，开展土壤及地下水监测工作。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（2）监测点位</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土壤：1#污水处理区</w:t>
      </w:r>
      <w:r>
        <w:rPr>
          <w:rFonts w:hint="default" w:ascii="Times New Roman" w:hAnsi="Times New Roman" w:eastAsia="宋体" w:cs="Times New Roman"/>
          <w:sz w:val="24"/>
          <w:szCs w:val="24"/>
          <w:lang w:val="en-US" w:eastAsia="zh-CN"/>
        </w:rPr>
        <w:t>表层样、</w:t>
      </w:r>
      <w:r>
        <w:rPr>
          <w:rFonts w:hint="eastAsia" w:ascii="Times New Roman" w:hAnsi="Times New Roman" w:eastAsia="宋体" w:cs="Times New Roman"/>
          <w:sz w:val="24"/>
          <w:szCs w:val="24"/>
          <w:lang w:val="en-US" w:eastAsia="zh-CN"/>
        </w:rPr>
        <w:t>2#渗滤液收集池</w:t>
      </w:r>
      <w:r>
        <w:rPr>
          <w:rFonts w:hint="default" w:ascii="Times New Roman" w:hAnsi="Times New Roman" w:eastAsia="宋体" w:cs="Times New Roman"/>
          <w:sz w:val="24"/>
          <w:szCs w:val="24"/>
          <w:lang w:val="en-US" w:eastAsia="zh-CN"/>
        </w:rPr>
        <w:t>表层样</w:t>
      </w:r>
      <w:r>
        <w:rPr>
          <w:rFonts w:hint="eastAsia" w:ascii="Times New Roman" w:hAnsi="Times New Roman" w:eastAsia="宋体" w:cs="Times New Roman"/>
          <w:sz w:val="24"/>
          <w:szCs w:val="24"/>
          <w:lang w:val="en-US" w:eastAsia="zh-CN"/>
        </w:rPr>
        <w:t>、3#填埋区东南侧</w:t>
      </w:r>
      <w:r>
        <w:rPr>
          <w:rFonts w:hint="default" w:ascii="Times New Roman" w:hAnsi="Times New Roman" w:eastAsia="宋体" w:cs="Times New Roman"/>
          <w:sz w:val="24"/>
          <w:szCs w:val="24"/>
          <w:lang w:val="en-US" w:eastAsia="zh-CN"/>
        </w:rPr>
        <w:t>表层样</w:t>
      </w:r>
      <w:r>
        <w:rPr>
          <w:rFonts w:hint="eastAsia" w:ascii="Times New Roman" w:hAnsi="Times New Roman" w:eastAsia="宋体" w:cs="Times New Roman"/>
          <w:sz w:val="24"/>
          <w:szCs w:val="24"/>
          <w:lang w:val="en-US" w:eastAsia="zh-CN"/>
        </w:rPr>
        <w:t>、4#填埋区西北侧</w:t>
      </w:r>
      <w:r>
        <w:rPr>
          <w:rFonts w:hint="default" w:ascii="Times New Roman" w:hAnsi="Times New Roman" w:eastAsia="宋体" w:cs="Times New Roman"/>
          <w:sz w:val="24"/>
          <w:szCs w:val="24"/>
          <w:lang w:val="en-US" w:eastAsia="zh-CN"/>
        </w:rPr>
        <w:t>表层样</w:t>
      </w:r>
      <w:r>
        <w:rPr>
          <w:rFonts w:hint="eastAsia" w:ascii="Times New Roman" w:hAnsi="Times New Roman" w:eastAsia="宋体" w:cs="Times New Roman"/>
          <w:sz w:val="24"/>
          <w:szCs w:val="24"/>
          <w:lang w:val="en-US" w:eastAsia="zh-CN"/>
        </w:rPr>
        <w:t>、5#生活办公区表层样各设置1个检测点位，共</w:t>
      </w:r>
      <w:r>
        <w:rPr>
          <w:rFonts w:hint="default" w:ascii="Times New Roman" w:hAnsi="Times New Roman" w:eastAsia="宋体" w:cs="Times New Roman"/>
          <w:sz w:val="24"/>
          <w:szCs w:val="24"/>
          <w:lang w:val="en-US" w:eastAsia="zh-CN"/>
        </w:rPr>
        <w:t>设</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个检测点位</w:t>
      </w:r>
      <w:r>
        <w:rPr>
          <w:rFonts w:hint="eastAsia" w:ascii="Times New Roman" w:hAnsi="Times New Roman" w:eastAsia="宋体" w:cs="Times New Roman"/>
          <w:sz w:val="24"/>
          <w:szCs w:val="24"/>
          <w:lang w:val="en-US"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地下水：1#污水处理站下游</w:t>
      </w:r>
      <w:r>
        <w:rPr>
          <w:rFonts w:hint="eastAsia" w:ascii="Times New Roman" w:hAnsi="Times New Roman" w:eastAsia="宋体" w:cs="Times New Roman"/>
          <w:sz w:val="24"/>
          <w:szCs w:val="24"/>
          <w:lang w:val="en-US" w:eastAsia="zh-CN"/>
        </w:rPr>
        <w:t>30m监测井</w:t>
      </w:r>
      <w:r>
        <w:rPr>
          <w:rFonts w:hint="eastAsia" w:ascii="Times New Roman" w:hAnsi="Times New Roman" w:eastAsia="宋体" w:cs="Times New Roman"/>
          <w:sz w:val="24"/>
          <w:szCs w:val="24"/>
          <w:lang w:eastAsia="zh-CN"/>
        </w:rPr>
        <w:t>；2#东侧</w:t>
      </w:r>
      <w:r>
        <w:rPr>
          <w:rFonts w:hint="eastAsia" w:ascii="Times New Roman" w:hAnsi="Times New Roman" w:eastAsia="宋体" w:cs="Times New Roman"/>
          <w:sz w:val="24"/>
          <w:szCs w:val="24"/>
          <w:lang w:val="en-US" w:eastAsia="zh-CN"/>
        </w:rPr>
        <w:t>50m监测井</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3#彭家大庄水井各设置1个检测点位,共</w:t>
      </w:r>
      <w:r>
        <w:rPr>
          <w:rFonts w:hint="default" w:ascii="Times New Roman" w:hAnsi="Times New Roman" w:eastAsia="宋体" w:cs="Times New Roman"/>
          <w:sz w:val="24"/>
          <w:szCs w:val="24"/>
          <w:lang w:val="en-US" w:eastAsia="zh-CN"/>
        </w:rPr>
        <w:t>设</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个检测点位</w:t>
      </w:r>
      <w:r>
        <w:rPr>
          <w:rFonts w:hint="eastAsia" w:ascii="Times New Roman" w:hAnsi="Times New Roman" w:eastAsia="宋体" w:cs="Times New Roman"/>
          <w:sz w:val="24"/>
          <w:szCs w:val="24"/>
          <w:lang w:val="en-US" w:eastAsia="zh-CN"/>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（3）监测因子</w:t>
      </w:r>
    </w:p>
    <w:p>
      <w:pPr>
        <w:spacing w:line="360" w:lineRule="auto"/>
        <w:ind w:firstLine="480" w:firstLineChars="200"/>
        <w:rPr>
          <w:rFonts w:hint="eastAsia"/>
          <w:sz w:val="24"/>
          <w:szCs w:val="24"/>
          <w:lang w:val="en-US" w:eastAsia="zh-CN"/>
        </w:rPr>
      </w:pPr>
      <w:r>
        <w:rPr>
          <w:rFonts w:hint="eastAsia"/>
          <w:sz w:val="24"/>
          <w:szCs w:val="24"/>
          <w:lang w:eastAsia="zh-CN"/>
        </w:rPr>
        <w:t>土</w:t>
      </w:r>
      <w:r>
        <w:rPr>
          <w:rFonts w:hint="eastAsia"/>
          <w:sz w:val="24"/>
          <w:szCs w:val="24"/>
          <w:lang w:val="en-US" w:eastAsia="zh-CN"/>
        </w:rPr>
        <w:t>壤：砷、镉、六价铬、铜、铅、汞、镍、硝基苯、苯胺（4-氯苯胺、2-硝基苯胺、3-硝基苯胺、4-硝基苯胺）、2-氯酚、苯并(a)蒽、苯并(a)芘、苯并(b)荧蒽、苯并(k)荧蒽、䓛、二苯并(a，h)蒽、茚并(1,2,3-cd)芘、萘、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pPr>
        <w:spacing w:line="360" w:lineRule="auto"/>
        <w:ind w:firstLine="480" w:firstLineChars="200"/>
        <w:rPr>
          <w:rFonts w:hint="eastAsia"/>
          <w:sz w:val="24"/>
          <w:szCs w:val="24"/>
          <w:lang w:val="en-US" w:eastAsia="zh-CN"/>
        </w:rPr>
      </w:pPr>
      <w:r>
        <w:rPr>
          <w:rFonts w:hint="eastAsia"/>
          <w:sz w:val="24"/>
          <w:szCs w:val="24"/>
          <w:lang w:val="en-US" w:eastAsia="zh-CN"/>
        </w:rPr>
        <w:t>地下水：pH、色度、臭和味、浊度、肉眼可见物、总硬度、溶解性总固体、硫酸盐、氯化物、铁、锰、铜、锌、铝、挥发酚、阴离子表面活性剂、耗氧量、氨氮、硫化物、钠、亚硝酸盐氮、硝酸盐氮、氰化物、氟化物、碘化物、汞、砷、硒、镉、六价铬、铅、三氯甲烷、四氯化碳、苯、甲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（4）监测频次</w:t>
      </w:r>
    </w:p>
    <w:p>
      <w:pPr>
        <w:spacing w:line="360" w:lineRule="auto"/>
        <w:ind w:firstLine="480" w:firstLineChars="200"/>
        <w:rPr>
          <w:rFonts w:hint="eastAsia"/>
          <w:sz w:val="24"/>
          <w:szCs w:val="24"/>
          <w:lang w:val="en-US" w:eastAsia="zh-CN"/>
        </w:rPr>
      </w:pPr>
      <w:r>
        <w:rPr>
          <w:rFonts w:hint="eastAsia"/>
          <w:sz w:val="24"/>
          <w:szCs w:val="24"/>
          <w:lang w:val="en-US" w:eastAsia="zh-CN"/>
        </w:rPr>
        <w:t>土壤：表层样1次/年、1天/1次，1频次/1次；</w:t>
      </w:r>
    </w:p>
    <w:p>
      <w:pPr>
        <w:spacing w:line="360" w:lineRule="auto"/>
        <w:ind w:firstLine="480" w:firstLineChars="200"/>
        <w:rPr>
          <w:rFonts w:hint="eastAsia"/>
          <w:sz w:val="24"/>
          <w:szCs w:val="24"/>
          <w:lang w:val="en-US" w:eastAsia="zh-CN"/>
        </w:rPr>
      </w:pPr>
      <w:r>
        <w:rPr>
          <w:rFonts w:hint="eastAsia"/>
          <w:sz w:val="24"/>
          <w:szCs w:val="24"/>
          <w:lang w:val="en-US" w:eastAsia="zh-CN"/>
        </w:rPr>
        <w:t>地下水：1次/半年、1天/1次，1频次/1次。</w:t>
      </w:r>
    </w:p>
    <w:p>
      <w:pPr>
        <w:spacing w:line="360" w:lineRule="auto"/>
        <w:ind w:firstLine="480" w:firstLineChars="200"/>
        <w:rPr>
          <w:rFonts w:hint="eastAsia"/>
          <w:sz w:val="24"/>
          <w:szCs w:val="24"/>
          <w:lang w:val="en-US" w:eastAsia="zh-CN"/>
        </w:rPr>
      </w:pPr>
      <w:r>
        <w:rPr>
          <w:rFonts w:hint="eastAsia"/>
          <w:sz w:val="24"/>
          <w:szCs w:val="24"/>
          <w:lang w:val="en-US" w:eastAsia="zh-CN"/>
        </w:rPr>
        <w:t>（5）样品采集、保存、流转、制备</w:t>
      </w:r>
    </w:p>
    <w:p>
      <w:pPr>
        <w:spacing w:line="360" w:lineRule="auto"/>
        <w:ind w:firstLine="480" w:firstLineChars="200"/>
        <w:rPr>
          <w:rFonts w:hint="eastAsia"/>
          <w:sz w:val="24"/>
          <w:szCs w:val="24"/>
          <w:lang w:val="en-US" w:eastAsia="zh-CN"/>
        </w:rPr>
      </w:pPr>
      <w:r>
        <w:rPr>
          <w:rFonts w:hint="eastAsia"/>
          <w:sz w:val="24"/>
          <w:szCs w:val="24"/>
          <w:lang w:val="en-US" w:eastAsia="zh-CN"/>
        </w:rPr>
        <w:t>1、样品采集、保存</w:t>
      </w:r>
    </w:p>
    <w:p>
      <w:pPr>
        <w:bidi w:val="0"/>
        <w:ind w:firstLine="480" w:firstLineChars="200"/>
        <w:rPr>
          <w:rFonts w:hint="eastAsia"/>
          <w:sz w:val="24"/>
          <w:szCs w:val="28"/>
          <w:lang w:val="en-US" w:eastAsia="zh-CN"/>
        </w:rPr>
      </w:pPr>
      <w:r>
        <w:rPr>
          <w:rFonts w:hint="eastAsia"/>
          <w:sz w:val="24"/>
          <w:szCs w:val="24"/>
          <w:lang w:val="en-US" w:eastAsia="zh-CN"/>
        </w:rPr>
        <w:t>土壤</w:t>
      </w:r>
    </w:p>
    <w:p>
      <w:pPr>
        <w:spacing w:line="360" w:lineRule="auto"/>
        <w:ind w:firstLine="480" w:firstLineChars="200"/>
        <w:rPr>
          <w:rFonts w:hint="eastAsia"/>
          <w:sz w:val="24"/>
          <w:szCs w:val="24"/>
          <w:lang w:val="en-US" w:eastAsia="zh-CN"/>
        </w:rPr>
      </w:pPr>
      <w:r>
        <w:rPr>
          <w:rFonts w:hint="eastAsia"/>
          <w:sz w:val="24"/>
          <w:szCs w:val="24"/>
          <w:lang w:val="en-US" w:eastAsia="zh-CN"/>
        </w:rPr>
        <w:t>土壤样品的采集按照《土壤环境监测技术规范》（HJ/T 166-2004）、《建设用地土壤污染风险管控和修复监测技术导则》（HJ 25.2-2019）、《重点行业企业用地调查样品采集保存和流转技术规定》（试行）等的相关要求执行。</w:t>
      </w:r>
    </w:p>
    <w:p>
      <w:pPr>
        <w:spacing w:line="360" w:lineRule="auto"/>
        <w:ind w:firstLine="480" w:firstLineChars="200"/>
        <w:rPr>
          <w:rFonts w:hint="eastAsia"/>
          <w:sz w:val="24"/>
          <w:szCs w:val="24"/>
          <w:lang w:val="en-US" w:eastAsia="zh-CN"/>
        </w:rPr>
      </w:pPr>
      <w:r>
        <w:rPr>
          <w:rFonts w:hint="eastAsia"/>
          <w:sz w:val="24"/>
          <w:szCs w:val="24"/>
          <w:lang w:val="en-US" w:eastAsia="zh-CN"/>
        </w:rPr>
        <w:t>采样人员均经过土壤环境监测技术培训，掌握土壤采样技术，熟悉采样器具的使用和样品固定、保存、运输条件：</w:t>
      </w:r>
    </w:p>
    <w:p>
      <w:pPr>
        <w:spacing w:line="360" w:lineRule="auto"/>
        <w:ind w:firstLine="480" w:firstLineChars="200"/>
        <w:rPr>
          <w:rFonts w:hint="eastAsia"/>
          <w:sz w:val="24"/>
          <w:szCs w:val="24"/>
          <w:lang w:val="en-US" w:eastAsia="zh-CN"/>
        </w:rPr>
      </w:pPr>
      <w:r>
        <w:rPr>
          <w:rFonts w:hint="eastAsia"/>
          <w:sz w:val="24"/>
          <w:szCs w:val="24"/>
          <w:lang w:val="en-US" w:eastAsia="zh-CN"/>
        </w:rPr>
        <w:t>①采集挥发性有机物（VOCs）样品时，用刮刀剔除约至少1-2cm表层土壤，在新的土壤切面处快速采集样品。所有（VOCs）样品用非扰动采样器采集不少于5g的土壤样品，推入加有10ml甲醇（色谱级或农残级）保护剂的40ml棕色样品瓶内，推入时将样品瓶略微倾斜，防止将保护剂溅出，转至土壤样品瓶后应快速清除掉瓶口螺纹处黏附的土壤，拧紧瓶盖，清除土壤样品瓶外表面上黏附的土壤。用于测定高含量样品中的挥发性有机物，土壤样品应采集双份，一份用于检测，一份留作备份。</w:t>
      </w:r>
    </w:p>
    <w:p>
      <w:pPr>
        <w:spacing w:line="360" w:lineRule="auto"/>
        <w:ind w:firstLine="480" w:firstLineChars="200"/>
        <w:rPr>
          <w:rFonts w:hint="eastAsia"/>
          <w:sz w:val="24"/>
          <w:szCs w:val="24"/>
          <w:lang w:val="en-US" w:eastAsia="zh-CN"/>
        </w:rPr>
      </w:pPr>
      <w:r>
        <w:rPr>
          <w:rFonts w:hint="eastAsia"/>
          <w:sz w:val="24"/>
          <w:szCs w:val="24"/>
          <w:lang w:val="en-US" w:eastAsia="zh-CN"/>
        </w:rPr>
        <w:t>②采集半挥发性有机污染物（SVOCs）样品时，使用小铁勺将样品迅速采集到250ml棕色玻璃瓶中并装满填实，快速清除样品瓶螺纹及外表面粘附的样品，并及时密封样品瓶，采样过程剔除石块等杂质，保持采样瓶口螺纹清洁以防止密封不严。土壤采样完成后，随即放入现场带有冷冻蓝冰的保温箱内临时保存。</w:t>
      </w:r>
    </w:p>
    <w:p>
      <w:pPr>
        <w:spacing w:line="360" w:lineRule="auto"/>
        <w:ind w:firstLine="480" w:firstLineChars="200"/>
        <w:rPr>
          <w:rFonts w:hint="eastAsia"/>
          <w:sz w:val="24"/>
          <w:szCs w:val="24"/>
          <w:lang w:val="en-US" w:eastAsia="zh-CN"/>
        </w:rPr>
      </w:pPr>
      <w:r>
        <w:rPr>
          <w:rFonts w:hint="eastAsia"/>
          <w:sz w:val="24"/>
          <w:szCs w:val="24"/>
          <w:lang w:val="en-US" w:eastAsia="zh-CN"/>
        </w:rPr>
        <w:t>③采集重金属及其他样品时，用竹刀去除与金属采样器接触的部分土壤，并清理土壤表面石块、杂物，每层样品用竹刀采集1kg左右，装入玻璃瓶内。</w:t>
      </w:r>
    </w:p>
    <w:p>
      <w:pPr>
        <w:spacing w:line="360" w:lineRule="auto"/>
        <w:ind w:firstLine="480" w:firstLineChars="200"/>
        <w:rPr>
          <w:rFonts w:hint="eastAsia"/>
          <w:sz w:val="24"/>
          <w:szCs w:val="24"/>
          <w:lang w:val="en-US" w:eastAsia="zh-CN"/>
        </w:rPr>
      </w:pPr>
      <w:r>
        <w:rPr>
          <w:rFonts w:hint="eastAsia"/>
          <w:sz w:val="24"/>
          <w:szCs w:val="24"/>
          <w:lang w:val="en-US" w:eastAsia="zh-CN"/>
        </w:rPr>
        <w:t>上述样品采集完成后，在样品瓶上记录编号、检测因子等采样信息，并做好现场记录。有机样品采集后立即放入装有冷冻蓝冰的保温箱中，保证保温箱内样品的温度0-4℃，并及时将样品送回实验室，其他检测因子样品按上述标准要求保存样品。</w:t>
      </w:r>
    </w:p>
    <w:p>
      <w:pPr>
        <w:spacing w:line="360" w:lineRule="auto"/>
        <w:ind w:firstLine="480" w:firstLineChars="200"/>
        <w:rPr>
          <w:rFonts w:hint="eastAsia"/>
          <w:sz w:val="24"/>
          <w:szCs w:val="24"/>
          <w:lang w:val="en-US" w:eastAsia="zh-CN"/>
        </w:rPr>
      </w:pPr>
      <w:r>
        <w:rPr>
          <w:rFonts w:hint="eastAsia"/>
          <w:sz w:val="24"/>
          <w:szCs w:val="24"/>
          <w:lang w:val="en-US" w:eastAsia="zh-CN"/>
        </w:rPr>
        <w:t>地下水</w:t>
      </w:r>
    </w:p>
    <w:p>
      <w:pPr>
        <w:spacing w:line="360" w:lineRule="auto"/>
        <w:ind w:firstLine="480" w:firstLineChars="200"/>
        <w:rPr>
          <w:rFonts w:hint="eastAsia"/>
          <w:sz w:val="24"/>
          <w:szCs w:val="24"/>
          <w:lang w:val="en-US" w:eastAsia="zh-CN"/>
        </w:rPr>
      </w:pPr>
      <w:r>
        <w:rPr>
          <w:rFonts w:hint="eastAsia"/>
          <w:sz w:val="24"/>
          <w:szCs w:val="24"/>
          <w:lang w:val="en-US" w:eastAsia="zh-CN"/>
        </w:rPr>
        <w:t>采样严格按照《地下水环境监测技术规范》（HJ 164-2020）、《地下水质量标准》（GB/T 14848-2017）进行样品的采集，用于采集水样样品的设备在采样前已进行清洗。采样人员均经过地下水环境监测技术培训，掌握地下水采样技术，熟悉采样器具的使用和样品固定、保存、运输条件。</w:t>
      </w:r>
    </w:p>
    <w:p>
      <w:pPr>
        <w:spacing w:line="360" w:lineRule="auto"/>
        <w:ind w:firstLine="480" w:firstLineChars="200"/>
        <w:rPr>
          <w:rFonts w:hint="eastAsia"/>
          <w:sz w:val="24"/>
          <w:szCs w:val="24"/>
          <w:lang w:val="en-US" w:eastAsia="zh-CN"/>
        </w:rPr>
      </w:pPr>
      <w:r>
        <w:rPr>
          <w:rFonts w:hint="eastAsia"/>
          <w:sz w:val="24"/>
          <w:szCs w:val="24"/>
          <w:lang w:val="en-US" w:eastAsia="zh-CN"/>
        </w:rPr>
        <w:t>地下水采样选用合适的水样容器，在样品瓶上记录编号等采样信息，并做好现场记录。地下水样品采集采用瞬时采样法，采样时尽量轻扰动水体。水样采集和保管按照《地下水环境监测技术规范》（HJ 164-2020）、《水质采样 样品的保存和管理技术规定》（HJ 493-2009）及各因子分析方法的相关要求进行。用于采集水样样品的设备在采样前已进行清洗。需要冷藏保存的样品，在样品采集后立即放入装有冰袋的保温箱中，保证保温箱内样品的温度0-4℃，需要添加固定剂的按要求添加固定剂，采样结束后及时送回实验室</w:t>
      </w:r>
    </w:p>
    <w:p>
      <w:pPr>
        <w:spacing w:line="360" w:lineRule="auto"/>
        <w:ind w:firstLine="480" w:firstLineChars="200"/>
        <w:rPr>
          <w:rFonts w:hint="eastAsia"/>
          <w:sz w:val="24"/>
          <w:szCs w:val="24"/>
          <w:lang w:val="en-US" w:eastAsia="zh-CN"/>
        </w:rPr>
      </w:pPr>
      <w:r>
        <w:rPr>
          <w:rFonts w:hint="eastAsia"/>
          <w:sz w:val="24"/>
          <w:szCs w:val="24"/>
          <w:lang w:val="en-US" w:eastAsia="zh-CN"/>
        </w:rPr>
        <w:t>2、样品流转</w:t>
      </w:r>
    </w:p>
    <w:p>
      <w:pPr>
        <w:spacing w:line="360" w:lineRule="auto"/>
        <w:ind w:firstLine="480" w:firstLineChars="200"/>
        <w:rPr>
          <w:rFonts w:hint="eastAsia"/>
          <w:sz w:val="24"/>
          <w:szCs w:val="24"/>
          <w:lang w:val="en-US" w:eastAsia="zh-CN"/>
        </w:rPr>
      </w:pPr>
      <w:r>
        <w:rPr>
          <w:rFonts w:hint="eastAsia"/>
          <w:sz w:val="24"/>
          <w:szCs w:val="24"/>
          <w:lang w:val="en-US" w:eastAsia="zh-CN"/>
        </w:rPr>
        <w:t>a、装运前核对在采样现场样品必须逐件与样品登记表、样品标签和采样记录进行核对，核对无误后分类装箱。</w:t>
      </w:r>
    </w:p>
    <w:p>
      <w:pPr>
        <w:spacing w:line="360" w:lineRule="auto"/>
        <w:ind w:firstLine="480" w:firstLineChars="200"/>
        <w:rPr>
          <w:rFonts w:hint="eastAsia"/>
          <w:sz w:val="24"/>
          <w:szCs w:val="24"/>
          <w:lang w:val="en-US" w:eastAsia="zh-CN"/>
        </w:rPr>
      </w:pPr>
      <w:r>
        <w:rPr>
          <w:rFonts w:hint="eastAsia"/>
          <w:sz w:val="24"/>
          <w:szCs w:val="24"/>
          <w:lang w:val="en-US" w:eastAsia="zh-CN"/>
        </w:rPr>
        <w:t>b、运输过程中严防样品的损失、混淆和沾污。对光敏感的样品应有避光外包装。</w:t>
      </w:r>
    </w:p>
    <w:p>
      <w:pPr>
        <w:spacing w:line="360" w:lineRule="auto"/>
        <w:ind w:firstLine="480" w:firstLineChars="200"/>
        <w:rPr>
          <w:rFonts w:hint="eastAsia"/>
          <w:sz w:val="24"/>
          <w:szCs w:val="24"/>
          <w:lang w:val="en-US" w:eastAsia="zh-CN"/>
        </w:rPr>
      </w:pPr>
      <w:r>
        <w:rPr>
          <w:rFonts w:hint="eastAsia"/>
          <w:sz w:val="24"/>
          <w:szCs w:val="24"/>
          <w:lang w:val="en-US" w:eastAsia="zh-CN"/>
        </w:rPr>
        <w:t>c、由送样人将土壤样品送到实验室，送样者和接样者双方同时清点核实样品，并在样品交接单上签字确认,样品交接单由双方各存一份备查。</w:t>
      </w:r>
    </w:p>
    <w:p>
      <w:pPr>
        <w:spacing w:line="360" w:lineRule="auto"/>
        <w:ind w:firstLine="480" w:firstLineChars="200"/>
        <w:rPr>
          <w:rFonts w:hint="eastAsia"/>
          <w:sz w:val="24"/>
          <w:szCs w:val="24"/>
          <w:lang w:val="en-US" w:eastAsia="zh-CN"/>
        </w:rPr>
      </w:pPr>
      <w:r>
        <w:rPr>
          <w:rFonts w:hint="eastAsia"/>
          <w:sz w:val="24"/>
          <w:szCs w:val="24"/>
          <w:lang w:val="en-US" w:eastAsia="zh-CN"/>
        </w:rPr>
        <w:t>3、样品制备</w:t>
      </w:r>
    </w:p>
    <w:p>
      <w:pPr>
        <w:spacing w:line="360" w:lineRule="auto"/>
        <w:ind w:firstLine="480" w:firstLineChars="200"/>
        <w:rPr>
          <w:rFonts w:hint="eastAsia"/>
          <w:sz w:val="24"/>
          <w:szCs w:val="24"/>
          <w:lang w:val="en-US" w:eastAsia="zh-CN"/>
        </w:rPr>
      </w:pPr>
      <w:r>
        <w:rPr>
          <w:rFonts w:hint="eastAsia"/>
          <w:sz w:val="24"/>
          <w:szCs w:val="24"/>
          <w:lang w:val="en-US" w:eastAsia="zh-CN"/>
        </w:rPr>
        <w:t>在风干室将土样放置于风干盘中，摊成2～3 cm 的薄层，适时地压碎、翻动，拣出碎石、砂砾、植物残体，在磨样室将风干的样品倒在有机玻璃板上，用木锤敲打，用木滚、木棒、有机玻璃棒再次压碎，拣出杂质，混匀，并用四分法取压碎样，过孔径0.25mm(20目)尼龙筛。过筛后的样品全部置无色聚乙烯薄膜上，并充分搅拌混匀，再采用四分法取其两份，一份交样品库存放，另一份作样品的细磨用。用于细磨的样品再用四分法分成两份，一份研磨到全部过孔径0.25mm（60 目）筛，用于农药或土壤有机质、土壤全氮量等项目分析；另一份研磨到全部过孔径0.15mm（100目）筛，用于土壤元素全量分析。</w:t>
      </w:r>
    </w:p>
    <w:p>
      <w:pPr>
        <w:spacing w:line="360" w:lineRule="auto"/>
        <w:ind w:firstLine="480" w:firstLineChars="200"/>
        <w:rPr>
          <w:rFonts w:hint="eastAsia"/>
          <w:sz w:val="24"/>
          <w:szCs w:val="24"/>
          <w:lang w:val="en-US" w:eastAsia="zh-CN"/>
        </w:rPr>
      </w:pPr>
      <w:r>
        <w:rPr>
          <w:rFonts w:hint="eastAsia"/>
          <w:sz w:val="24"/>
          <w:szCs w:val="24"/>
          <w:lang w:val="en-US" w:eastAsia="zh-CN"/>
        </w:rPr>
        <w:t>（6）检测分析方法</w:t>
      </w:r>
    </w:p>
    <w:p>
      <w:pPr>
        <w:spacing w:line="360" w:lineRule="auto"/>
        <w:ind w:firstLine="480" w:firstLineChars="200"/>
        <w:rPr>
          <w:rFonts w:hint="eastAsia"/>
          <w:sz w:val="24"/>
          <w:szCs w:val="24"/>
          <w:lang w:val="en-US" w:eastAsia="zh-CN"/>
        </w:rPr>
      </w:pPr>
      <w:r>
        <w:rPr>
          <w:rFonts w:hint="eastAsia"/>
          <w:sz w:val="24"/>
          <w:szCs w:val="24"/>
          <w:lang w:val="en-US" w:eastAsia="zh-CN"/>
        </w:rPr>
        <w:t>污染物手工监测方法、使用仪器及检出限见表1</w:t>
      </w:r>
    </w:p>
    <w:p>
      <w:pPr>
        <w:spacing w:line="360" w:lineRule="auto"/>
        <w:jc w:val="center"/>
        <w:rPr>
          <w:rFonts w:hint="eastAsia"/>
          <w:sz w:val="24"/>
          <w:szCs w:val="24"/>
          <w:lang w:val="en-US" w:eastAsia="zh-CN"/>
        </w:rPr>
      </w:pPr>
      <w:r>
        <w:rPr>
          <w:rFonts w:hint="eastAsia"/>
          <w:sz w:val="24"/>
          <w:szCs w:val="24"/>
          <w:lang w:val="en-US" w:eastAsia="zh-CN"/>
        </w:rPr>
        <w:t>表1 污染物手工监测方法、使用仪器及检出限一览表</w:t>
      </w:r>
    </w:p>
    <w:tbl>
      <w:tblPr>
        <w:tblStyle w:val="16"/>
        <w:tblW w:w="8733"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3960"/>
        <w:gridCol w:w="1680"/>
        <w:gridCol w:w="174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344" w:type="dxa"/>
            <w:tcBorders>
              <w:tl2br w:val="nil"/>
              <w:tr2bl w:val="nil"/>
            </w:tcBorders>
            <w:noWrap w:val="0"/>
            <w:vAlign w:val="center"/>
          </w:tcPr>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监测</w:t>
            </w:r>
          </w:p>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项目</w:t>
            </w:r>
          </w:p>
        </w:tc>
        <w:tc>
          <w:tcPr>
            <w:tcW w:w="3960" w:type="dxa"/>
            <w:tcBorders>
              <w:tl2br w:val="nil"/>
              <w:tr2bl w:val="nil"/>
            </w:tcBorders>
            <w:noWrap w:val="0"/>
            <w:vAlign w:val="center"/>
          </w:tcPr>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监测方法</w:t>
            </w:r>
          </w:p>
        </w:tc>
        <w:tc>
          <w:tcPr>
            <w:tcW w:w="1680" w:type="dxa"/>
            <w:tcBorders>
              <w:tl2br w:val="nil"/>
              <w:tr2bl w:val="nil"/>
            </w:tcBorders>
            <w:noWrap w:val="0"/>
            <w:vAlign w:val="center"/>
          </w:tcPr>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使用仪器</w:t>
            </w:r>
          </w:p>
        </w:tc>
        <w:tc>
          <w:tcPr>
            <w:tcW w:w="1749" w:type="dxa"/>
            <w:tcBorders>
              <w:tl2br w:val="nil"/>
              <w:tr2bl w:val="nil"/>
            </w:tcBorders>
            <w:noWrap w:val="0"/>
            <w:vAlign w:val="center"/>
          </w:tcPr>
          <w:p>
            <w:pPr>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3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一、</w:t>
            </w:r>
            <w:r>
              <w:rPr>
                <w:rFonts w:hint="eastAsia" w:ascii="宋体" w:hAnsi="宋体" w:eastAsia="宋体" w:cs="宋体"/>
                <w:b w:val="0"/>
                <w:bCs w:val="0"/>
                <w:color w:val="000000"/>
                <w:sz w:val="24"/>
                <w:szCs w:val="24"/>
                <w:highlight w:val="none"/>
                <w:lang w:eastAsia="zh-CN"/>
              </w:rPr>
              <w:t>地下水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auto"/>
                <w:sz w:val="24"/>
                <w:szCs w:val="24"/>
                <w:highlight w:val="none"/>
              </w:rPr>
              <w:t>色度</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水质 色度的测定（1.1铂钴比色法）</w:t>
            </w:r>
          </w:p>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sz w:val="24"/>
                <w:szCs w:val="24"/>
                <w:highlight w:val="none"/>
              </w:rPr>
            </w:pPr>
            <w:r>
              <w:rPr>
                <w:rFonts w:hint="eastAsia" w:ascii="宋体" w:hAnsi="宋体" w:eastAsia="宋体" w:cs="宋体"/>
                <w:i w:val="0"/>
                <w:color w:val="auto"/>
                <w:kern w:val="0"/>
                <w:sz w:val="24"/>
                <w:szCs w:val="24"/>
                <w:u w:val="none"/>
                <w:lang w:val="en-US" w:eastAsia="zh-CN" w:bidi="ar"/>
              </w:rPr>
              <w:t xml:space="preserve"> GB/T 11903-1989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sz w:val="24"/>
                <w:szCs w:val="24"/>
                <w:lang w:val="en-US" w:eastAsia="zh-CN"/>
              </w:rPr>
              <w:t>具塞比色管</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sz w:val="24"/>
                <w:szCs w:val="24"/>
                <w:highlight w:val="none"/>
              </w:rPr>
            </w:pPr>
            <w:r>
              <w:rPr>
                <w:rFonts w:hint="eastAsia" w:ascii="宋体" w:hAnsi="宋体" w:eastAsia="宋体" w:cs="宋体"/>
                <w:i w:val="0"/>
                <w:color w:val="auto"/>
                <w:kern w:val="0"/>
                <w:sz w:val="24"/>
                <w:szCs w:val="24"/>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auto"/>
                <w:sz w:val="24"/>
                <w:szCs w:val="24"/>
                <w:highlight w:val="none"/>
                <w:lang w:eastAsia="zh-CN"/>
              </w:rPr>
              <w:t>臭</w:t>
            </w:r>
            <w:r>
              <w:rPr>
                <w:rFonts w:hint="eastAsia" w:ascii="宋体" w:hAnsi="宋体" w:eastAsia="宋体" w:cs="宋体"/>
                <w:b w:val="0"/>
                <w:bCs w:val="0"/>
                <w:color w:val="auto"/>
                <w:sz w:val="24"/>
                <w:szCs w:val="24"/>
                <w:highlight w:val="none"/>
              </w:rPr>
              <w:t>和味</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val="0"/>
                <w:bCs w:val="0"/>
                <w:color w:val="000000"/>
                <w:sz w:val="24"/>
                <w:szCs w:val="24"/>
                <w:highlight w:val="none"/>
              </w:rPr>
            </w:pPr>
            <w:r>
              <w:rPr>
                <w:rFonts w:hint="eastAsia" w:ascii="宋体" w:hAnsi="宋体" w:eastAsia="宋体" w:cs="宋体"/>
                <w:i w:val="0"/>
                <w:color w:val="auto"/>
                <w:kern w:val="0"/>
                <w:sz w:val="24"/>
                <w:szCs w:val="24"/>
                <w:u w:val="none"/>
                <w:lang w:val="en-US" w:eastAsia="zh-CN" w:bidi="ar"/>
              </w:rPr>
              <w:t>生活饮用水标准检验法  感官性状和物理指标（3.1 臭和味  嗅气和尝味法）GB/T 5750.4-2006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000000"/>
                <w:kern w:val="0"/>
                <w:sz w:val="24"/>
                <w:szCs w:val="24"/>
                <w:highlight w:val="none"/>
                <w:lang w:bidi="ar"/>
              </w:rPr>
            </w:pPr>
            <w:r>
              <w:rPr>
                <w:rFonts w:hint="eastAsia" w:ascii="宋体" w:hAnsi="宋体" w:eastAsia="宋体" w:cs="宋体"/>
                <w:sz w:val="24"/>
                <w:szCs w:val="24"/>
                <w:lang w:val="en-US" w:eastAsia="zh-CN"/>
              </w:rPr>
              <w:t>250ml锥形瓶</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000000"/>
                <w:kern w:val="0"/>
                <w:sz w:val="24"/>
                <w:szCs w:val="24"/>
                <w:highlight w:val="none"/>
                <w:lang w:bidi="ar"/>
              </w:rPr>
            </w:pPr>
            <w:r>
              <w:rPr>
                <w:rFonts w:hint="eastAsia" w:ascii="宋体" w:hAnsi="宋体" w:eastAsia="宋体" w:cs="宋体"/>
                <w:i w:val="0"/>
                <w:color w:val="auto"/>
                <w:kern w:val="0"/>
                <w:sz w:val="24"/>
                <w:szCs w:val="24"/>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40"/>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lang w:eastAsia="zh-CN"/>
              </w:rPr>
              <w:t>浊度</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40"/>
                <w:rFonts w:hint="eastAsia" w:ascii="宋体" w:hAnsi="宋体" w:eastAsia="宋体" w:cs="宋体"/>
                <w:b w:val="0"/>
                <w:bCs w:val="0"/>
                <w:sz w:val="24"/>
                <w:szCs w:val="24"/>
              </w:rPr>
            </w:pPr>
            <w:r>
              <w:rPr>
                <w:rFonts w:hint="eastAsia" w:ascii="宋体" w:hAnsi="宋体" w:eastAsia="宋体" w:cs="宋体"/>
                <w:i w:val="0"/>
                <w:color w:val="auto"/>
                <w:kern w:val="0"/>
                <w:sz w:val="24"/>
                <w:szCs w:val="24"/>
                <w:u w:val="none"/>
                <w:lang w:val="en-US" w:eastAsia="zh-CN" w:bidi="ar"/>
              </w:rPr>
              <w:t>水质 浊度的测定 GB/T 13200-1991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Style w:val="40"/>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40"/>
                <w:rFonts w:hint="eastAsia" w:ascii="宋体" w:hAnsi="宋体" w:eastAsia="宋体" w:cs="宋体"/>
                <w:b w:val="0"/>
                <w:bCs w:val="0"/>
                <w:sz w:val="24"/>
                <w:szCs w:val="24"/>
                <w:lang w:val="en-US" w:eastAsia="zh-CN"/>
              </w:rPr>
            </w:pPr>
            <w:r>
              <w:rPr>
                <w:rFonts w:hint="eastAsia" w:ascii="宋体" w:hAnsi="宋体" w:eastAsia="宋体" w:cs="宋体"/>
                <w:i w:val="0"/>
                <w:color w:val="auto"/>
                <w:kern w:val="0"/>
                <w:sz w:val="24"/>
                <w:szCs w:val="24"/>
                <w:highlight w:val="none"/>
                <w:u w:val="none"/>
                <w:lang w:val="en-US" w:eastAsia="zh-CN" w:bidi="ar"/>
              </w:rPr>
              <w:t>目视法：1度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000000"/>
                <w:sz w:val="24"/>
                <w:szCs w:val="24"/>
                <w:u w:val="none"/>
                <w:lang w:eastAsia="zh-CN"/>
              </w:rPr>
            </w:pPr>
            <w:r>
              <w:rPr>
                <w:rFonts w:hint="eastAsia" w:ascii="宋体" w:hAnsi="宋体" w:eastAsia="宋体" w:cs="宋体"/>
                <w:b w:val="0"/>
                <w:bCs w:val="0"/>
                <w:color w:val="auto"/>
                <w:sz w:val="24"/>
                <w:szCs w:val="24"/>
                <w:highlight w:val="none"/>
              </w:rPr>
              <w:t>肉眼可见物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40"/>
                <w:rFonts w:hint="eastAsia" w:ascii="宋体" w:hAnsi="宋体" w:eastAsia="宋体" w:cs="宋体"/>
                <w:b w:val="0"/>
                <w:bCs w:val="0"/>
                <w:sz w:val="24"/>
                <w:szCs w:val="24"/>
                <w:lang w:val="en-US" w:eastAsia="zh-CN"/>
              </w:rPr>
            </w:pPr>
            <w:r>
              <w:rPr>
                <w:rStyle w:val="40"/>
                <w:rFonts w:hint="eastAsia" w:ascii="宋体" w:hAnsi="宋体" w:eastAsia="宋体" w:cs="宋体"/>
                <w:sz w:val="24"/>
                <w:szCs w:val="24"/>
              </w:rPr>
              <w:t>生活饮用水标准检验方法</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感官性状和物理指标（</w:t>
            </w:r>
            <w:r>
              <w:rPr>
                <w:rStyle w:val="41"/>
                <w:rFonts w:hint="eastAsia" w:ascii="宋体" w:hAnsi="宋体" w:eastAsia="宋体" w:cs="宋体"/>
                <w:sz w:val="24"/>
                <w:szCs w:val="24"/>
              </w:rPr>
              <w:t>4.1</w:t>
            </w:r>
            <w:r>
              <w:rPr>
                <w:rStyle w:val="40"/>
                <w:rFonts w:hint="eastAsia" w:ascii="宋体" w:hAnsi="宋体" w:eastAsia="宋体" w:cs="宋体"/>
                <w:sz w:val="24"/>
                <w:szCs w:val="24"/>
              </w:rPr>
              <w:t>直接观察法）</w:t>
            </w:r>
            <w:r>
              <w:rPr>
                <w:rStyle w:val="41"/>
                <w:rFonts w:hint="eastAsia" w:ascii="宋体" w:hAnsi="宋体" w:eastAsia="宋体" w:cs="宋体"/>
                <w:sz w:val="24"/>
                <w:szCs w:val="24"/>
              </w:rPr>
              <w:t>GB/T5750.4-2006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i w:val="0"/>
                <w:color w:val="000000"/>
                <w:kern w:val="0"/>
                <w:sz w:val="24"/>
                <w:szCs w:val="24"/>
                <w:u w:val="none"/>
                <w:lang w:val="en-US" w:eastAsia="zh-CN" w:bidi="ar"/>
              </w:rPr>
            </w:pPr>
            <w:r>
              <w:rPr>
                <w:rFonts w:hint="eastAsia" w:ascii="宋体" w:hAnsi="宋体" w:eastAsia="宋体" w:cs="宋体"/>
                <w:sz w:val="24"/>
                <w:szCs w:val="24"/>
                <w:lang w:val="en-US" w:eastAsia="zh-CN"/>
              </w:rPr>
              <w:t>/</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42"/>
                <w:rFonts w:hint="eastAsia" w:ascii="宋体" w:hAnsi="宋体" w:eastAsia="宋体" w:cs="宋体"/>
                <w:b w:val="0"/>
                <w:bCs w:val="0"/>
                <w:sz w:val="24"/>
                <w:szCs w:val="24"/>
                <w:lang w:val="en-US" w:eastAsia="zh-CN"/>
              </w:rPr>
            </w:pPr>
            <w:r>
              <w:rPr>
                <w:rStyle w:val="42"/>
                <w:rFonts w:hint="eastAsia" w:ascii="宋体" w:hAnsi="宋体" w:eastAsia="宋体" w:cs="宋体"/>
                <w:sz w:val="24"/>
                <w:szCs w:val="24"/>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sz w:val="24"/>
                <w:szCs w:val="24"/>
                <w:lang w:eastAsia="zh-CN"/>
              </w:rPr>
              <w:t>pH</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7"/>
                <w:rFonts w:hint="eastAsia" w:ascii="宋体" w:hAnsi="宋体" w:eastAsia="宋体" w:cs="宋体"/>
                <w:b w:val="0"/>
                <w:bCs w:val="0"/>
                <w:color w:val="auto"/>
                <w:sz w:val="24"/>
                <w:szCs w:val="24"/>
              </w:rPr>
            </w:pPr>
            <w:r>
              <w:rPr>
                <w:rFonts w:hint="eastAsia" w:ascii="宋体" w:hAnsi="宋体" w:eastAsia="宋体" w:cs="宋体"/>
                <w:i w:val="0"/>
                <w:color w:val="auto"/>
                <w:kern w:val="0"/>
                <w:sz w:val="24"/>
                <w:szCs w:val="24"/>
                <w:u w:val="none"/>
                <w:lang w:val="en-US" w:eastAsia="zh-CN" w:bidi="ar"/>
              </w:rPr>
              <w:t>水质 pH值的测定 电极法 HJ1147-2020</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便携式pH计</w:t>
            </w:r>
          </w:p>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PHBJ-260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GZYQ151/161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总硬度</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7"/>
                <w:rFonts w:hint="eastAsia" w:ascii="宋体" w:hAnsi="宋体" w:eastAsia="宋体" w:cs="宋体"/>
                <w:b w:val="0"/>
                <w:bCs w:val="0"/>
                <w:color w:val="auto"/>
                <w:sz w:val="24"/>
                <w:szCs w:val="24"/>
              </w:rPr>
            </w:pPr>
            <w:r>
              <w:rPr>
                <w:rFonts w:hint="eastAsia" w:ascii="宋体" w:hAnsi="宋体" w:eastAsia="宋体" w:cs="宋体"/>
                <w:i w:val="0"/>
                <w:color w:val="auto"/>
                <w:kern w:val="0"/>
                <w:sz w:val="24"/>
                <w:szCs w:val="24"/>
                <w:u w:val="none"/>
                <w:lang w:val="en-US" w:eastAsia="zh-CN" w:bidi="ar"/>
              </w:rPr>
              <w:t xml:space="preserve">水质 钙和镁总量的测定 EDTA滴定法  GB/T7477-1987 </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i w:val="0"/>
                <w:color w:val="auto"/>
                <w:kern w:val="0"/>
                <w:sz w:val="24"/>
                <w:szCs w:val="24"/>
                <w:u w:val="none"/>
                <w:lang w:val="en-US" w:eastAsia="zh-CN" w:bidi="ar"/>
              </w:rPr>
              <w:t>滴定管</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0.05mmol/L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溶解性总固体</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7"/>
                <w:rFonts w:hint="eastAsia" w:ascii="宋体" w:hAnsi="宋体" w:eastAsia="宋体" w:cs="宋体"/>
                <w:b w:val="0"/>
                <w:bCs w:val="0"/>
                <w:color w:val="auto"/>
                <w:sz w:val="24"/>
                <w:szCs w:val="24"/>
              </w:rPr>
            </w:pPr>
            <w:r>
              <w:rPr>
                <w:rFonts w:hint="eastAsia" w:ascii="宋体" w:hAnsi="宋体" w:eastAsia="宋体" w:cs="宋体"/>
                <w:i w:val="0"/>
                <w:color w:val="auto"/>
                <w:kern w:val="0"/>
                <w:sz w:val="24"/>
                <w:szCs w:val="24"/>
                <w:u w:val="none"/>
                <w:lang w:val="en-US" w:eastAsia="zh-CN" w:bidi="ar"/>
              </w:rPr>
              <w:t>重量法  《水和废水监测分析方法》（第四版增补版）第三篇 第一章 第七节 （二）</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电子天平FR224CN</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GZYQ07</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硫酸盐</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无机阴离子（</w:t>
            </w:r>
            <w:r>
              <w:rPr>
                <w:rStyle w:val="41"/>
                <w:rFonts w:hint="eastAsia" w:ascii="宋体" w:hAnsi="宋体" w:eastAsia="宋体" w:cs="宋体"/>
                <w:sz w:val="24"/>
                <w:szCs w:val="24"/>
              </w:rPr>
              <w:t>F</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Cl</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2</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Br</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PO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3-</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离子色谱法</w:t>
            </w:r>
            <w:r>
              <w:rPr>
                <w:rStyle w:val="41"/>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0.018mg/L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lang w:eastAsia="zh-CN"/>
              </w:rPr>
              <w:t>氯化物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无机阴离子（</w:t>
            </w:r>
            <w:r>
              <w:rPr>
                <w:rStyle w:val="41"/>
                <w:rFonts w:hint="eastAsia" w:ascii="宋体" w:hAnsi="宋体" w:eastAsia="宋体" w:cs="宋体"/>
                <w:sz w:val="24"/>
                <w:szCs w:val="24"/>
              </w:rPr>
              <w:t>F</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Cl</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2</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Br</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PO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3-</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离子色谱法</w:t>
            </w:r>
            <w:r>
              <w:rPr>
                <w:rStyle w:val="41"/>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0.007mg/L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铁</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铁、锰的测定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火焰原子吸收分光光度法</w:t>
            </w:r>
            <w:r>
              <w:rPr>
                <w:rStyle w:val="41"/>
                <w:rFonts w:hint="eastAsia" w:ascii="宋体" w:hAnsi="宋体" w:eastAsia="宋体" w:cs="宋体"/>
                <w:sz w:val="24"/>
                <w:szCs w:val="24"/>
              </w:rPr>
              <w:t xml:space="preserve"> GB /T 11911-1989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铁：</w:t>
            </w:r>
            <w:r>
              <w:rPr>
                <w:rStyle w:val="43"/>
                <w:rFonts w:hint="eastAsia" w:ascii="宋体" w:hAnsi="宋体" w:eastAsia="宋体" w:cs="宋体"/>
                <w:sz w:val="24"/>
                <w:szCs w:val="24"/>
              </w:rPr>
              <w:t>0.03mg/L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锰</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铁、锰的测定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火焰原子吸收分光光度法</w:t>
            </w:r>
            <w:r>
              <w:rPr>
                <w:rStyle w:val="41"/>
                <w:rFonts w:hint="eastAsia" w:ascii="宋体" w:hAnsi="宋体" w:eastAsia="宋体" w:cs="宋体"/>
                <w:sz w:val="24"/>
                <w:szCs w:val="24"/>
              </w:rPr>
              <w:t xml:space="preserve"> GB /T 11911-1989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锰：</w:t>
            </w:r>
            <w:r>
              <w:rPr>
                <w:rStyle w:val="43"/>
                <w:rFonts w:hint="eastAsia" w:ascii="宋体" w:hAnsi="宋体" w:eastAsia="宋体" w:cs="宋体"/>
                <w:sz w:val="24"/>
                <w:szCs w:val="24"/>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铜</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铜、锌、铅、镉的测定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原子吸收分光光度法</w:t>
            </w:r>
            <w:r>
              <w:rPr>
                <w:rStyle w:val="41"/>
                <w:rFonts w:hint="eastAsia" w:ascii="宋体" w:hAnsi="宋体" w:eastAsia="宋体" w:cs="宋体"/>
                <w:sz w:val="24"/>
                <w:szCs w:val="24"/>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螯合萃取法：</w:t>
            </w:r>
            <w:r>
              <w:rPr>
                <w:rStyle w:val="42"/>
                <w:rFonts w:hint="eastAsia" w:ascii="宋体" w:hAnsi="宋体" w:eastAsia="宋体" w:cs="宋体"/>
                <w:sz w:val="24"/>
                <w:szCs w:val="24"/>
                <w:lang w:val="en-US" w:eastAsia="zh-CN"/>
              </w:rPr>
              <w:t>0.001</w:t>
            </w:r>
            <w:r>
              <w:rPr>
                <w:rFonts w:hint="eastAsia" w:ascii="宋体" w:hAnsi="宋体" w:eastAsia="宋体" w:cs="宋体"/>
                <w:i w:val="0"/>
                <w:color w:val="000000"/>
                <w:sz w:val="24"/>
                <w:szCs w:val="24"/>
                <w:u w:val="none"/>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锌</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铜、锌、铅、镉的测定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原子吸收分光光度法</w:t>
            </w:r>
            <w:r>
              <w:rPr>
                <w:rStyle w:val="41"/>
                <w:rFonts w:hint="eastAsia" w:ascii="宋体" w:hAnsi="宋体" w:eastAsia="宋体" w:cs="宋体"/>
                <w:sz w:val="24"/>
                <w:szCs w:val="24"/>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锌：</w:t>
            </w:r>
            <w:r>
              <w:rPr>
                <w:rStyle w:val="43"/>
                <w:rFonts w:hint="eastAsia" w:ascii="宋体" w:hAnsi="宋体" w:eastAsia="宋体" w:cs="宋体"/>
                <w:sz w:val="24"/>
                <w:szCs w:val="24"/>
              </w:rPr>
              <w:t>0.05mg/L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铝</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生活饮用水标准检验方法</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金属指标（</w:t>
            </w:r>
            <w:r>
              <w:rPr>
                <w:rStyle w:val="41"/>
                <w:rFonts w:hint="eastAsia" w:ascii="宋体" w:hAnsi="宋体" w:eastAsia="宋体" w:cs="宋体"/>
                <w:sz w:val="24"/>
                <w:szCs w:val="24"/>
              </w:rPr>
              <w:t>1.3</w:t>
            </w:r>
            <w:r>
              <w:rPr>
                <w:rStyle w:val="40"/>
                <w:rFonts w:hint="eastAsia" w:ascii="宋体" w:hAnsi="宋体" w:eastAsia="宋体" w:cs="宋体"/>
                <w:sz w:val="24"/>
                <w:szCs w:val="24"/>
              </w:rPr>
              <w:t>无火焰原子吸收分光光度法）</w:t>
            </w:r>
            <w:r>
              <w:rPr>
                <w:rStyle w:val="41"/>
                <w:rFonts w:hint="eastAsia" w:ascii="宋体" w:hAnsi="宋体" w:eastAsia="宋体" w:cs="宋体"/>
                <w:sz w:val="24"/>
                <w:szCs w:val="24"/>
              </w:rPr>
              <w:t xml:space="preserve"> GB/T 5750.6-2006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原子吸收分光光度计TAS-990G</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GZYQ103</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000000"/>
                <w:sz w:val="24"/>
                <w:szCs w:val="24"/>
                <w:u w:val="none"/>
              </w:rPr>
              <w:t>10μg/L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挥发酚</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7"/>
                <w:rFonts w:hint="eastAsia" w:ascii="宋体" w:hAnsi="宋体" w:eastAsia="宋体" w:cs="宋体"/>
                <w:b w:val="0"/>
                <w:bCs w:val="0"/>
                <w:color w:val="auto"/>
                <w:sz w:val="24"/>
                <w:szCs w:val="24"/>
              </w:rPr>
            </w:pPr>
            <w:r>
              <w:rPr>
                <w:rFonts w:hint="eastAsia" w:ascii="宋体" w:hAnsi="宋体" w:eastAsia="宋体" w:cs="宋体"/>
                <w:i w:val="0"/>
                <w:color w:val="auto"/>
                <w:kern w:val="0"/>
                <w:sz w:val="24"/>
                <w:szCs w:val="24"/>
                <w:u w:val="none"/>
                <w:lang w:val="en-US" w:eastAsia="zh-CN" w:bidi="ar"/>
              </w:rPr>
              <w:t>水质 挥发酚的测定 4-氨基安替比林分光光度法 HJ 503-2009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widowControl/>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color w:val="auto"/>
                <w:kern w:val="0"/>
                <w:sz w:val="24"/>
                <w:szCs w:val="24"/>
                <w:highlight w:val="none"/>
                <w:lang w:bidi="ar"/>
              </w:rPr>
              <w:t>0.0003mg/L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lang w:eastAsia="zh-CN"/>
              </w:rPr>
              <w:t>阴离子表面活性剂</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7"/>
                <w:rFonts w:hint="eastAsia" w:ascii="宋体" w:hAnsi="宋体" w:eastAsia="宋体" w:cs="宋体"/>
                <w:b w:val="0"/>
                <w:bCs w:val="0"/>
                <w:color w:val="auto"/>
                <w:sz w:val="24"/>
                <w:szCs w:val="24"/>
              </w:rPr>
            </w:pPr>
            <w:r>
              <w:rPr>
                <w:rFonts w:hint="eastAsia" w:ascii="宋体" w:hAnsi="宋体" w:eastAsia="宋体" w:cs="宋体"/>
                <w:i w:val="0"/>
                <w:color w:val="auto"/>
                <w:kern w:val="0"/>
                <w:sz w:val="24"/>
                <w:szCs w:val="24"/>
                <w:u w:val="none"/>
                <w:lang w:val="en-US" w:eastAsia="zh-CN" w:bidi="ar"/>
              </w:rPr>
              <w:t>水质 阴离子表面活性剂的测定 亚甲蓝分光光度法 GB/T 7494-1987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耗氧量</w:t>
            </w:r>
          </w:p>
        </w:tc>
        <w:tc>
          <w:tcPr>
            <w:tcW w:w="3960" w:type="dxa"/>
            <w:tcBorders>
              <w:tl2br w:val="nil"/>
              <w:tr2bl w:val="nil"/>
            </w:tcBorders>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生活饮用水标准检验方法 有机物综合指标</w:t>
            </w:r>
            <w:r>
              <w:rPr>
                <w:rFonts w:hint="eastAsia" w:ascii="宋体" w:hAnsi="宋体" w:eastAsia="宋体" w:cs="宋体"/>
                <w:sz w:val="24"/>
                <w:szCs w:val="24"/>
                <w:highlight w:val="none"/>
                <w:lang w:val="en-US" w:eastAsia="zh-CN"/>
              </w:rPr>
              <w:t>（1.1耗氧量  酸性高锰酸钾滴法）</w:t>
            </w:r>
          </w:p>
          <w:p>
            <w:pPr>
              <w:ind w:left="0" w:leftChars="0" w:right="0" w:rightChars="0"/>
              <w:jc w:val="center"/>
              <w:rPr>
                <w:rStyle w:val="37"/>
                <w:rFonts w:hint="eastAsia" w:ascii="宋体" w:hAnsi="宋体" w:eastAsia="宋体" w:cs="宋体"/>
                <w:b w:val="0"/>
                <w:bCs w:val="0"/>
                <w:color w:val="auto"/>
                <w:sz w:val="24"/>
                <w:szCs w:val="24"/>
              </w:rPr>
            </w:pPr>
            <w:r>
              <w:rPr>
                <w:rFonts w:hint="eastAsia" w:ascii="宋体" w:hAnsi="宋体" w:eastAsia="宋体" w:cs="宋体"/>
                <w:sz w:val="24"/>
                <w:szCs w:val="24"/>
                <w:highlight w:val="none"/>
              </w:rPr>
              <w:t>GB/T 5750.7-2006</w:t>
            </w:r>
          </w:p>
        </w:tc>
        <w:tc>
          <w:tcPr>
            <w:tcW w:w="168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i w:val="0"/>
                <w:color w:val="auto"/>
                <w:kern w:val="0"/>
                <w:sz w:val="24"/>
                <w:szCs w:val="24"/>
                <w:highlight w:val="none"/>
                <w:u w:val="none"/>
                <w:lang w:val="en-US" w:eastAsia="zh-CN" w:bidi="ar"/>
              </w:rPr>
              <w:t>滴定管</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highlight w:val="none"/>
                <w:u w:val="none"/>
                <w:lang w:val="en-US" w:eastAsia="zh-CN" w:bidi="ar"/>
              </w:rPr>
              <w:t>0.05mg/L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氨氮</w:t>
            </w:r>
          </w:p>
        </w:tc>
        <w:tc>
          <w:tcPr>
            <w:tcW w:w="39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 xml:space="preserve">水质 氨氮的测定 纳氏试剂分光光度法 </w:t>
            </w:r>
          </w:p>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Fonts w:hint="eastAsia" w:ascii="宋体" w:hAnsi="宋体" w:eastAsia="宋体" w:cs="宋体"/>
                <w:i w:val="0"/>
                <w:color w:val="auto"/>
                <w:kern w:val="0"/>
                <w:sz w:val="24"/>
                <w:szCs w:val="24"/>
                <w:highlight w:val="none"/>
                <w:u w:val="none"/>
                <w:lang w:val="en-US" w:eastAsia="zh-CN" w:bidi="ar"/>
              </w:rPr>
              <w:t>HJ 535-2009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highlight w:val="none"/>
                <w:u w:val="none"/>
                <w:lang w:val="en-US" w:eastAsia="zh-CN" w:bidi="ar"/>
              </w:rPr>
              <w:t>0.025mg/L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lang w:eastAsia="zh-CN"/>
              </w:rPr>
              <w:t>硫化物</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7"/>
                <w:rFonts w:hint="eastAsia" w:ascii="宋体" w:hAnsi="宋体" w:eastAsia="宋体" w:cs="宋体"/>
                <w:b w:val="0"/>
                <w:bCs w:val="0"/>
                <w:color w:val="auto"/>
                <w:sz w:val="24"/>
                <w:szCs w:val="24"/>
              </w:rPr>
            </w:pPr>
            <w:r>
              <w:rPr>
                <w:rFonts w:hint="eastAsia" w:ascii="宋体" w:hAnsi="宋体" w:eastAsia="宋体" w:cs="宋体"/>
                <w:i w:val="0"/>
                <w:color w:val="auto"/>
                <w:kern w:val="0"/>
                <w:sz w:val="24"/>
                <w:szCs w:val="24"/>
                <w:u w:val="none"/>
                <w:lang w:val="en-US" w:eastAsia="zh-CN" w:bidi="ar"/>
              </w:rPr>
              <w:t>水质 硫化物的测定 亚甲基蓝分光光度法 HJ 1226- 2021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lang w:eastAsia="zh-CN"/>
              </w:rPr>
              <w:t>钠</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钾和钠的测定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火焰原子吸收分光光度法</w:t>
            </w:r>
            <w:r>
              <w:rPr>
                <w:rStyle w:val="41"/>
                <w:rFonts w:hint="eastAsia" w:ascii="宋体" w:hAnsi="宋体" w:eastAsia="宋体" w:cs="宋体"/>
                <w:sz w:val="24"/>
                <w:szCs w:val="24"/>
              </w:rPr>
              <w:t xml:space="preserve"> GB/T 11904-1989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钠：</w:t>
            </w:r>
            <w:r>
              <w:rPr>
                <w:rStyle w:val="43"/>
                <w:rFonts w:hint="eastAsia" w:ascii="宋体" w:hAnsi="宋体" w:eastAsia="宋体" w:cs="宋体"/>
                <w:sz w:val="24"/>
                <w:szCs w:val="24"/>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亚硝酸盐</w:t>
            </w:r>
            <w:r>
              <w:rPr>
                <w:rFonts w:hint="eastAsia" w:ascii="宋体" w:hAnsi="宋体" w:eastAsia="宋体" w:cs="宋体"/>
                <w:b w:val="0"/>
                <w:bCs w:val="0"/>
                <w:color w:val="auto"/>
                <w:sz w:val="24"/>
                <w:szCs w:val="24"/>
                <w:highlight w:val="none"/>
                <w:lang w:eastAsia="zh-CN"/>
              </w:rPr>
              <w:t>氮</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无机阴离子（</w:t>
            </w:r>
            <w:r>
              <w:rPr>
                <w:rStyle w:val="41"/>
                <w:rFonts w:hint="eastAsia" w:ascii="宋体" w:hAnsi="宋体" w:eastAsia="宋体" w:cs="宋体"/>
                <w:sz w:val="24"/>
                <w:szCs w:val="24"/>
              </w:rPr>
              <w:t>F</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Cl</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2</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Br</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PO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3-</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离子色谱法</w:t>
            </w:r>
            <w:r>
              <w:rPr>
                <w:rStyle w:val="41"/>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0.016mg/L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硝酸盐</w:t>
            </w:r>
            <w:r>
              <w:rPr>
                <w:rFonts w:hint="eastAsia" w:ascii="宋体" w:hAnsi="宋体" w:eastAsia="宋体" w:cs="宋体"/>
                <w:b w:val="0"/>
                <w:bCs w:val="0"/>
                <w:color w:val="auto"/>
                <w:sz w:val="24"/>
                <w:szCs w:val="24"/>
                <w:highlight w:val="none"/>
                <w:lang w:eastAsia="zh-CN"/>
              </w:rPr>
              <w:t>氮</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无机阴离子（</w:t>
            </w:r>
            <w:r>
              <w:rPr>
                <w:rStyle w:val="41"/>
                <w:rFonts w:hint="eastAsia" w:ascii="宋体" w:hAnsi="宋体" w:eastAsia="宋体" w:cs="宋体"/>
                <w:sz w:val="24"/>
                <w:szCs w:val="24"/>
              </w:rPr>
              <w:t>F</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Cl</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2</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Br</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PO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3-</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离子色谱法</w:t>
            </w:r>
            <w:r>
              <w:rPr>
                <w:rStyle w:val="41"/>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shd w:val="clear" w:color="auto" w:fill="auto"/>
                <w:lang w:val="en-US" w:eastAsia="zh-CN" w:bidi="ar"/>
              </w:rPr>
              <w:t>0.016mg/L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氰化物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生活饮用水标准检验方法</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无机非金属指标</w:t>
            </w:r>
            <w:r>
              <w:rPr>
                <w:rStyle w:val="41"/>
                <w:rFonts w:hint="eastAsia" w:ascii="宋体" w:hAnsi="宋体" w:eastAsia="宋体" w:cs="宋体"/>
                <w:sz w:val="24"/>
                <w:szCs w:val="24"/>
              </w:rPr>
              <w:t xml:space="preserve">  (4.1</w:t>
            </w:r>
            <w:r>
              <w:rPr>
                <w:rStyle w:val="40"/>
                <w:rFonts w:hint="eastAsia" w:ascii="宋体" w:hAnsi="宋体" w:eastAsia="宋体" w:cs="宋体"/>
                <w:sz w:val="24"/>
                <w:szCs w:val="24"/>
              </w:rPr>
              <w:t>异烟酸</w:t>
            </w:r>
            <w:r>
              <w:rPr>
                <w:rStyle w:val="41"/>
                <w:rFonts w:hint="eastAsia" w:ascii="宋体" w:hAnsi="宋体" w:eastAsia="宋体" w:cs="宋体"/>
                <w:sz w:val="24"/>
                <w:szCs w:val="24"/>
              </w:rPr>
              <w:t>-</w:t>
            </w:r>
            <w:r>
              <w:rPr>
                <w:rStyle w:val="40"/>
                <w:rFonts w:hint="eastAsia" w:ascii="宋体" w:hAnsi="宋体" w:eastAsia="宋体" w:cs="宋体"/>
                <w:sz w:val="24"/>
                <w:szCs w:val="24"/>
              </w:rPr>
              <w:t>吡唑酮分光光度法</w:t>
            </w:r>
            <w:r>
              <w:rPr>
                <w:rStyle w:val="41"/>
                <w:rFonts w:hint="eastAsia" w:ascii="宋体" w:hAnsi="宋体" w:eastAsia="宋体" w:cs="宋体"/>
                <w:sz w:val="24"/>
                <w:szCs w:val="24"/>
              </w:rPr>
              <w:t>) GB/T 5750.5-2006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000000"/>
                <w:sz w:val="24"/>
                <w:szCs w:val="24"/>
                <w:u w:val="none"/>
              </w:rPr>
              <w:t>0.002mg/L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氟化物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无机阴离子（</w:t>
            </w:r>
            <w:r>
              <w:rPr>
                <w:rStyle w:val="41"/>
                <w:rFonts w:hint="eastAsia" w:ascii="宋体" w:hAnsi="宋体" w:eastAsia="宋体" w:cs="宋体"/>
                <w:sz w:val="24"/>
                <w:szCs w:val="24"/>
              </w:rPr>
              <w:t>F</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Cl</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2</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Br</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NO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w:t>
            </w:r>
            <w:r>
              <w:rPr>
                <w:rStyle w:val="40"/>
                <w:rFonts w:hint="eastAsia" w:ascii="宋体" w:hAnsi="宋体" w:eastAsia="宋体" w:cs="宋体"/>
                <w:sz w:val="24"/>
                <w:szCs w:val="24"/>
              </w:rPr>
              <w:t>、</w:t>
            </w:r>
            <w:r>
              <w:rPr>
                <w:rStyle w:val="41"/>
                <w:rFonts w:hint="eastAsia" w:ascii="宋体" w:hAnsi="宋体" w:eastAsia="宋体" w:cs="宋体"/>
                <w:sz w:val="24"/>
                <w:szCs w:val="24"/>
              </w:rPr>
              <w:t>PO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3-</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3</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w:t>
            </w:r>
            <w:r>
              <w:rPr>
                <w:rStyle w:val="41"/>
                <w:rFonts w:hint="eastAsia" w:ascii="宋体" w:hAnsi="宋体" w:eastAsia="宋体" w:cs="宋体"/>
                <w:sz w:val="24"/>
                <w:szCs w:val="24"/>
              </w:rPr>
              <w:t>SO</w:t>
            </w:r>
            <w:r>
              <w:rPr>
                <w:rStyle w:val="41"/>
                <w:rFonts w:hint="eastAsia" w:ascii="宋体" w:hAnsi="宋体" w:eastAsia="宋体" w:cs="宋体"/>
                <w:sz w:val="24"/>
                <w:szCs w:val="24"/>
                <w:vertAlign w:val="subscript"/>
              </w:rPr>
              <w:t>4</w:t>
            </w:r>
            <w:r>
              <w:rPr>
                <w:rStyle w:val="41"/>
                <w:rFonts w:hint="eastAsia" w:ascii="宋体" w:hAnsi="宋体" w:eastAsia="宋体" w:cs="宋体"/>
                <w:sz w:val="24"/>
                <w:szCs w:val="24"/>
                <w:vertAlign w:val="superscript"/>
              </w:rPr>
              <w:t>2-</w:t>
            </w:r>
            <w:r>
              <w:rPr>
                <w:rStyle w:val="40"/>
                <w:rFonts w:hint="eastAsia" w:ascii="宋体" w:hAnsi="宋体" w:eastAsia="宋体" w:cs="宋体"/>
                <w:sz w:val="24"/>
                <w:szCs w:val="24"/>
              </w:rPr>
              <w:t>）的测定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离子色谱法</w:t>
            </w:r>
            <w:r>
              <w:rPr>
                <w:rStyle w:val="41"/>
                <w:rFonts w:hint="eastAsia" w:ascii="宋体" w:hAnsi="宋体" w:eastAsia="宋体" w:cs="宋体"/>
                <w:sz w:val="24"/>
                <w:szCs w:val="24"/>
              </w:rPr>
              <w:t xml:space="preserve">  HJ 84-2016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0.006mg/L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碘化物</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碘化物的测定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离子色谱法（</w:t>
            </w:r>
            <w:r>
              <w:rPr>
                <w:rStyle w:val="41"/>
                <w:rFonts w:hint="eastAsia" w:ascii="宋体" w:hAnsi="宋体" w:eastAsia="宋体" w:cs="宋体"/>
                <w:sz w:val="24"/>
                <w:szCs w:val="24"/>
              </w:rPr>
              <w:t>HJ 778-2015</w:t>
            </w:r>
            <w:r>
              <w:rPr>
                <w:rStyle w:val="40"/>
                <w:rFonts w:hint="eastAsia" w:ascii="宋体" w:hAnsi="宋体" w:eastAsia="宋体" w:cs="宋体"/>
                <w:sz w:val="24"/>
                <w:szCs w:val="24"/>
              </w:rPr>
              <w:t>）</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离子色谱仪CIC-D100</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GZYQ108</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000000"/>
                <w:sz w:val="24"/>
                <w:szCs w:val="24"/>
                <w:u w:val="none"/>
              </w:rPr>
              <w:t>0.002mg/L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汞</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汞、砷、硒、铋和锑的测定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原子荧光法</w:t>
            </w:r>
            <w:r>
              <w:rPr>
                <w:rStyle w:val="41"/>
                <w:rFonts w:hint="eastAsia" w:ascii="宋体" w:hAnsi="宋体" w:eastAsia="宋体" w:cs="宋体"/>
                <w:sz w:val="24"/>
                <w:szCs w:val="24"/>
              </w:rPr>
              <w:t>HJ 694-2014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原子荧光光度计PF31</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GZYQ109</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汞：</w:t>
            </w:r>
            <w:r>
              <w:rPr>
                <w:rStyle w:val="43"/>
                <w:rFonts w:hint="eastAsia" w:ascii="宋体" w:hAnsi="宋体" w:eastAsia="宋体" w:cs="宋体"/>
                <w:sz w:val="24"/>
                <w:szCs w:val="24"/>
              </w:rPr>
              <w:t>0.04μg/L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砷</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汞、砷、硒、铋和锑的测定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原子荧光法</w:t>
            </w:r>
            <w:r>
              <w:rPr>
                <w:rStyle w:val="41"/>
                <w:rFonts w:hint="eastAsia" w:ascii="宋体" w:hAnsi="宋体" w:eastAsia="宋体" w:cs="宋体"/>
                <w:sz w:val="24"/>
                <w:szCs w:val="24"/>
              </w:rPr>
              <w:t>HJ 694-2014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原子荧光光度计PF31</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GZYQ109</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砷：</w:t>
            </w:r>
            <w:r>
              <w:rPr>
                <w:rStyle w:val="43"/>
                <w:rFonts w:hint="eastAsia" w:ascii="宋体" w:hAnsi="宋体" w:eastAsia="宋体" w:cs="宋体"/>
                <w:sz w:val="24"/>
                <w:szCs w:val="24"/>
              </w:rPr>
              <w:t>0.3μg/L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硒</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汞、砷、硒、铋和锑的测定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原子荧光法</w:t>
            </w:r>
            <w:r>
              <w:rPr>
                <w:rStyle w:val="40"/>
                <w:rFonts w:hint="eastAsia" w:ascii="宋体" w:hAnsi="宋体" w:eastAsia="宋体" w:cs="宋体"/>
                <w:sz w:val="24"/>
                <w:szCs w:val="24"/>
                <w:lang w:val="en-US" w:eastAsia="zh-CN"/>
              </w:rPr>
              <w:t xml:space="preserve"> </w:t>
            </w:r>
            <w:r>
              <w:rPr>
                <w:rStyle w:val="41"/>
                <w:rFonts w:hint="eastAsia" w:ascii="宋体" w:hAnsi="宋体" w:eastAsia="宋体" w:cs="宋体"/>
                <w:sz w:val="24"/>
                <w:szCs w:val="24"/>
              </w:rPr>
              <w:t>HJ 694-2014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原子荧光光度计PF31</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GZYQ109</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硒：</w:t>
            </w:r>
            <w:r>
              <w:rPr>
                <w:rStyle w:val="43"/>
                <w:rFonts w:hint="eastAsia" w:ascii="宋体" w:hAnsi="宋体" w:eastAsia="宋体" w:cs="宋体"/>
                <w:sz w:val="24"/>
                <w:szCs w:val="24"/>
              </w:rPr>
              <w:t>0.4μg/L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镉</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铜、锌、铅、镉的测定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原子吸收分光光度法</w:t>
            </w:r>
            <w:r>
              <w:rPr>
                <w:rStyle w:val="41"/>
                <w:rFonts w:hint="eastAsia" w:ascii="宋体" w:hAnsi="宋体" w:eastAsia="宋体" w:cs="宋体"/>
                <w:sz w:val="24"/>
                <w:szCs w:val="24"/>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螯合萃取法：</w:t>
            </w:r>
            <w:r>
              <w:rPr>
                <w:rStyle w:val="43"/>
                <w:rFonts w:hint="eastAsia" w:ascii="宋体" w:hAnsi="宋体" w:eastAsia="宋体" w:cs="宋体"/>
                <w:sz w:val="24"/>
                <w:szCs w:val="24"/>
                <w:lang w:val="en-US" w:eastAsia="zh-CN"/>
              </w:rPr>
              <w:t>0.001</w:t>
            </w:r>
            <w:r>
              <w:rPr>
                <w:rFonts w:hint="eastAsia" w:ascii="宋体" w:hAnsi="宋体" w:eastAsia="宋体" w:cs="宋体"/>
                <w:i w:val="0"/>
                <w:color w:val="000000"/>
                <w:sz w:val="24"/>
                <w:szCs w:val="24"/>
                <w:u w:val="none"/>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六价铬</w:t>
            </w:r>
          </w:p>
        </w:tc>
        <w:tc>
          <w:tcPr>
            <w:tcW w:w="3960" w:type="dxa"/>
            <w:tcBorders>
              <w:tl2br w:val="nil"/>
              <w:tr2bl w:val="nil"/>
            </w:tcBorders>
            <w:noWrap w:val="0"/>
            <w:vAlign w:val="center"/>
          </w:tcPr>
          <w:p>
            <w:pPr>
              <w:adjustRightInd w:val="0"/>
              <w:snapToGrid w:val="0"/>
              <w:ind w:left="210" w:hanging="240" w:hangingChars="100"/>
              <w:jc w:val="center"/>
              <w:rPr>
                <w:rFonts w:hint="eastAsia" w:ascii="宋体" w:hAnsi="宋体" w:eastAsia="宋体" w:cs="宋体"/>
                <w:sz w:val="24"/>
                <w:szCs w:val="24"/>
                <w:highlight w:val="none"/>
              </w:rPr>
            </w:pPr>
            <w:r>
              <w:rPr>
                <w:rFonts w:hint="eastAsia" w:ascii="宋体" w:hAnsi="宋体" w:eastAsia="宋体" w:cs="宋体"/>
                <w:sz w:val="24"/>
                <w:szCs w:val="24"/>
              </w:rPr>
              <w:t>生活饮用</w:t>
            </w:r>
            <w:r>
              <w:rPr>
                <w:rFonts w:hint="eastAsia" w:ascii="宋体" w:hAnsi="宋体" w:eastAsia="宋体" w:cs="宋体"/>
                <w:sz w:val="24"/>
                <w:szCs w:val="24"/>
                <w:highlight w:val="none"/>
              </w:rPr>
              <w:t>水标准检验方法 金属指标</w:t>
            </w:r>
          </w:p>
          <w:p>
            <w:pPr>
              <w:adjustRightInd w:val="0"/>
              <w:snapToGrid w:val="0"/>
              <w:ind w:left="210" w:hanging="240" w:hangingChar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（10.1</w:t>
            </w:r>
            <w:r>
              <w:rPr>
                <w:rFonts w:hint="eastAsia" w:ascii="宋体" w:hAnsi="宋体" w:eastAsia="宋体" w:cs="宋体"/>
                <w:color w:val="000000"/>
                <w:sz w:val="24"/>
                <w:szCs w:val="24"/>
                <w:highlight w:val="none"/>
              </w:rPr>
              <w:t>铬（六价）</w:t>
            </w:r>
            <w:r>
              <w:rPr>
                <w:rFonts w:hint="eastAsia" w:ascii="宋体" w:hAnsi="宋体" w:eastAsia="宋体" w:cs="宋体"/>
                <w:sz w:val="24"/>
                <w:szCs w:val="24"/>
                <w:highlight w:val="none"/>
              </w:rPr>
              <w:t>二苯碳酰二肼分光</w:t>
            </w:r>
          </w:p>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Style w:val="37"/>
                <w:rFonts w:hint="eastAsia" w:ascii="宋体" w:hAnsi="宋体" w:eastAsia="宋体" w:cs="宋体"/>
                <w:b w:val="0"/>
                <w:bCs w:val="0"/>
                <w:color w:val="auto"/>
                <w:sz w:val="24"/>
                <w:szCs w:val="24"/>
              </w:rPr>
            </w:pPr>
            <w:r>
              <w:rPr>
                <w:rFonts w:hint="eastAsia" w:ascii="宋体" w:hAnsi="宋体" w:eastAsia="宋体" w:cs="宋体"/>
                <w:sz w:val="24"/>
                <w:szCs w:val="24"/>
                <w:highlight w:val="none"/>
              </w:rPr>
              <w:t>光度法） GB/T 5750.6-2006</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可见分光光度计 V-1200B</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GZYQ01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0.004mg/L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铅</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铜、锌、铅、镉的测定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原子吸收分光光度法</w:t>
            </w:r>
            <w:r>
              <w:rPr>
                <w:rStyle w:val="41"/>
                <w:rFonts w:hint="eastAsia" w:ascii="宋体" w:hAnsi="宋体" w:eastAsia="宋体" w:cs="宋体"/>
                <w:sz w:val="24"/>
                <w:szCs w:val="24"/>
              </w:rPr>
              <w:t xml:space="preserve"> GB/T 7475-1987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原子吸收分光光度计TAS-990F</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GZYQ104</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螯合萃取法：</w:t>
            </w:r>
            <w:r>
              <w:rPr>
                <w:rStyle w:val="42"/>
                <w:rFonts w:hint="eastAsia" w:ascii="宋体" w:hAnsi="宋体" w:eastAsia="宋体" w:cs="宋体"/>
                <w:sz w:val="24"/>
                <w:szCs w:val="24"/>
                <w:lang w:val="en-US" w:eastAsia="zh-CN"/>
              </w:rPr>
              <w:t>0.010</w:t>
            </w:r>
            <w:r>
              <w:rPr>
                <w:rFonts w:hint="eastAsia" w:ascii="宋体" w:hAnsi="宋体" w:eastAsia="宋体" w:cs="宋体"/>
                <w:i w:val="0"/>
                <w:color w:val="000000"/>
                <w:sz w:val="24"/>
                <w:szCs w:val="24"/>
                <w:u w:val="none"/>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三氯甲烷</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挥发性卤代烃的测定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顶空气相色谱法</w:t>
            </w:r>
            <w:r>
              <w:rPr>
                <w:rStyle w:val="41"/>
                <w:rFonts w:hint="eastAsia" w:ascii="宋体" w:hAnsi="宋体" w:eastAsia="宋体" w:cs="宋体"/>
                <w:sz w:val="24"/>
                <w:szCs w:val="24"/>
              </w:rPr>
              <w:t xml:space="preserve"> HJ 620-2011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GZYQ112</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三氯甲烷：</w:t>
            </w:r>
            <w:r>
              <w:rPr>
                <w:rStyle w:val="43"/>
                <w:rFonts w:hint="eastAsia" w:ascii="宋体" w:hAnsi="宋体" w:eastAsia="宋体" w:cs="宋体"/>
                <w:sz w:val="24"/>
                <w:szCs w:val="24"/>
              </w:rPr>
              <w:t>0.02μg/L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rPr>
              <w:t>四氯化碳</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挥发性卤代烃的测定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顶空气相色谱法</w:t>
            </w:r>
            <w:r>
              <w:rPr>
                <w:rStyle w:val="41"/>
                <w:rFonts w:hint="eastAsia" w:ascii="宋体" w:hAnsi="宋体" w:eastAsia="宋体" w:cs="宋体"/>
                <w:sz w:val="24"/>
                <w:szCs w:val="24"/>
              </w:rPr>
              <w:t xml:space="preserve"> HJ 620-2011</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GZYQ112</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2"/>
                <w:rFonts w:hint="eastAsia" w:ascii="宋体" w:hAnsi="宋体" w:eastAsia="宋体" w:cs="宋体"/>
                <w:sz w:val="24"/>
                <w:szCs w:val="24"/>
              </w:rPr>
              <w:t>四氯化碳：</w:t>
            </w:r>
            <w:r>
              <w:rPr>
                <w:rStyle w:val="43"/>
                <w:rFonts w:hint="eastAsia" w:ascii="宋体" w:hAnsi="宋体" w:eastAsia="宋体" w:cs="宋体"/>
                <w:sz w:val="24"/>
                <w:szCs w:val="24"/>
              </w:rPr>
              <w:t>0.03μg/L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lang w:eastAsia="zh-CN"/>
              </w:rPr>
              <w:t>苯</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苯系物的测定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顶空气相色谱法</w:t>
            </w:r>
            <w:r>
              <w:rPr>
                <w:rStyle w:val="41"/>
                <w:rFonts w:hint="eastAsia" w:ascii="宋体" w:hAnsi="宋体" w:eastAsia="宋体" w:cs="宋体"/>
                <w:sz w:val="24"/>
                <w:szCs w:val="24"/>
              </w:rPr>
              <w:t>HJ 1067-2019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GZYQ112</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2μg/L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highlight w:val="none"/>
                <w:lang w:eastAsia="zh-CN"/>
              </w:rPr>
              <w:t>甲苯</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Style w:val="37"/>
                <w:rFonts w:hint="eastAsia" w:ascii="宋体" w:hAnsi="宋体" w:eastAsia="宋体" w:cs="宋体"/>
                <w:b w:val="0"/>
                <w:bCs w:val="0"/>
                <w:color w:val="auto"/>
                <w:sz w:val="24"/>
                <w:szCs w:val="24"/>
              </w:rPr>
            </w:pPr>
            <w:r>
              <w:rPr>
                <w:rStyle w:val="40"/>
                <w:rFonts w:hint="eastAsia" w:ascii="宋体" w:hAnsi="宋体" w:eastAsia="宋体" w:cs="宋体"/>
                <w:sz w:val="24"/>
                <w:szCs w:val="24"/>
              </w:rPr>
              <w:t>水质</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苯系物的测定</w:t>
            </w:r>
            <w:r>
              <w:rPr>
                <w:rStyle w:val="41"/>
                <w:rFonts w:hint="eastAsia" w:ascii="宋体" w:hAnsi="宋体" w:eastAsia="宋体" w:cs="宋体"/>
                <w:sz w:val="24"/>
                <w:szCs w:val="24"/>
              </w:rPr>
              <w:t xml:space="preserve"> </w:t>
            </w:r>
            <w:r>
              <w:rPr>
                <w:rStyle w:val="40"/>
                <w:rFonts w:hint="eastAsia" w:ascii="宋体" w:hAnsi="宋体" w:eastAsia="宋体" w:cs="宋体"/>
                <w:sz w:val="24"/>
                <w:szCs w:val="24"/>
              </w:rPr>
              <w:t>顶空气相色谱法</w:t>
            </w:r>
            <w:r>
              <w:rPr>
                <w:rStyle w:val="41"/>
                <w:rFonts w:hint="eastAsia" w:ascii="宋体" w:hAnsi="宋体" w:eastAsia="宋体" w:cs="宋体"/>
                <w:sz w:val="24"/>
                <w:szCs w:val="24"/>
              </w:rPr>
              <w:t>HJ 1067-2019</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气相色谱仪A91PLUS</w:t>
            </w:r>
          </w:p>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lang w:val="en-US" w:eastAsia="zh-CN"/>
              </w:rPr>
              <w:t>GZYQ112</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color w:val="auto"/>
                <w:kern w:val="0"/>
                <w:sz w:val="24"/>
                <w:szCs w:val="24"/>
                <w:u w:val="none"/>
                <w:lang w:val="en-US" w:eastAsia="zh-CN" w:bidi="ar"/>
              </w:rPr>
            </w:pPr>
            <w:r>
              <w:rPr>
                <w:rStyle w:val="43"/>
                <w:rFonts w:hint="eastAsia" w:ascii="宋体" w:hAnsi="宋体" w:eastAsia="宋体" w:cs="宋体"/>
                <w:sz w:val="24"/>
                <w:szCs w:val="24"/>
              </w:rPr>
              <w:t>2μg/L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33" w:type="dxa"/>
            <w:gridSpan w:val="4"/>
            <w:tcBorders>
              <w:tl2br w:val="nil"/>
              <w:tr2bl w:val="nil"/>
            </w:tcBorders>
            <w:noWrap w:val="0"/>
            <w:vAlign w:val="center"/>
          </w:tcPr>
          <w:p>
            <w:pPr>
              <w:spacing w:line="320" w:lineRule="exact"/>
              <w:jc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color w:val="000000"/>
                <w:sz w:val="24"/>
                <w:szCs w:val="24"/>
                <w:highlight w:val="none"/>
                <w:lang w:val="en-US" w:eastAsia="zh-CN"/>
              </w:rPr>
              <w:t>二、土壤</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砷</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土壤和沉积物 汞、砷、硒、铋、锑的测定 微波消解/原子荧光法 HJ 680-2013</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原子荧光光度计PF31</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rPr>
              <w:t>0.01mg/kg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镉</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rPr>
              <w:t>土壤质量</w:t>
            </w:r>
            <w:r>
              <w:rPr>
                <w:rStyle w:val="41"/>
                <w:rFonts w:hint="default" w:ascii="Times New Roman" w:hAnsi="Times New Roman" w:eastAsia="宋体" w:cs="Times New Roman"/>
                <w:sz w:val="24"/>
                <w:szCs w:val="24"/>
                <w:highlight w:val="none"/>
              </w:rPr>
              <w:t xml:space="preserve"> </w:t>
            </w:r>
            <w:r>
              <w:rPr>
                <w:rStyle w:val="40"/>
                <w:rFonts w:hint="default" w:ascii="Times New Roman" w:hAnsi="Times New Roman" w:eastAsia="宋体" w:cs="Times New Roman"/>
                <w:sz w:val="24"/>
                <w:szCs w:val="24"/>
                <w:highlight w:val="none"/>
              </w:rPr>
              <w:t>铅、镉的测定</w:t>
            </w:r>
            <w:r>
              <w:rPr>
                <w:rStyle w:val="41"/>
                <w:rFonts w:hint="default" w:ascii="Times New Roman" w:hAnsi="Times New Roman" w:eastAsia="宋体" w:cs="Times New Roman"/>
                <w:sz w:val="24"/>
                <w:szCs w:val="24"/>
                <w:highlight w:val="none"/>
              </w:rPr>
              <w:t xml:space="preserve"> </w:t>
            </w:r>
            <w:r>
              <w:rPr>
                <w:rStyle w:val="40"/>
                <w:rFonts w:hint="default" w:ascii="Times New Roman" w:hAnsi="Times New Roman" w:eastAsia="宋体" w:cs="Times New Roman"/>
                <w:sz w:val="24"/>
                <w:szCs w:val="24"/>
                <w:highlight w:val="none"/>
              </w:rPr>
              <w:t>石墨炉原子吸收分光光度法</w:t>
            </w:r>
            <w:r>
              <w:rPr>
                <w:rStyle w:val="41"/>
                <w:rFonts w:hint="default" w:ascii="Times New Roman" w:hAnsi="Times New Roman" w:eastAsia="宋体" w:cs="Times New Roman"/>
                <w:sz w:val="24"/>
                <w:szCs w:val="24"/>
                <w:highlight w:val="none"/>
              </w:rPr>
              <w:t>GB/T 17141-1997</w:t>
            </w:r>
          </w:p>
        </w:tc>
        <w:tc>
          <w:tcPr>
            <w:tcW w:w="1680" w:type="dxa"/>
            <w:tcBorders>
              <w:tl2br w:val="nil"/>
              <w:tr2bl w:val="nil"/>
            </w:tcBorders>
            <w:noWrap w:val="0"/>
            <w:vAlign w:val="center"/>
          </w:tcPr>
          <w:p>
            <w:pPr>
              <w:spacing w:line="260" w:lineRule="exact"/>
              <w:ind w:left="63" w:leftChars="30" w:right="63" w:rightChars="3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原子吸收分光光度计TAS-990G</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rPr>
              <w:t>0.01mg/kg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六价铬</w:t>
            </w:r>
          </w:p>
        </w:tc>
        <w:tc>
          <w:tcPr>
            <w:tcW w:w="3960" w:type="dxa"/>
            <w:tcBorders>
              <w:tl2br w:val="nil"/>
              <w:tr2bl w:val="nil"/>
            </w:tcBorders>
            <w:noWrap w:val="0"/>
            <w:vAlign w:val="center"/>
          </w:tcPr>
          <w:p>
            <w:pPr>
              <w:spacing w:line="260" w:lineRule="exact"/>
              <w:ind w:left="63" w:leftChars="30" w:right="63" w:rightChars="3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土壤和沉积物 六价铬的测定</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碱溶液提取-火焰原子吸收分光光度法</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HJ 1082-2019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rPr>
              <w:t>火焰原子吸收分光光度</w:t>
            </w:r>
            <w:r>
              <w:rPr>
                <w:rStyle w:val="40"/>
                <w:rFonts w:hint="default" w:ascii="Times New Roman" w:hAnsi="Times New Roman" w:eastAsia="宋体" w:cs="Times New Roman"/>
                <w:sz w:val="24"/>
                <w:szCs w:val="24"/>
                <w:highlight w:val="none"/>
                <w:lang w:eastAsia="zh-CN"/>
              </w:rPr>
              <w:t>计普析</w:t>
            </w:r>
            <w:r>
              <w:rPr>
                <w:rStyle w:val="40"/>
                <w:rFonts w:hint="default" w:ascii="Times New Roman" w:hAnsi="Times New Roman" w:eastAsia="宋体" w:cs="Times New Roman"/>
                <w:sz w:val="24"/>
                <w:szCs w:val="24"/>
                <w:highlight w:val="none"/>
                <w:lang w:val="en-US" w:eastAsia="zh-CN"/>
              </w:rPr>
              <w:t>TAS-990F</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0.5mg/kg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铜</w:t>
            </w:r>
          </w:p>
        </w:tc>
        <w:tc>
          <w:tcPr>
            <w:tcW w:w="3960" w:type="dxa"/>
            <w:tcBorders>
              <w:tl2br w:val="nil"/>
              <w:tr2bl w:val="nil"/>
            </w:tcBorders>
            <w:noWrap w:val="0"/>
            <w:vAlign w:val="center"/>
          </w:tcPr>
          <w:p>
            <w:pPr>
              <w:keepNext w:val="0"/>
              <w:keepLines w:val="0"/>
              <w:widowControl/>
              <w:suppressLineNumbers w:val="0"/>
              <w:jc w:val="center"/>
              <w:textAlignment w:val="center"/>
              <w:rPr>
                <w:rStyle w:val="41"/>
                <w:rFonts w:hint="default" w:ascii="Times New Roman" w:hAnsi="Times New Roman" w:eastAsia="宋体" w:cs="Times New Roman"/>
                <w:sz w:val="24"/>
                <w:szCs w:val="24"/>
                <w:highlight w:val="none"/>
              </w:rPr>
            </w:pPr>
            <w:r>
              <w:rPr>
                <w:rStyle w:val="40"/>
                <w:rFonts w:hint="default" w:ascii="Times New Roman" w:hAnsi="Times New Roman" w:eastAsia="宋体" w:cs="Times New Roman"/>
                <w:sz w:val="24"/>
                <w:szCs w:val="24"/>
                <w:highlight w:val="none"/>
              </w:rPr>
              <w:t>土壤和沉积物</w:t>
            </w:r>
            <w:r>
              <w:rPr>
                <w:rStyle w:val="41"/>
                <w:rFonts w:hint="default" w:ascii="Times New Roman" w:hAnsi="Times New Roman" w:eastAsia="宋体" w:cs="Times New Roman"/>
                <w:sz w:val="24"/>
                <w:szCs w:val="24"/>
                <w:highlight w:val="none"/>
              </w:rPr>
              <w:t xml:space="preserve"> </w:t>
            </w:r>
            <w:r>
              <w:rPr>
                <w:rStyle w:val="40"/>
                <w:rFonts w:hint="default" w:ascii="Times New Roman" w:hAnsi="Times New Roman" w:eastAsia="宋体" w:cs="Times New Roman"/>
                <w:sz w:val="24"/>
                <w:szCs w:val="24"/>
                <w:highlight w:val="none"/>
              </w:rPr>
              <w:t>铜、锌、铅、镍、铬的测定</w:t>
            </w:r>
            <w:r>
              <w:rPr>
                <w:rStyle w:val="41"/>
                <w:rFonts w:hint="default" w:ascii="Times New Roman" w:hAnsi="Times New Roman" w:eastAsia="宋体" w:cs="Times New Roman"/>
                <w:sz w:val="24"/>
                <w:szCs w:val="24"/>
                <w:highlight w:val="none"/>
              </w:rPr>
              <w:t xml:space="preserve"> </w:t>
            </w:r>
          </w:p>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rPr>
              <w:t>火焰原子吸收分光光度法</w:t>
            </w:r>
            <w:r>
              <w:rPr>
                <w:rStyle w:val="41"/>
                <w:rFonts w:hint="default" w:ascii="Times New Roman" w:hAnsi="Times New Roman" w:eastAsia="宋体" w:cs="Times New Roman"/>
                <w:sz w:val="24"/>
                <w:szCs w:val="24"/>
                <w:highlight w:val="none"/>
              </w:rPr>
              <w:t xml:space="preserve">  HJ 491-2019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lang w:val="en-US" w:eastAsia="zh-CN"/>
              </w:rPr>
              <w:t>原子吸收分光光度计TAS-990F</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rPr>
              <w:t>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铅</w:t>
            </w:r>
          </w:p>
        </w:tc>
        <w:tc>
          <w:tcPr>
            <w:tcW w:w="3960" w:type="dxa"/>
            <w:tcBorders>
              <w:tl2br w:val="nil"/>
              <w:tr2bl w:val="nil"/>
            </w:tcBorders>
            <w:noWrap w:val="0"/>
            <w:vAlign w:val="center"/>
          </w:tcPr>
          <w:p>
            <w:pPr>
              <w:keepNext w:val="0"/>
              <w:keepLines w:val="0"/>
              <w:widowControl/>
              <w:suppressLineNumbers w:val="0"/>
              <w:jc w:val="center"/>
              <w:textAlignment w:val="center"/>
              <w:rPr>
                <w:rStyle w:val="41"/>
                <w:rFonts w:hint="default" w:ascii="Times New Roman" w:hAnsi="Times New Roman" w:eastAsia="宋体" w:cs="Times New Roman"/>
                <w:sz w:val="24"/>
                <w:szCs w:val="24"/>
                <w:highlight w:val="none"/>
              </w:rPr>
            </w:pPr>
            <w:r>
              <w:rPr>
                <w:rStyle w:val="40"/>
                <w:rFonts w:hint="default" w:ascii="Times New Roman" w:hAnsi="Times New Roman" w:eastAsia="宋体" w:cs="Times New Roman"/>
                <w:sz w:val="24"/>
                <w:szCs w:val="24"/>
                <w:highlight w:val="none"/>
              </w:rPr>
              <w:t>土壤和沉积物</w:t>
            </w:r>
            <w:r>
              <w:rPr>
                <w:rStyle w:val="41"/>
                <w:rFonts w:hint="default" w:ascii="Times New Roman" w:hAnsi="Times New Roman" w:eastAsia="宋体" w:cs="Times New Roman"/>
                <w:sz w:val="24"/>
                <w:szCs w:val="24"/>
                <w:highlight w:val="none"/>
              </w:rPr>
              <w:t xml:space="preserve"> </w:t>
            </w:r>
            <w:r>
              <w:rPr>
                <w:rStyle w:val="40"/>
                <w:rFonts w:hint="default" w:ascii="Times New Roman" w:hAnsi="Times New Roman" w:eastAsia="宋体" w:cs="Times New Roman"/>
                <w:sz w:val="24"/>
                <w:szCs w:val="24"/>
                <w:highlight w:val="none"/>
              </w:rPr>
              <w:t>铜、锌、铅、镍、铬的测定</w:t>
            </w:r>
            <w:r>
              <w:rPr>
                <w:rStyle w:val="41"/>
                <w:rFonts w:hint="default" w:ascii="Times New Roman" w:hAnsi="Times New Roman" w:eastAsia="宋体" w:cs="Times New Roman"/>
                <w:sz w:val="24"/>
                <w:szCs w:val="24"/>
                <w:highlight w:val="none"/>
              </w:rPr>
              <w:t xml:space="preserve"> </w:t>
            </w:r>
          </w:p>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rPr>
              <w:t>火焰原子吸收分光光度法</w:t>
            </w:r>
            <w:r>
              <w:rPr>
                <w:rStyle w:val="41"/>
                <w:rFonts w:hint="default" w:ascii="Times New Roman" w:hAnsi="Times New Roman" w:eastAsia="宋体" w:cs="Times New Roman"/>
                <w:sz w:val="24"/>
                <w:szCs w:val="24"/>
                <w:highlight w:val="none"/>
              </w:rPr>
              <w:t xml:space="preserve">  HJ 491-2019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lang w:val="en-US" w:eastAsia="zh-CN"/>
              </w:rPr>
              <w:t>原子吸收分光光度计TAS-990F</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rPr>
              <w:t>10mg/kg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汞</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rPr>
              <w:t>土壤和沉积物</w:t>
            </w:r>
            <w:r>
              <w:rPr>
                <w:rStyle w:val="41"/>
                <w:rFonts w:hint="default" w:ascii="Times New Roman" w:hAnsi="Times New Roman" w:eastAsia="宋体" w:cs="Times New Roman"/>
                <w:sz w:val="24"/>
                <w:szCs w:val="24"/>
                <w:highlight w:val="none"/>
              </w:rPr>
              <w:t xml:space="preserve"> </w:t>
            </w:r>
            <w:r>
              <w:rPr>
                <w:rStyle w:val="40"/>
                <w:rFonts w:hint="default" w:ascii="Times New Roman" w:hAnsi="Times New Roman" w:eastAsia="宋体" w:cs="Times New Roman"/>
                <w:sz w:val="24"/>
                <w:szCs w:val="24"/>
                <w:highlight w:val="none"/>
              </w:rPr>
              <w:t>汞、砷、硒、铋、锑的测定</w:t>
            </w:r>
            <w:r>
              <w:rPr>
                <w:rStyle w:val="41"/>
                <w:rFonts w:hint="default" w:ascii="Times New Roman" w:hAnsi="Times New Roman" w:eastAsia="宋体" w:cs="Times New Roman"/>
                <w:sz w:val="24"/>
                <w:szCs w:val="24"/>
                <w:highlight w:val="none"/>
              </w:rPr>
              <w:t xml:space="preserve"> </w:t>
            </w:r>
            <w:r>
              <w:rPr>
                <w:rStyle w:val="40"/>
                <w:rFonts w:hint="default" w:ascii="Times New Roman" w:hAnsi="Times New Roman" w:eastAsia="宋体" w:cs="Times New Roman"/>
                <w:sz w:val="24"/>
                <w:szCs w:val="24"/>
                <w:highlight w:val="none"/>
              </w:rPr>
              <w:t>微波消解</w:t>
            </w:r>
            <w:r>
              <w:rPr>
                <w:rStyle w:val="41"/>
                <w:rFonts w:hint="default" w:ascii="Times New Roman" w:hAnsi="Times New Roman" w:eastAsia="宋体" w:cs="Times New Roman"/>
                <w:sz w:val="24"/>
                <w:szCs w:val="24"/>
                <w:highlight w:val="none"/>
              </w:rPr>
              <w:t>/</w:t>
            </w:r>
            <w:r>
              <w:rPr>
                <w:rStyle w:val="40"/>
                <w:rFonts w:hint="default" w:ascii="Times New Roman" w:hAnsi="Times New Roman" w:eastAsia="宋体" w:cs="Times New Roman"/>
                <w:sz w:val="24"/>
                <w:szCs w:val="24"/>
                <w:highlight w:val="none"/>
              </w:rPr>
              <w:t>原子荧光法</w:t>
            </w:r>
            <w:r>
              <w:rPr>
                <w:rStyle w:val="41"/>
                <w:rFonts w:hint="default" w:ascii="Times New Roman" w:hAnsi="Times New Roman" w:eastAsia="宋体" w:cs="Times New Roman"/>
                <w:sz w:val="24"/>
                <w:szCs w:val="24"/>
                <w:highlight w:val="none"/>
              </w:rPr>
              <w:t xml:space="preserve">  HJ 680-2013</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lang w:val="en-US" w:eastAsia="zh-CN"/>
              </w:rPr>
              <w:t>原子荧光光度计PF31</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rPr>
              <w:t>0.002mg/kg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镍</w:t>
            </w:r>
          </w:p>
        </w:tc>
        <w:tc>
          <w:tcPr>
            <w:tcW w:w="3960" w:type="dxa"/>
            <w:tcBorders>
              <w:tl2br w:val="nil"/>
              <w:tr2bl w:val="nil"/>
            </w:tcBorders>
            <w:noWrap w:val="0"/>
            <w:vAlign w:val="center"/>
          </w:tcPr>
          <w:p>
            <w:pPr>
              <w:keepNext w:val="0"/>
              <w:keepLines w:val="0"/>
              <w:widowControl/>
              <w:suppressLineNumbers w:val="0"/>
              <w:jc w:val="center"/>
              <w:textAlignment w:val="center"/>
              <w:rPr>
                <w:rStyle w:val="41"/>
                <w:rFonts w:hint="default" w:ascii="Times New Roman" w:hAnsi="Times New Roman" w:eastAsia="宋体" w:cs="Times New Roman"/>
                <w:sz w:val="24"/>
                <w:szCs w:val="24"/>
                <w:highlight w:val="none"/>
              </w:rPr>
            </w:pPr>
            <w:r>
              <w:rPr>
                <w:rStyle w:val="40"/>
                <w:rFonts w:hint="default" w:ascii="Times New Roman" w:hAnsi="Times New Roman" w:eastAsia="宋体" w:cs="Times New Roman"/>
                <w:sz w:val="24"/>
                <w:szCs w:val="24"/>
                <w:highlight w:val="none"/>
              </w:rPr>
              <w:t>土壤和沉积物</w:t>
            </w:r>
            <w:r>
              <w:rPr>
                <w:rStyle w:val="41"/>
                <w:rFonts w:hint="default" w:ascii="Times New Roman" w:hAnsi="Times New Roman" w:eastAsia="宋体" w:cs="Times New Roman"/>
                <w:sz w:val="24"/>
                <w:szCs w:val="24"/>
                <w:highlight w:val="none"/>
              </w:rPr>
              <w:t xml:space="preserve"> </w:t>
            </w:r>
            <w:r>
              <w:rPr>
                <w:rStyle w:val="40"/>
                <w:rFonts w:hint="default" w:ascii="Times New Roman" w:hAnsi="Times New Roman" w:eastAsia="宋体" w:cs="Times New Roman"/>
                <w:sz w:val="24"/>
                <w:szCs w:val="24"/>
                <w:highlight w:val="none"/>
              </w:rPr>
              <w:t>铜、锌、铅、镍、铬的测定</w:t>
            </w:r>
            <w:r>
              <w:rPr>
                <w:rStyle w:val="41"/>
                <w:rFonts w:hint="default" w:ascii="Times New Roman" w:hAnsi="Times New Roman" w:eastAsia="宋体" w:cs="Times New Roman"/>
                <w:sz w:val="24"/>
                <w:szCs w:val="24"/>
                <w:highlight w:val="none"/>
              </w:rPr>
              <w:t xml:space="preserve"> </w:t>
            </w:r>
          </w:p>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rPr>
              <w:t>火焰原子吸收分光光度法</w:t>
            </w:r>
            <w:r>
              <w:rPr>
                <w:rStyle w:val="41"/>
                <w:rFonts w:hint="default" w:ascii="Times New Roman" w:hAnsi="Times New Roman" w:eastAsia="宋体" w:cs="Times New Roman"/>
                <w:sz w:val="24"/>
                <w:szCs w:val="24"/>
                <w:highlight w:val="none"/>
              </w:rPr>
              <w:t xml:space="preserve">  HJ 491-2019</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lang w:val="en-US" w:eastAsia="zh-CN"/>
              </w:rPr>
              <w:t>原子吸收分光光度计TAS-990F</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rPr>
              <w:t>3mg/kg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四氯化碳</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氯仿</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1.1μg/kg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氯甲烷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b w:val="0"/>
                <w:bCs w:val="0"/>
                <w:sz w:val="24"/>
                <w:szCs w:val="24"/>
                <w:highlight w:val="none"/>
                <w:lang w:val="en-US" w:eastAsia="zh-CN"/>
              </w:rPr>
              <w:t>1.0μg/kg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1,1-二氯乙烷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1,2二氯乙烷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1,1-二氯乙烯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1.0μg/kg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顺-1,2-二氯乙烯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反-1,2-二氯乙烯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1.4μg/kg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二氯甲烷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1.5μg/kg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1,2-二氯丙烷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1.1μg/kg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1,1,1,2-四氯乙烷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w:t>
            </w:r>
            <w:r>
              <w:rPr>
                <w:rStyle w:val="43"/>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center"/>
              <w:textAlignment w:val="center"/>
              <w:outlineLvl w:val="9"/>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1,1,2,2-四氯乙烷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w:t>
            </w:r>
            <w:r>
              <w:rPr>
                <w:rStyle w:val="43"/>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四氯乙烯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1.4</w:t>
            </w:r>
            <w:r>
              <w:rPr>
                <w:rStyle w:val="43"/>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1,1,1-三氯乙烷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1.3</w:t>
            </w:r>
            <w:r>
              <w:rPr>
                <w:rStyle w:val="43"/>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1,1,2-三氯乙烷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w:t>
            </w:r>
            <w:r>
              <w:rPr>
                <w:rStyle w:val="43"/>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三氯乙烯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w:t>
            </w:r>
            <w:r>
              <w:rPr>
                <w:rStyle w:val="43"/>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1,2,3-三氯丙烷</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1.0μg/kg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1.9</w:t>
            </w:r>
            <w:r>
              <w:rPr>
                <w:rStyle w:val="43"/>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氯苯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1,2-二氯苯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1.5μg/kg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1,4-二氯苯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1.5μg/kg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乙苯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苯乙烯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1.1</w:t>
            </w:r>
            <w:r>
              <w:rPr>
                <w:rStyle w:val="43"/>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甲苯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1.3μg/kg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对，间二甲苯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邻二甲苯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挥发性有机物的测定 吹扫捕集/气相色谱-质谱法 HJ 605-2011</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1.2</w:t>
            </w:r>
            <w:r>
              <w:rPr>
                <w:rStyle w:val="43"/>
                <w:rFonts w:hint="default" w:ascii="Times New Roman" w:hAnsi="Times New Roman" w:eastAsia="宋体" w:cs="Times New Roman"/>
                <w:sz w:val="24"/>
                <w:szCs w:val="24"/>
                <w:highlight w:val="none"/>
                <w:lang w:eastAsia="zh-CN"/>
              </w:rPr>
              <w:t>μg/kg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硝基苯</w:t>
            </w:r>
          </w:p>
        </w:tc>
        <w:tc>
          <w:tcPr>
            <w:tcW w:w="39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土壤和沉积物 半挥发性有机物的测定 气相色谱-质谱法 HJ 834-2017</w:t>
            </w:r>
          </w:p>
        </w:tc>
        <w:tc>
          <w:tcPr>
            <w:tcW w:w="16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b w:val="0"/>
                <w:bCs w:val="0"/>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0.09mg/kg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b w:val="0"/>
                <w:bCs w:val="0"/>
                <w:kern w:val="44"/>
                <w:sz w:val="24"/>
                <w:szCs w:val="24"/>
                <w:highlight w:val="none"/>
                <w:lang w:val="en-US" w:eastAsia="zh-CN" w:bidi="ar-SA"/>
              </w:rPr>
              <w:t>4-氯苯胺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0.09</w:t>
            </w:r>
            <w:r>
              <w:rPr>
                <w:rStyle w:val="43"/>
                <w:rFonts w:hint="default" w:ascii="Times New Roman" w:hAnsi="Times New Roman" w:eastAsia="宋体" w:cs="Times New Roman"/>
                <w:sz w:val="24"/>
                <w:szCs w:val="24"/>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b w:val="0"/>
                <w:bCs w:val="0"/>
                <w:kern w:val="44"/>
                <w:sz w:val="24"/>
                <w:szCs w:val="24"/>
                <w:highlight w:val="none"/>
                <w:lang w:val="en-US" w:eastAsia="zh-CN" w:bidi="ar-SA"/>
              </w:rPr>
              <w:t>2-硝基苯胺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0.08</w:t>
            </w:r>
            <w:r>
              <w:rPr>
                <w:rStyle w:val="43"/>
                <w:rFonts w:hint="default" w:ascii="Times New Roman" w:hAnsi="Times New Roman" w:eastAsia="宋体" w:cs="Times New Roman"/>
                <w:sz w:val="24"/>
                <w:szCs w:val="24"/>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b w:val="0"/>
                <w:bCs w:val="0"/>
                <w:kern w:val="44"/>
                <w:sz w:val="24"/>
                <w:szCs w:val="24"/>
                <w:highlight w:val="none"/>
                <w:lang w:val="en-US" w:eastAsia="zh-CN" w:bidi="ar-SA"/>
              </w:rPr>
              <w:t>3-硝基苯胺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0.1</w:t>
            </w:r>
            <w:r>
              <w:rPr>
                <w:rStyle w:val="43"/>
                <w:rFonts w:hint="default" w:ascii="Times New Roman" w:hAnsi="Times New Roman" w:eastAsia="宋体" w:cs="Times New Roman"/>
                <w:sz w:val="24"/>
                <w:szCs w:val="24"/>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b w:val="0"/>
                <w:bCs w:val="0"/>
                <w:kern w:val="44"/>
                <w:sz w:val="24"/>
                <w:szCs w:val="24"/>
                <w:highlight w:val="none"/>
                <w:lang w:val="en-US" w:eastAsia="zh-CN" w:bidi="ar-SA"/>
              </w:rPr>
              <w:t>4-硝基苯胺</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lang w:val="en-US" w:eastAsia="zh-CN"/>
              </w:rPr>
              <w:t>0.1</w:t>
            </w:r>
            <w:r>
              <w:rPr>
                <w:rStyle w:val="43"/>
                <w:rFonts w:hint="default" w:ascii="Times New Roman" w:hAnsi="Times New Roman" w:eastAsia="宋体" w:cs="Times New Roman"/>
                <w:sz w:val="24"/>
                <w:szCs w:val="24"/>
                <w:highlight w:val="none"/>
              </w:rPr>
              <w:t>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2-氯酚</w:t>
            </w:r>
          </w:p>
        </w:tc>
        <w:tc>
          <w:tcPr>
            <w:tcW w:w="3960"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40"/>
                <w:rFonts w:hint="default" w:ascii="Times New Roman" w:hAnsi="Times New Roman" w:eastAsia="宋体" w:cs="Times New Roman"/>
                <w:sz w:val="24"/>
                <w:szCs w:val="24"/>
                <w:highlight w:val="none"/>
              </w:rPr>
              <w:t>土壤和沉积物</w:t>
            </w:r>
            <w:r>
              <w:rPr>
                <w:rStyle w:val="41"/>
                <w:rFonts w:hint="default" w:ascii="Times New Roman" w:hAnsi="Times New Roman" w:eastAsia="宋体" w:cs="Times New Roman"/>
                <w:sz w:val="24"/>
                <w:szCs w:val="24"/>
                <w:highlight w:val="none"/>
              </w:rPr>
              <w:t xml:space="preserve"> </w:t>
            </w:r>
            <w:r>
              <w:rPr>
                <w:rStyle w:val="40"/>
                <w:rFonts w:hint="default" w:ascii="Times New Roman" w:hAnsi="Times New Roman" w:eastAsia="宋体" w:cs="Times New Roman"/>
                <w:sz w:val="24"/>
                <w:szCs w:val="24"/>
                <w:highlight w:val="none"/>
              </w:rPr>
              <w:t>酚类化合物的测定</w:t>
            </w:r>
            <w:r>
              <w:rPr>
                <w:rStyle w:val="41"/>
                <w:rFonts w:hint="default" w:ascii="Times New Roman" w:hAnsi="Times New Roman" w:eastAsia="宋体" w:cs="Times New Roman"/>
                <w:sz w:val="24"/>
                <w:szCs w:val="24"/>
                <w:highlight w:val="none"/>
              </w:rPr>
              <w:t xml:space="preserve"> </w:t>
            </w:r>
            <w:r>
              <w:rPr>
                <w:rStyle w:val="40"/>
                <w:rFonts w:hint="default" w:ascii="Times New Roman" w:hAnsi="Times New Roman" w:eastAsia="宋体" w:cs="Times New Roman"/>
                <w:sz w:val="24"/>
                <w:szCs w:val="24"/>
                <w:highlight w:val="none"/>
              </w:rPr>
              <w:t>气相色谱法</w:t>
            </w:r>
            <w:r>
              <w:rPr>
                <w:rStyle w:val="41"/>
                <w:rFonts w:hint="default" w:ascii="Times New Roman" w:hAnsi="Times New Roman" w:eastAsia="宋体" w:cs="Times New Roman"/>
                <w:sz w:val="24"/>
                <w:szCs w:val="24"/>
                <w:highlight w:val="none"/>
              </w:rPr>
              <w:t>HJ 703-2014</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气相色谱仪A91PLUS</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Style w:val="43"/>
                <w:rFonts w:hint="default" w:ascii="Times New Roman" w:hAnsi="Times New Roman" w:eastAsia="宋体" w:cs="Times New Roman"/>
                <w:sz w:val="24"/>
                <w:szCs w:val="24"/>
                <w:highlight w:val="none"/>
              </w:rPr>
              <w:t>0.04mg/kg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苯并（a）蒽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tabs>
                <w:tab w:val="left" w:pos="583"/>
              </w:tabs>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苯并（a）芘</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苯并（b）荧蒽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0.2mg/kg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苯并（k）荧蒽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䓛</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shd w:val="clear" w:color="auto" w:fill="auto"/>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二苯并（a,h）蒽</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茚并（1,2,3-cd）芘</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default" w:ascii="Times New Roman" w:hAnsi="Times New Roman" w:eastAsia="宋体" w:cs="Times New Roman"/>
                <w:sz w:val="24"/>
                <w:szCs w:val="24"/>
                <w:highlight w:val="none"/>
                <w:lang w:val="en-US" w:eastAsia="zh-CN"/>
              </w:rPr>
              <w:t>0.1mg/kg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4" w:type="dxa"/>
            <w:tcBorders>
              <w:tl2br w:val="nil"/>
              <w:tr2bl w:val="nil"/>
            </w:tcBorders>
            <w:noWrap w:val="0"/>
            <w:vAlign w:val="center"/>
          </w:tcPr>
          <w:p>
            <w:pPr>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萘</w:t>
            </w:r>
          </w:p>
        </w:tc>
        <w:tc>
          <w:tcPr>
            <w:tcW w:w="39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ind w:left="0" w:leftChars="0" w:right="0" w:rightChars="0"/>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Style w:val="37"/>
                <w:rFonts w:hint="default" w:ascii="Times New Roman" w:hAnsi="Times New Roman" w:eastAsia="宋体" w:cs="Times New Roman"/>
                <w:color w:val="auto"/>
                <w:sz w:val="24"/>
                <w:szCs w:val="24"/>
                <w:highlight w:val="none"/>
              </w:rPr>
              <w:t>土壤和沉积物</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半挥发性有机物的测定</w:t>
            </w:r>
            <w:r>
              <w:rPr>
                <w:rStyle w:val="44"/>
                <w:rFonts w:hint="default" w:ascii="Times New Roman" w:hAnsi="Times New Roman" w:eastAsia="宋体" w:cs="Times New Roman"/>
                <w:color w:val="auto"/>
                <w:sz w:val="24"/>
                <w:szCs w:val="24"/>
                <w:highlight w:val="none"/>
              </w:rPr>
              <w:t xml:space="preserve"> </w:t>
            </w:r>
            <w:r>
              <w:rPr>
                <w:rStyle w:val="37"/>
                <w:rFonts w:hint="default" w:ascii="Times New Roman" w:hAnsi="Times New Roman" w:eastAsia="宋体" w:cs="Times New Roman"/>
                <w:color w:val="auto"/>
                <w:sz w:val="24"/>
                <w:szCs w:val="24"/>
                <w:highlight w:val="none"/>
              </w:rPr>
              <w:t>气相色谱</w:t>
            </w:r>
            <w:r>
              <w:rPr>
                <w:rStyle w:val="44"/>
                <w:rFonts w:hint="default" w:ascii="Times New Roman" w:hAnsi="Times New Roman" w:eastAsia="宋体" w:cs="Times New Roman"/>
                <w:color w:val="auto"/>
                <w:sz w:val="24"/>
                <w:szCs w:val="24"/>
                <w:highlight w:val="none"/>
              </w:rPr>
              <w:t>-</w:t>
            </w:r>
            <w:r>
              <w:rPr>
                <w:rStyle w:val="37"/>
                <w:rFonts w:hint="default" w:ascii="Times New Roman" w:hAnsi="Times New Roman" w:eastAsia="宋体" w:cs="Times New Roman"/>
                <w:color w:val="auto"/>
                <w:sz w:val="24"/>
                <w:szCs w:val="24"/>
                <w:highlight w:val="none"/>
              </w:rPr>
              <w:t>质谱法</w:t>
            </w:r>
            <w:r>
              <w:rPr>
                <w:rStyle w:val="44"/>
                <w:rFonts w:hint="default" w:ascii="Times New Roman" w:hAnsi="Times New Roman" w:eastAsia="宋体" w:cs="Times New Roman"/>
                <w:color w:val="auto"/>
                <w:sz w:val="24"/>
                <w:szCs w:val="24"/>
                <w:highlight w:val="none"/>
              </w:rPr>
              <w:t xml:space="preserve"> HJ 834-2017</w:t>
            </w:r>
          </w:p>
        </w:tc>
        <w:tc>
          <w:tcPr>
            <w:tcW w:w="1680" w:type="dxa"/>
            <w:tcBorders>
              <w:tl2br w:val="nil"/>
              <w:tr2bl w:val="nil"/>
            </w:tcBorders>
            <w:noWrap w:val="0"/>
            <w:vAlign w:val="center"/>
          </w:tcPr>
          <w:p>
            <w:pPr>
              <w:jc w:val="center"/>
              <w:rPr>
                <w:rFonts w:hint="eastAsia" w:asciiTheme="minorEastAsia" w:hAnsiTheme="minorEastAsia" w:eastAsiaTheme="minorEastAsia" w:cstheme="minorEastAsia"/>
                <w:b w:val="0"/>
                <w:bCs w:val="0"/>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气相色谱质谱联用仪GCMS-QP2010SE</w:t>
            </w:r>
          </w:p>
        </w:tc>
        <w:tc>
          <w:tcPr>
            <w:tcW w:w="1749" w:type="dxa"/>
            <w:tcBorders>
              <w:tl2br w:val="nil"/>
              <w:tr2bl w:val="nil"/>
            </w:tcBorders>
            <w:noWrap w:val="0"/>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val="0"/>
                <w:bCs w:val="0"/>
                <w:i w:val="0"/>
                <w:color w:val="000000"/>
                <w:kern w:val="0"/>
                <w:sz w:val="24"/>
                <w:szCs w:val="24"/>
                <w:highlight w:val="none"/>
                <w:u w:val="none"/>
                <w:lang w:val="en-US" w:eastAsia="zh-CN" w:bidi="ar"/>
              </w:rPr>
            </w:pPr>
            <w:r>
              <w:rPr>
                <w:rFonts w:hint="eastAsia" w:ascii="Times New Roman" w:hAnsi="Times New Roman" w:eastAsia="宋体" w:cs="Times New Roman"/>
                <w:i w:val="0"/>
                <w:color w:val="000000"/>
                <w:sz w:val="24"/>
                <w:szCs w:val="24"/>
                <w:highlight w:val="none"/>
                <w:u w:val="none"/>
                <w:lang w:val="en-US" w:eastAsia="zh-CN"/>
              </w:rPr>
              <w:t>0.09</w:t>
            </w:r>
            <w:r>
              <w:rPr>
                <w:rFonts w:hint="default" w:ascii="Times New Roman" w:hAnsi="Times New Roman" w:eastAsia="宋体" w:cs="Times New Roman"/>
                <w:i w:val="0"/>
                <w:color w:val="000000"/>
                <w:sz w:val="24"/>
                <w:szCs w:val="24"/>
                <w:highlight w:val="none"/>
                <w:u w:val="none"/>
              </w:rPr>
              <w:t>mg/kg</w:t>
            </w:r>
          </w:p>
        </w:tc>
      </w:tr>
    </w:tbl>
    <w:p>
      <w:pPr>
        <w:pStyle w:val="29"/>
        <w:tabs>
          <w:tab w:val="clear" w:pos="0"/>
        </w:tabs>
        <w:adjustRightInd/>
        <w:snapToGrid/>
        <w:spacing w:before="0" w:after="0" w:line="360" w:lineRule="auto"/>
        <w:rPr>
          <w:rFonts w:hint="eastAsia" w:ascii="Times New Roman" w:hAnsi="Times New Roman" w:eastAsia="宋体" w:cs="Times New Roman"/>
          <w:b/>
          <w:bCs/>
          <w:color w:val="auto"/>
        </w:rPr>
      </w:pPr>
      <w:bookmarkStart w:id="25" w:name="_Toc1584"/>
      <w:r>
        <w:rPr>
          <w:rFonts w:hint="eastAsia" w:ascii="Times New Roman" w:hAnsi="Times New Roman" w:eastAsia="宋体" w:cs="Times New Roman"/>
          <w:b/>
          <w:bCs/>
          <w:color w:val="auto"/>
          <w:lang w:eastAsia="zh-CN"/>
        </w:rPr>
        <w:t>七</w:t>
      </w:r>
      <w:r>
        <w:rPr>
          <w:rFonts w:hint="eastAsia" w:ascii="Times New Roman" w:hAnsi="Times New Roman" w:eastAsia="宋体" w:cs="Times New Roman"/>
          <w:b/>
          <w:bCs/>
          <w:color w:val="auto"/>
        </w:rPr>
        <w:t>、质量控制和质量保证</w:t>
      </w:r>
      <w:bookmarkEnd w:id="25"/>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1、布设监测点位合理，保证各点位监测数据的科学性和可比性。采样人员遵守采样操作规程，填写采样记录，按规定保存运输样品。</w:t>
      </w:r>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2、所有监测仪器经过计量部门检定合格并在有效期内。</w:t>
      </w:r>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3、监测分析方法采用国家颁布的标准分析方法。</w:t>
      </w:r>
    </w:p>
    <w:p>
      <w:pPr>
        <w:spacing w:line="360" w:lineRule="auto"/>
        <w:ind w:firstLine="480" w:firstLineChars="200"/>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4、监测人员均持证上岗。</w:t>
      </w:r>
    </w:p>
    <w:p>
      <w:pPr>
        <w:spacing w:line="360" w:lineRule="auto"/>
        <w:ind w:firstLine="482" w:firstLineChars="200"/>
        <w:jc w:val="center"/>
        <w:rPr>
          <w:rFonts w:ascii="Times New Roman" w:hAnsi="Times New Roman" w:eastAsia="宋体" w:cs="Times New Roman"/>
          <w:b/>
          <w:sz w:val="24"/>
          <w:szCs w:val="24"/>
        </w:rPr>
      </w:pPr>
    </w:p>
    <w:p>
      <w:pPr>
        <w:pStyle w:val="29"/>
        <w:tabs>
          <w:tab w:val="clear" w:pos="0"/>
        </w:tabs>
        <w:adjustRightInd/>
        <w:snapToGrid/>
        <w:spacing w:before="0" w:after="0" w:line="360" w:lineRule="auto"/>
        <w:rPr>
          <w:rFonts w:hint="default" w:ascii="Times New Roman" w:hAnsi="Times New Roman" w:eastAsia="宋体" w:cs="Times New Roman"/>
          <w:b/>
          <w:bCs/>
          <w:color w:val="auto"/>
          <w:lang w:val="en-US" w:eastAsia="zh-CN"/>
        </w:rPr>
      </w:pPr>
      <w:bookmarkStart w:id="26" w:name="_Toc27523"/>
      <w:r>
        <w:rPr>
          <w:rFonts w:hint="eastAsia" w:ascii="Times New Roman" w:hAnsi="Times New Roman" w:eastAsia="宋体" w:cs="Times New Roman"/>
          <w:b/>
          <w:bCs/>
          <w:color w:val="auto"/>
          <w:lang w:eastAsia="zh-CN"/>
        </w:rPr>
        <w:t>八、</w:t>
      </w:r>
      <w:r>
        <w:rPr>
          <w:rFonts w:hint="eastAsia" w:ascii="Times New Roman" w:hAnsi="Times New Roman" w:eastAsia="宋体" w:cs="Times New Roman"/>
          <w:b/>
          <w:bCs/>
          <w:color w:val="auto"/>
          <w:lang w:val="en-US" w:eastAsia="zh-CN"/>
        </w:rPr>
        <w:t>监测点位图</w:t>
      </w:r>
      <w:bookmarkEnd w:id="26"/>
    </w:p>
    <w:p>
      <w:pPr>
        <w:spacing w:line="360" w:lineRule="auto"/>
        <w:jc w:val="center"/>
        <w:rPr>
          <w:rFonts w:hint="eastAsia" w:ascii="Times New Roman" w:hAnsi="Times New Roman" w:eastAsia="宋体" w:cs="Times New Roman"/>
          <w:lang w:eastAsia="zh-CN"/>
        </w:rPr>
      </w:pPr>
      <w:r>
        <w:rPr>
          <w:rFonts w:ascii="Times New Roman" w:hAnsi="Times New Roman" w:eastAsia="宋体" w:cs="Times New Roman"/>
          <w:sz w:val="21"/>
        </w:rPr>
        <mc:AlternateContent>
          <mc:Choice Requires="wps">
            <w:drawing>
              <wp:anchor distT="0" distB="0" distL="114300" distR="114300" simplePos="0" relativeHeight="251685888" behindDoc="0" locked="0" layoutInCell="1" allowOverlap="1">
                <wp:simplePos x="0" y="0"/>
                <wp:positionH relativeFrom="column">
                  <wp:posOffset>3003550</wp:posOffset>
                </wp:positionH>
                <wp:positionV relativeFrom="paragraph">
                  <wp:posOffset>3492500</wp:posOffset>
                </wp:positionV>
                <wp:extent cx="415925" cy="311785"/>
                <wp:effectExtent l="0" t="0" r="0" b="0"/>
                <wp:wrapNone/>
                <wp:docPr id="25" name="矩形 43"/>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5</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3" o:spid="_x0000_s1026" o:spt="1" style="position:absolute;left:0pt;margin-left:236.5pt;margin-top:275pt;height:24.55pt;width:32.75pt;z-index:251685888;mso-width-relative:page;mso-height-relative:page;" filled="f" stroked="f" coordsize="21600,21600" o:gfxdata="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dL3RU3AAAAAsBAAAP&#10;AAAAAAAAAAEAIAAAACIAAABkcnMvZG93bnJldi54bWxQSwECFAAUAAAACACHTuJARE948qIBAABC&#10;AwAADgAAAAAAAAABACAAAAArAQAAZHJzL2Uyb0RvYy54bWxQSwUGAAAAAAYABgBZAQAAPwUAAA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5</w:t>
                      </w:r>
                      <w:r>
                        <w:rPr>
                          <w:rFonts w:hint="default" w:ascii="Times New Roman" w:hAnsi="Times New Roman" w:cs="Times New Roman"/>
                          <w:color w:val="FF0000"/>
                          <w:lang w:val="en-US" w:eastAsia="zh-CN"/>
                        </w:rPr>
                        <w:t>#</w:t>
                      </w: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84864" behindDoc="0" locked="0" layoutInCell="1" allowOverlap="1">
                <wp:simplePos x="0" y="0"/>
                <wp:positionH relativeFrom="column">
                  <wp:posOffset>2931160</wp:posOffset>
                </wp:positionH>
                <wp:positionV relativeFrom="paragraph">
                  <wp:posOffset>3557270</wp:posOffset>
                </wp:positionV>
                <wp:extent cx="129540" cy="112395"/>
                <wp:effectExtent l="5080" t="5080" r="17780" b="15875"/>
                <wp:wrapNone/>
                <wp:docPr id="24" name="矩形 42"/>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42" o:spid="_x0000_s1026" o:spt="1" style="position:absolute;left:0pt;margin-left:230.8pt;margin-top:280.1pt;height:8.85pt;width:10.2pt;z-index:251684864;mso-width-relative:page;mso-height-relative:page;" fillcolor="#FF0000" filled="t" stroked="t" coordsize="21600,21600" o:gfxdata="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6SA143AAAAAsBAAAPAAAAAAAAAAEAIAAAACIAAABkcnMv&#10;ZG93bnJldi54bWxQSwECFAAUAAAACACHTuJA3I5rsv8BAAAqBAAADgAAAAAAAAABACAAAAArAQAA&#10;ZHJzL2Uyb0RvYy54bWxQSwUGAAAAAAYABgBZAQAAnAUAAAAA&#10;">
                <v:fill on="t" focussize="0,0"/>
                <v:stroke color="#FF0000" joinstyle="miter"/>
                <v:imagedata o:title=""/>
                <o:lock v:ext="edit" aspectratio="f"/>
                <v:textbox>
                  <w:txbxContent>
                    <w:p>
                      <w:pPr>
                        <w:jc w:val="center"/>
                      </w:pP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75648" behindDoc="0" locked="0" layoutInCell="1" allowOverlap="1">
                <wp:simplePos x="0" y="0"/>
                <wp:positionH relativeFrom="column">
                  <wp:posOffset>1251585</wp:posOffset>
                </wp:positionH>
                <wp:positionV relativeFrom="paragraph">
                  <wp:posOffset>3296920</wp:posOffset>
                </wp:positionV>
                <wp:extent cx="129540" cy="112395"/>
                <wp:effectExtent l="5080" t="5080" r="17780" b="15875"/>
                <wp:wrapNone/>
                <wp:docPr id="22" name="矩形 41"/>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41" o:spid="_x0000_s1026" o:spt="1" style="position:absolute;left:0pt;margin-left:98.55pt;margin-top:259.6pt;height:8.85pt;width:10.2pt;z-index:251675648;mso-width-relative:page;mso-height-relative:page;" fillcolor="#FF0000" filled="t" stroked="t" coordsize="21600,21600" o:gfxdata="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P/TR9sAAAALAQAADwAAAAAAAAABACAAAAAiAAAAZHJzL2Rv&#10;d25yZXYueG1sUEsBAhQAFAAAAAgAh07iQMIG6WH+AQAAKgQAAA4AAAAAAAAAAQAgAAAAKgEAAGRy&#10;cy9lMm9Eb2MueG1sUEsFBgAAAAAGAAYAWQEAAJoFAAAAAA==&#10;">
                <v:fill on="t" focussize="0,0"/>
                <v:stroke color="#FF0000" joinstyle="miter"/>
                <v:imagedata o:title=""/>
                <o:lock v:ext="edit" aspectratio="f"/>
                <v:textbox>
                  <w:txbxContent>
                    <w:p>
                      <w:pPr>
                        <w:jc w:val="center"/>
                      </w:pP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78720" behindDoc="0" locked="0" layoutInCell="1" allowOverlap="1">
                <wp:simplePos x="0" y="0"/>
                <wp:positionH relativeFrom="column">
                  <wp:posOffset>984885</wp:posOffset>
                </wp:positionH>
                <wp:positionV relativeFrom="paragraph">
                  <wp:posOffset>3234690</wp:posOffset>
                </wp:positionV>
                <wp:extent cx="415925" cy="311785"/>
                <wp:effectExtent l="0" t="0" r="0" b="0"/>
                <wp:wrapNone/>
                <wp:docPr id="28" name="矩形 46"/>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3</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6" o:spid="_x0000_s1026" o:spt="1" style="position:absolute;left:0pt;margin-left:77.55pt;margin-top:254.7pt;height:24.55pt;width:32.75pt;z-index:251678720;mso-width-relative:page;mso-height-relative:page;" filled="f" stroked="f" coordsize="21600,21600" o:gfxdata="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4Tul29sAAAALAQAA&#10;DwAAAAAAAAABACAAAAAiAAAAZHJzL2Rvd25yZXYueG1sUEsBAhQAFAAAAAgAh07iQA0jdfykAQAA&#10;QgMAAA4AAAAAAAAAAQAgAAAAKgEAAGRycy9lMm9Eb2MueG1sUEsFBgAAAAAGAAYAWQEAAEAFAAAA&#10;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3</w:t>
                      </w:r>
                      <w:r>
                        <w:rPr>
                          <w:rFonts w:hint="default" w:ascii="Times New Roman" w:hAnsi="Times New Roman" w:cs="Times New Roman"/>
                          <w:color w:val="FF0000"/>
                          <w:lang w:val="en-US" w:eastAsia="zh-CN"/>
                        </w:rPr>
                        <w:t>#</w:t>
                      </w:r>
                    </w:p>
                  </w:txbxContent>
                </v:textbox>
              </v:rect>
            </w:pict>
          </mc:Fallback>
        </mc:AlternateContent>
      </w:r>
      <w:r>
        <w:rPr>
          <w:rFonts w:ascii="宋体" w:hAnsi="宋体" w:eastAsia="宋体" w:cs="宋体"/>
          <w:sz w:val="24"/>
          <w:szCs w:val="24"/>
        </w:rPr>
        <w:drawing>
          <wp:anchor distT="0" distB="0" distL="114935" distR="114935" simplePos="0" relativeHeight="251669504" behindDoc="0" locked="0" layoutInCell="1" allowOverlap="1">
            <wp:simplePos x="0" y="0"/>
            <wp:positionH relativeFrom="column">
              <wp:posOffset>4585335</wp:posOffset>
            </wp:positionH>
            <wp:positionV relativeFrom="paragraph">
              <wp:posOffset>53340</wp:posOffset>
            </wp:positionV>
            <wp:extent cx="721995" cy="671830"/>
            <wp:effectExtent l="0" t="0" r="1905" b="13970"/>
            <wp:wrapNone/>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11"/>
                    <a:stretch>
                      <a:fillRect/>
                    </a:stretch>
                  </pic:blipFill>
                  <pic:spPr>
                    <a:xfrm>
                      <a:off x="0" y="0"/>
                      <a:ext cx="721995" cy="671830"/>
                    </a:xfrm>
                    <a:prstGeom prst="rect">
                      <a:avLst/>
                    </a:prstGeom>
                    <a:noFill/>
                    <a:ln w="9525">
                      <a:noFill/>
                    </a:ln>
                  </pic:spPr>
                </pic:pic>
              </a:graphicData>
            </a:graphic>
          </wp:anchor>
        </w:drawing>
      </w:r>
      <w:r>
        <w:rPr>
          <w:rFonts w:ascii="Times New Roman" w:hAnsi="Times New Roman" w:eastAsia="宋体" w:cs="Times New Roman"/>
          <w:sz w:val="21"/>
        </w:rPr>
        <mc:AlternateContent>
          <mc:Choice Requires="wps">
            <w:drawing>
              <wp:anchor distT="0" distB="0" distL="114300" distR="114300" simplePos="0" relativeHeight="251677696" behindDoc="0" locked="0" layoutInCell="1" allowOverlap="1">
                <wp:simplePos x="0" y="0"/>
                <wp:positionH relativeFrom="column">
                  <wp:posOffset>777875</wp:posOffset>
                </wp:positionH>
                <wp:positionV relativeFrom="paragraph">
                  <wp:posOffset>4509135</wp:posOffset>
                </wp:positionV>
                <wp:extent cx="415925" cy="311785"/>
                <wp:effectExtent l="0" t="0" r="0" b="0"/>
                <wp:wrapNone/>
                <wp:docPr id="27" name="矩形 45"/>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2</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5" o:spid="_x0000_s1026" o:spt="1" style="position:absolute;left:0pt;margin-left:61.25pt;margin-top:355.05pt;height:24.55pt;width:32.75pt;z-index:251677696;mso-width-relative:page;mso-height-relative:page;" filled="f" stroked="f" coordsize="21600,21600" o:gfxdata="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z3zRs2gAAAAsBAAAP&#10;AAAAAAAAAAEAIAAAACIAAABkcnMvZG93bnJldi54bWxQSwECFAAUAAAACACHTuJAWPEGVqQBAABC&#10;AwAADgAAAAAAAAABACAAAAApAQAAZHJzL2Uyb0RvYy54bWxQSwUGAAAAAAYABgBZAQAAPwUAAA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2</w:t>
                      </w:r>
                      <w:r>
                        <w:rPr>
                          <w:rFonts w:hint="default" w:ascii="Times New Roman" w:hAnsi="Times New Roman" w:cs="Times New Roman"/>
                          <w:color w:val="FF0000"/>
                          <w:lang w:val="en-US" w:eastAsia="zh-CN"/>
                        </w:rPr>
                        <w:t>#</w:t>
                      </w: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74624" behindDoc="0" locked="0" layoutInCell="1" allowOverlap="1">
                <wp:simplePos x="0" y="0"/>
                <wp:positionH relativeFrom="column">
                  <wp:posOffset>1102360</wp:posOffset>
                </wp:positionH>
                <wp:positionV relativeFrom="paragraph">
                  <wp:posOffset>4535170</wp:posOffset>
                </wp:positionV>
                <wp:extent cx="129540" cy="112395"/>
                <wp:effectExtent l="5080" t="5080" r="17780" b="15875"/>
                <wp:wrapNone/>
                <wp:docPr id="21" name="矩形 39"/>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39" o:spid="_x0000_s1026" o:spt="1" style="position:absolute;left:0pt;margin-left:86.8pt;margin-top:357.1pt;height:8.85pt;width:10.2pt;z-index:251674624;mso-width-relative:page;mso-height-relative:page;" fillcolor="#FF0000" filled="t" stroked="t" coordsize="21600,21600" o:gfxdata="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DokITbAAAACwEAAA8AAAAAAAAAAQAgAAAAIgAAAGRycy9kb3ducmV2&#10;LnhtbFBLAQIUABQAAAAIAIdO4kB/umps+QEAAB8EAAAOAAAAAAAAAAEAIAAAACoBAABkcnMvZTJv&#10;RG9jLnhtbFBLBQYAAAAABgAGAFkBAACVBQAAAAA=&#10;">
                <v:fill on="t" focussize="0,0"/>
                <v:stroke color="#FF0000" joinstyle="miter"/>
                <v:imagedata o:title=""/>
                <o:lock v:ext="edit" aspectratio="f"/>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76672" behindDoc="0" locked="0" layoutInCell="1" allowOverlap="1">
                <wp:simplePos x="0" y="0"/>
                <wp:positionH relativeFrom="column">
                  <wp:posOffset>1278890</wp:posOffset>
                </wp:positionH>
                <wp:positionV relativeFrom="paragraph">
                  <wp:posOffset>4931410</wp:posOffset>
                </wp:positionV>
                <wp:extent cx="415925" cy="311785"/>
                <wp:effectExtent l="0" t="0" r="0" b="0"/>
                <wp:wrapNone/>
                <wp:docPr id="26" name="矩形 44"/>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1</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4" o:spid="_x0000_s1026" o:spt="1" style="position:absolute;left:0pt;margin-left:100.7pt;margin-top:388.3pt;height:24.55pt;width:32.75pt;z-index:251676672;mso-width-relative:page;mso-height-relative:page;" filled="f" stroked="f" coordsize="21600,21600" o:gfxdata="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OJTg9wAAAALAQAA&#10;DwAAAAAAAAABACAAAAAiAAAAZHJzL2Rvd25yZXYueG1sUEsBAhQAFAAAAAgAh07iQN4Ops2jAQAA&#10;QgMAAA4AAAAAAAAAAQAgAAAAKwEAAGRycy9lMm9Eb2MueG1sUEsFBgAAAAAGAAYAWQEAAEAFAAAA&#10;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1</w:t>
                      </w:r>
                      <w:r>
                        <w:rPr>
                          <w:rFonts w:hint="default" w:ascii="Times New Roman" w:hAnsi="Times New Roman" w:cs="Times New Roman"/>
                          <w:color w:val="FF0000"/>
                          <w:lang w:val="en-US" w:eastAsia="zh-CN"/>
                        </w:rPr>
                        <w:t>#</w:t>
                      </w: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72576" behindDoc="0" locked="0" layoutInCell="1" allowOverlap="1">
                <wp:simplePos x="0" y="0"/>
                <wp:positionH relativeFrom="column">
                  <wp:posOffset>1553210</wp:posOffset>
                </wp:positionH>
                <wp:positionV relativeFrom="paragraph">
                  <wp:posOffset>4935220</wp:posOffset>
                </wp:positionV>
                <wp:extent cx="129540" cy="112395"/>
                <wp:effectExtent l="5080" t="5080" r="17780" b="15875"/>
                <wp:wrapNone/>
                <wp:docPr id="19" name="矩形 37"/>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37" o:spid="_x0000_s1026" o:spt="1" style="position:absolute;left:0pt;margin-left:122.3pt;margin-top:388.6pt;height:8.85pt;width:10.2pt;z-index:251672576;mso-width-relative:page;mso-height-relative:page;" fillcolor="#FF0000" filled="t" stroked="t" coordsize="21600,21600" o:gfxdata="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ALK1r3AAAAAsBAAAPAAAAAAAAAAEAIAAAACIAAABkcnMvZG93bnJl&#10;di54bWxQSwECFAAUAAAACACHTuJAnVVKcPkBAAAfBAAADgAAAAAAAAABACAAAAArAQAAZHJzL2Uy&#10;b0RvYy54bWxQSwUGAAAAAAYABgBZAQAAlgUAAAAA&#10;">
                <v:fill on="t" focussize="0,0"/>
                <v:stroke color="#FF0000" joinstyle="miter"/>
                <v:imagedata o:title=""/>
                <o:lock v:ext="edit" aspectratio="f"/>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79744" behindDoc="0" locked="0" layoutInCell="1" allowOverlap="1">
                <wp:simplePos x="0" y="0"/>
                <wp:positionH relativeFrom="column">
                  <wp:posOffset>777240</wp:posOffset>
                </wp:positionH>
                <wp:positionV relativeFrom="paragraph">
                  <wp:posOffset>723265</wp:posOffset>
                </wp:positionV>
                <wp:extent cx="415925" cy="311785"/>
                <wp:effectExtent l="0" t="0" r="0" b="0"/>
                <wp:wrapNone/>
                <wp:docPr id="29" name="矩形 47"/>
                <wp:cNvGraphicFramePr/>
                <a:graphic xmlns:a="http://schemas.openxmlformats.org/drawingml/2006/main">
                  <a:graphicData uri="http://schemas.microsoft.com/office/word/2010/wordprocessingShape">
                    <wps:wsp>
                      <wps:cNvSpPr/>
                      <wps:spPr>
                        <a:xfrm>
                          <a:off x="0" y="0"/>
                          <a:ext cx="415925" cy="311785"/>
                        </a:xfrm>
                        <a:prstGeom prst="rect">
                          <a:avLst/>
                        </a:prstGeom>
                        <a:noFill/>
                        <a:ln>
                          <a:noFill/>
                        </a:ln>
                      </wps:spPr>
                      <wps:txb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4</w:t>
                            </w:r>
                            <w:r>
                              <w:rPr>
                                <w:rFonts w:hint="default" w:ascii="Times New Roman" w:hAnsi="Times New Roman" w:cs="Times New Roman"/>
                                <w:color w:val="FF0000"/>
                                <w:lang w:val="en-US" w:eastAsia="zh-CN"/>
                              </w:rPr>
                              <w:t>#</w:t>
                            </w:r>
                          </w:p>
                        </w:txbxContent>
                      </wps:txbx>
                      <wps:bodyPr upright="1"/>
                    </wps:wsp>
                  </a:graphicData>
                </a:graphic>
              </wp:anchor>
            </w:drawing>
          </mc:Choice>
          <mc:Fallback>
            <w:pict>
              <v:rect id="矩形 47" o:spid="_x0000_s1026" o:spt="1" style="position:absolute;left:0pt;margin-left:61.2pt;margin-top:56.95pt;height:24.55pt;width:32.75pt;z-index:251679744;mso-width-relative:page;mso-height-relative:page;" filled="f" stroked="f" coordsize="21600,21600" o:gfxdata="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8vJK3aAAAACwEAAA8A&#10;AAAAAAAAAQAgAAAAIgAAAGRycy9kb3ducmV2LnhtbFBLAQIUABQAAAAIAIdO4kCL3NVnowEAAEID&#10;AAAOAAAAAAAAAAEAIAAAACkBAABkcnMvZTJvRG9jLnhtbFBLBQYAAAAABgAGAFkBAAA+BQAAAAA=&#10;">
                <v:fill on="f" focussize="0,0"/>
                <v:stroke on="f"/>
                <v:imagedata o:title=""/>
                <o:lock v:ext="edit" aspectratio="f"/>
                <v:textbox>
                  <w:txbxContent>
                    <w:p>
                      <w:pP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FF0000"/>
                          <w:lang w:val="en-US" w:eastAsia="zh-CN"/>
                        </w:rPr>
                        <w:t>4</w:t>
                      </w:r>
                      <w:r>
                        <w:rPr>
                          <w:rFonts w:hint="default" w:ascii="Times New Roman" w:hAnsi="Times New Roman" w:cs="Times New Roman"/>
                          <w:color w:val="FF0000"/>
                          <w:lang w:val="en-US" w:eastAsia="zh-CN"/>
                        </w:rPr>
                        <w:t>#</w:t>
                      </w:r>
                    </w:p>
                  </w:txbxContent>
                </v:textbox>
              </v:rect>
            </w:pict>
          </mc:Fallback>
        </mc:AlternateContent>
      </w:r>
      <w:r>
        <w:rPr>
          <w:rFonts w:ascii="Times New Roman" w:hAnsi="Times New Roman" w:eastAsia="宋体" w:cs="Times New Roman"/>
          <w:sz w:val="21"/>
        </w:rPr>
        <mc:AlternateContent>
          <mc:Choice Requires="wps">
            <w:drawing>
              <wp:anchor distT="0" distB="0" distL="114300" distR="114300" simplePos="0" relativeHeight="251673600" behindDoc="0" locked="0" layoutInCell="1" allowOverlap="1">
                <wp:simplePos x="0" y="0"/>
                <wp:positionH relativeFrom="column">
                  <wp:posOffset>915035</wp:posOffset>
                </wp:positionH>
                <wp:positionV relativeFrom="paragraph">
                  <wp:posOffset>979805</wp:posOffset>
                </wp:positionV>
                <wp:extent cx="129540" cy="112395"/>
                <wp:effectExtent l="5080" t="5080" r="17780" b="15875"/>
                <wp:wrapNone/>
                <wp:docPr id="20" name="矩形 38"/>
                <wp:cNvGraphicFramePr/>
                <a:graphic xmlns:a="http://schemas.openxmlformats.org/drawingml/2006/main">
                  <a:graphicData uri="http://schemas.microsoft.com/office/word/2010/wordprocessingShape">
                    <wps:wsp>
                      <wps:cNvSpPr/>
                      <wps:spPr>
                        <a:xfrm>
                          <a:off x="0" y="0"/>
                          <a:ext cx="129540" cy="11239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38" o:spid="_x0000_s1026" o:spt="1" style="position:absolute;left:0pt;margin-left:72.05pt;margin-top:77.15pt;height:8.85pt;width:10.2pt;z-index:251673600;mso-width-relative:page;mso-height-relative:page;" fillcolor="#FF0000" filled="t" stroked="t" coordsize="21600,21600" o:gfxdata="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EFZDNoAAAALAQAADwAAAAAAAAABACAAAAAiAAAAZHJzL2Rv&#10;d25yZXYueG1sUEsBAhQAFAAAAAgAh07iQDj6uK3/AQAAKgQAAA4AAAAAAAAAAQAgAAAAKQEAAGRy&#10;cy9lMm9Eb2MueG1sUEsFBgAAAAAGAAYAWQEAAJoFAAAAAA==&#10;">
                <v:fill on="t" focussize="0,0"/>
                <v:stroke color="#FF0000" joinstyle="miter"/>
                <v:imagedata o:title=""/>
                <o:lock v:ext="edit" aspectratio="f"/>
                <v:textbox>
                  <w:txbxContent>
                    <w:p>
                      <w:pPr>
                        <w:jc w:val="center"/>
                      </w:pPr>
                    </w:p>
                  </w:txbxContent>
                </v:textbox>
              </v:rect>
            </w:pict>
          </mc:Fallback>
        </mc:AlternateContent>
      </w:r>
      <w:r>
        <w:drawing>
          <wp:inline distT="0" distB="0" distL="114300" distR="114300">
            <wp:extent cx="5269865" cy="5356860"/>
            <wp:effectExtent l="0" t="0" r="6985" b="152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269865" cy="5356860"/>
                    </a:xfrm>
                    <a:prstGeom prst="rect">
                      <a:avLst/>
                    </a:prstGeom>
                    <a:noFill/>
                    <a:ln>
                      <a:noFill/>
                    </a:ln>
                  </pic:spPr>
                </pic:pic>
              </a:graphicData>
            </a:graphic>
          </wp:inline>
        </w:drawing>
      </w:r>
    </w:p>
    <w:p>
      <w:pPr>
        <w:spacing w:line="360" w:lineRule="auto"/>
        <w:ind w:firstLine="482" w:firstLineChars="200"/>
        <w:jc w:val="center"/>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图</w:t>
      </w:r>
      <w:r>
        <w:rPr>
          <w:rFonts w:hint="eastAsia" w:ascii="Times New Roman" w:hAnsi="Times New Roman" w:eastAsia="宋体" w:cs="Times New Roman"/>
          <w:b/>
          <w:sz w:val="24"/>
          <w:szCs w:val="24"/>
          <w:lang w:val="en-US" w:eastAsia="zh-CN"/>
        </w:rPr>
        <w:t>8</w:t>
      </w:r>
      <w:r>
        <w:rPr>
          <w:rFonts w:hint="eastAsia" w:ascii="Times New Roman" w:hAnsi="Times New Roman" w:eastAsia="宋体" w:cs="Times New Roman"/>
          <w:b/>
          <w:sz w:val="24"/>
          <w:szCs w:val="24"/>
        </w:rPr>
        <w:t>-1</w:t>
      </w:r>
      <w:r>
        <w:rPr>
          <w:rFonts w:hint="eastAsia" w:ascii="Times New Roman" w:hAnsi="Times New Roman" w:eastAsia="宋体" w:cs="Times New Roman"/>
          <w:b/>
          <w:sz w:val="24"/>
          <w:szCs w:val="24"/>
          <w:lang w:val="en-US" w:eastAsia="zh-CN"/>
        </w:rPr>
        <w:t>土壤</w:t>
      </w:r>
      <w:r>
        <w:rPr>
          <w:rFonts w:hint="eastAsia" w:ascii="Times New Roman" w:hAnsi="Times New Roman" w:eastAsia="宋体" w:cs="Times New Roman"/>
          <w:b/>
          <w:sz w:val="24"/>
          <w:szCs w:val="24"/>
        </w:rPr>
        <w:t>监测点位分布图</w:t>
      </w: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jc w:val="center"/>
        <w:rPr>
          <w:rFonts w:hint="eastAsia" w:ascii="Times New Roman" w:hAnsi="Times New Roman" w:eastAsia="宋体" w:cs="Times New Roman"/>
          <w:b/>
          <w:sz w:val="24"/>
          <w:szCs w:val="24"/>
        </w:rPr>
      </w:pPr>
      <w:r>
        <w:drawing>
          <wp:anchor distT="0" distB="0" distL="114300" distR="114300" simplePos="0" relativeHeight="251681792" behindDoc="0" locked="0" layoutInCell="1" allowOverlap="1">
            <wp:simplePos x="0" y="0"/>
            <wp:positionH relativeFrom="column">
              <wp:posOffset>4639945</wp:posOffset>
            </wp:positionH>
            <wp:positionV relativeFrom="paragraph">
              <wp:posOffset>-1222375</wp:posOffset>
            </wp:positionV>
            <wp:extent cx="302895" cy="168910"/>
            <wp:effectExtent l="0" t="0" r="1905" b="2540"/>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2"/>
                    <a:stretch>
                      <a:fillRect/>
                    </a:stretch>
                  </pic:blipFill>
                  <pic:spPr>
                    <a:xfrm>
                      <a:off x="0" y="0"/>
                      <a:ext cx="302895" cy="168910"/>
                    </a:xfrm>
                    <a:prstGeom prst="rect">
                      <a:avLst/>
                    </a:prstGeom>
                    <a:noFill/>
                    <a:ln>
                      <a:noFill/>
                    </a:ln>
                  </pic:spPr>
                </pic:pic>
              </a:graphicData>
            </a:graphic>
          </wp:anchor>
        </w:drawing>
      </w:r>
      <w:r>
        <w:rPr>
          <w:sz w:val="21"/>
        </w:rPr>
        <mc:AlternateContent>
          <mc:Choice Requires="wps">
            <w:drawing>
              <wp:anchor distT="0" distB="0" distL="114300" distR="114300" simplePos="0" relativeHeight="251683840" behindDoc="0" locked="0" layoutInCell="1" allowOverlap="1">
                <wp:simplePos x="0" y="0"/>
                <wp:positionH relativeFrom="column">
                  <wp:posOffset>4275455</wp:posOffset>
                </wp:positionH>
                <wp:positionV relativeFrom="paragraph">
                  <wp:posOffset>-1931670</wp:posOffset>
                </wp:positionV>
                <wp:extent cx="434975" cy="274320"/>
                <wp:effectExtent l="0" t="0" r="0" b="0"/>
                <wp:wrapNone/>
                <wp:docPr id="35" name="文本框 35"/>
                <wp:cNvGraphicFramePr/>
                <a:graphic xmlns:a="http://schemas.openxmlformats.org/drawingml/2006/main">
                  <a:graphicData uri="http://schemas.microsoft.com/office/word/2010/wordprocessingShape">
                    <wps:wsp>
                      <wps:cNvSpPr txBox="1"/>
                      <wps:spPr>
                        <a:xfrm>
                          <a:off x="5327650" y="2839720"/>
                          <a:ext cx="43497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lang w:val="en-US" w:eastAsia="zh-CN"/>
                              </w:rPr>
                            </w:pPr>
                            <w:r>
                              <w:rPr>
                                <w:rFonts w:hint="eastAsia"/>
                                <w:color w:val="FF000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65pt;margin-top:-152.1pt;height:21.6pt;width:34.25pt;z-index:251683840;mso-width-relative:page;mso-height-relative:page;" filled="f" stroked="f" coordsize="21600,21600" o:gfxdata="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SD6b73QAAAA0BAAAPAAAAAAAA&#10;AAEAIAAAACIAAABkcnMvZG93bnJldi54bWxQSwECFAAUAAAACACHTuJAYDcxe0YCAABzBAAADgAA&#10;AAAAAAABACAAAAAsAQAAZHJzL2Uyb0RvYy54bWxQSwUGAAAAAAYABgBZAQAA5AUAAAAA&#10;">
                <v:fill on="f" focussize="0,0"/>
                <v:stroke on="f" weight="0.5pt"/>
                <v:imagedata o:title=""/>
                <o:lock v:ext="edit" aspectratio="f"/>
                <v:textbox>
                  <w:txbxContent>
                    <w:p>
                      <w:pPr>
                        <w:rPr>
                          <w:rFonts w:hint="default" w:eastAsiaTheme="minorEastAsia"/>
                          <w:color w:val="FF0000"/>
                          <w:lang w:val="en-US" w:eastAsia="zh-CN"/>
                        </w:rPr>
                      </w:pPr>
                      <w:r>
                        <w:rPr>
                          <w:rFonts w:hint="eastAsia"/>
                          <w:color w:val="FF0000"/>
                          <w:lang w:val="en-US" w:eastAsia="zh-CN"/>
                        </w:rPr>
                        <w:t>2#</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4570730</wp:posOffset>
                </wp:positionH>
                <wp:positionV relativeFrom="paragraph">
                  <wp:posOffset>-1805305</wp:posOffset>
                </wp:positionV>
                <wp:extent cx="118745" cy="118110"/>
                <wp:effectExtent l="12700" t="12700" r="20955" b="21590"/>
                <wp:wrapNone/>
                <wp:docPr id="34" name="五角星 34"/>
                <wp:cNvGraphicFramePr/>
                <a:graphic xmlns:a="http://schemas.openxmlformats.org/drawingml/2006/main">
                  <a:graphicData uri="http://schemas.microsoft.com/office/word/2010/wordprocessingShape">
                    <wps:wsp>
                      <wps:cNvSpPr/>
                      <wps:spPr>
                        <a:xfrm>
                          <a:off x="3211830" y="3312160"/>
                          <a:ext cx="118745" cy="11811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9.9pt;margin-top:-142.15pt;height:9.3pt;width:9.35pt;z-index:251682816;v-text-anchor:middle;mso-width-relative:page;mso-height-relative:page;" fillcolor="#FF0000" filled="t" stroked="t" coordsize="118745,118110" o:gfxdata="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zZz3PfAAAADQEAAA8AAAAAAAAAAQAgAAAAIgAAAGRy&#10;cy9kb3ducmV2LnhtbFBLAQIUABQAAAAIAIdO4kAV1AZwcAIAAO4EAAAOAAAAAAAAAAEAIAAAAC4B&#10;AABkcnMvZTJvRG9jLnhtbFBLBQYAAAAABgAGAFkBAAAQBgAAAAA=&#10;" path="m0,45113l45356,45114,59372,0,73388,45114,118744,45113,82050,72995,96066,118109,59372,90227,22678,118109,36694,72995xe">
                <v:path o:connectlocs="59372,0;0,45113;22678,118109;96066,118109;118744,45113" o:connectangles="247,164,82,82,0"/>
                <v:fill on="t" focussize="0,0"/>
                <v:stroke weight="2pt" color="#FF0000 [3204]" joinstyle="round"/>
                <v:imagedata o:title=""/>
                <o:lock v:ext="edit" aspectratio="f"/>
              </v:shape>
            </w:pict>
          </mc:Fallback>
        </mc:AlternateContent>
      </w:r>
      <w:r>
        <w:rPr>
          <w:rFonts w:ascii="宋体" w:hAnsi="宋体" w:eastAsia="宋体" w:cs="宋体"/>
          <w:sz w:val="24"/>
          <w:szCs w:val="24"/>
        </w:rPr>
        <w:drawing>
          <wp:anchor distT="0" distB="0" distL="114935" distR="114935" simplePos="0" relativeHeight="251680768" behindDoc="0" locked="0" layoutInCell="1" allowOverlap="1">
            <wp:simplePos x="0" y="0"/>
            <wp:positionH relativeFrom="column">
              <wp:posOffset>5183505</wp:posOffset>
            </wp:positionH>
            <wp:positionV relativeFrom="paragraph">
              <wp:posOffset>-3846195</wp:posOffset>
            </wp:positionV>
            <wp:extent cx="721995" cy="671830"/>
            <wp:effectExtent l="0" t="0" r="1905" b="13970"/>
            <wp:wrapNone/>
            <wp:docPr id="3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IMG_256"/>
                    <pic:cNvPicPr>
                      <a:picLocks noChangeAspect="1"/>
                    </pic:cNvPicPr>
                  </pic:nvPicPr>
                  <pic:blipFill>
                    <a:blip r:embed="rId11"/>
                    <a:stretch>
                      <a:fillRect/>
                    </a:stretch>
                  </pic:blipFill>
                  <pic:spPr>
                    <a:xfrm>
                      <a:off x="0" y="0"/>
                      <a:ext cx="721995" cy="671830"/>
                    </a:xfrm>
                    <a:prstGeom prst="rect">
                      <a:avLst/>
                    </a:prstGeom>
                    <a:noFill/>
                    <a:ln w="9525">
                      <a:noFill/>
                    </a:ln>
                  </pic:spPr>
                </pic:pic>
              </a:graphicData>
            </a:graphic>
          </wp:anchor>
        </w:drawing>
      </w:r>
      <w:r>
        <w:drawing>
          <wp:anchor distT="0" distB="0" distL="114300" distR="114300" simplePos="0" relativeHeight="251670528" behindDoc="1" locked="0" layoutInCell="1" allowOverlap="1">
            <wp:simplePos x="0" y="0"/>
            <wp:positionH relativeFrom="column">
              <wp:posOffset>-648335</wp:posOffset>
            </wp:positionH>
            <wp:positionV relativeFrom="paragraph">
              <wp:posOffset>102870</wp:posOffset>
            </wp:positionV>
            <wp:extent cx="6579235" cy="3836670"/>
            <wp:effectExtent l="0" t="0" r="12065" b="11430"/>
            <wp:wrapTight wrapText="bothSides">
              <wp:wrapPolygon>
                <wp:start x="0" y="0"/>
                <wp:lineTo x="0" y="21450"/>
                <wp:lineTo x="21515" y="21450"/>
                <wp:lineTo x="21515"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6579235" cy="3836670"/>
                    </a:xfrm>
                    <a:prstGeom prst="rect">
                      <a:avLst/>
                    </a:prstGeom>
                    <a:noFill/>
                    <a:ln>
                      <a:noFill/>
                    </a:ln>
                  </pic:spPr>
                </pic:pic>
              </a:graphicData>
            </a:graphic>
          </wp:anchor>
        </w:drawing>
      </w:r>
      <w:r>
        <w:rPr>
          <w:sz w:val="24"/>
        </w:rPr>
        <mc:AlternateContent>
          <mc:Choice Requires="wps">
            <w:drawing>
              <wp:anchor distT="0" distB="0" distL="114300" distR="114300" simplePos="0" relativeHeight="251671552" behindDoc="0" locked="0" layoutInCell="1" allowOverlap="1">
                <wp:simplePos x="0" y="0"/>
                <wp:positionH relativeFrom="column">
                  <wp:posOffset>-385445</wp:posOffset>
                </wp:positionH>
                <wp:positionV relativeFrom="paragraph">
                  <wp:posOffset>-3346450</wp:posOffset>
                </wp:positionV>
                <wp:extent cx="671830" cy="291465"/>
                <wp:effectExtent l="0" t="0" r="0" b="0"/>
                <wp:wrapNone/>
                <wp:docPr id="15" name="矩形 70"/>
                <wp:cNvGraphicFramePr/>
                <a:graphic xmlns:a="http://schemas.openxmlformats.org/drawingml/2006/main">
                  <a:graphicData uri="http://schemas.microsoft.com/office/word/2010/wordprocessingShape">
                    <wps:wsp>
                      <wps:cNvSpPr/>
                      <wps:spPr>
                        <a:xfrm>
                          <a:off x="0" y="0"/>
                          <a:ext cx="671830" cy="291465"/>
                        </a:xfrm>
                        <a:prstGeom prst="rect">
                          <a:avLst/>
                        </a:prstGeom>
                        <a:noFill/>
                        <a:ln>
                          <a:noFill/>
                        </a:ln>
                      </wps:spPr>
                      <wps:txbx>
                        <w:txbxContent>
                          <w:p>
                            <w:pPr>
                              <w:rPr>
                                <w:rFonts w:hint="eastAsia" w:eastAsiaTheme="minorEastAsia"/>
                                <w:lang w:val="en-US" w:eastAsia="zh-CN"/>
                              </w:rPr>
                            </w:pPr>
                            <w:r>
                              <w:rPr>
                                <w:rFonts w:hint="eastAsia"/>
                                <w:lang w:val="en-US" w:eastAsia="zh-CN"/>
                              </w:rPr>
                              <w:t>李小庄</w:t>
                            </w:r>
                          </w:p>
                        </w:txbxContent>
                      </wps:txbx>
                      <wps:bodyPr upright="1"/>
                    </wps:wsp>
                  </a:graphicData>
                </a:graphic>
              </wp:anchor>
            </w:drawing>
          </mc:Choice>
          <mc:Fallback>
            <w:pict>
              <v:rect id="矩形 70" o:spid="_x0000_s1026" o:spt="1" style="position:absolute;left:0pt;margin-left:-30.35pt;margin-top:-263.5pt;height:22.95pt;width:52.9pt;z-index:251671552;mso-width-relative:page;mso-height-relative:page;" filled="f" stroked="f" coordsize="21600,21600" o:gfxdata="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ZSFStwAAAAMAQAA&#10;DwAAAAAAAAABACAAAAAiAAAAZHJzL2Rvd25yZXYueG1sUEsBAhQAFAAAAAgAh07iQPfYT3ijAQAA&#10;QgMAAA4AAAAAAAAAAQAgAAAAKwEAAGRycy9lMm9Eb2MueG1sUEsFBgAAAAAGAAYAWQEAAEAFAAAA&#10;AA==&#10;">
                <v:fill on="f" focussize="0,0"/>
                <v:stroke on="f"/>
                <v:imagedata o:title=""/>
                <o:lock v:ext="edit" aspectratio="f"/>
                <v:textbox>
                  <w:txbxContent>
                    <w:p>
                      <w:pPr>
                        <w:rPr>
                          <w:rFonts w:hint="eastAsia" w:eastAsiaTheme="minorEastAsia"/>
                          <w:lang w:val="en-US" w:eastAsia="zh-CN"/>
                        </w:rPr>
                      </w:pPr>
                      <w:r>
                        <w:rPr>
                          <w:rFonts w:hint="eastAsia"/>
                          <w:lang w:val="en-US" w:eastAsia="zh-CN"/>
                        </w:rPr>
                        <w:t>李小庄</w:t>
                      </w:r>
                    </w:p>
                  </w:txbxContent>
                </v:textbox>
              </v:rect>
            </w:pict>
          </mc:Fallback>
        </mc:AlternateContent>
      </w:r>
      <w:r>
        <w:rPr>
          <w:rFonts w:hint="eastAsia" w:ascii="Times New Roman" w:hAnsi="Times New Roman" w:eastAsia="宋体" w:cs="Times New Roman"/>
          <w:b/>
          <w:sz w:val="24"/>
          <w:szCs w:val="24"/>
        </w:rPr>
        <w:t>图</w:t>
      </w:r>
      <w:r>
        <w:rPr>
          <w:rFonts w:hint="eastAsia" w:ascii="Times New Roman" w:hAnsi="Times New Roman" w:eastAsia="宋体" w:cs="Times New Roman"/>
          <w:b/>
          <w:sz w:val="24"/>
          <w:szCs w:val="24"/>
          <w:lang w:val="en-US" w:eastAsia="zh-CN"/>
        </w:rPr>
        <w:t>8</w:t>
      </w:r>
      <w:r>
        <w:rPr>
          <w:rFonts w:hint="eastAsia"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2地下水</w:t>
      </w:r>
      <w:r>
        <w:rPr>
          <w:rFonts w:hint="eastAsia" w:ascii="Times New Roman" w:hAnsi="Times New Roman" w:eastAsia="宋体" w:cs="Times New Roman"/>
          <w:b/>
          <w:sz w:val="24"/>
          <w:szCs w:val="24"/>
        </w:rPr>
        <w:t>监测点位分布图</w:t>
      </w:r>
    </w:p>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left"/>
        <w:textAlignment w:val="auto"/>
        <w:outlineLvl w:val="9"/>
        <w:rPr>
          <w:rFonts w:hint="eastAsia" w:ascii="Times New Roman" w:hAnsi="Times New Roman" w:eastAsia="宋体" w:cs="Times New Roman"/>
          <w:b/>
          <w:color w:val="auto"/>
          <w:sz w:val="28"/>
          <w:szCs w:val="28"/>
          <w:lang w:val="en-US" w:eastAsia="zh-CN"/>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9"/>
        <w:tabs>
          <w:tab w:val="clear" w:pos="0"/>
        </w:tabs>
        <w:adjustRightInd/>
        <w:snapToGrid/>
        <w:spacing w:before="0" w:after="0" w:line="360" w:lineRule="auto"/>
        <w:rPr>
          <w:rFonts w:hint="default" w:ascii="Times New Roman" w:hAnsi="Times New Roman" w:eastAsia="宋体" w:cs="Times New Roman"/>
          <w:b/>
          <w:bCs/>
          <w:color w:val="auto"/>
          <w:lang w:val="en-US" w:eastAsia="zh-CN"/>
        </w:rPr>
      </w:pPr>
      <w:bookmarkStart w:id="27" w:name="_Toc20744"/>
      <w:bookmarkStart w:id="28" w:name="_Toc24131"/>
      <w:r>
        <w:rPr>
          <w:rFonts w:hint="eastAsia" w:ascii="Times New Roman" w:hAnsi="Times New Roman" w:eastAsia="宋体" w:cs="Times New Roman"/>
          <w:b/>
          <w:bCs/>
          <w:color w:val="auto"/>
          <w:lang w:eastAsia="zh-CN"/>
        </w:rPr>
        <w:t>九、</w:t>
      </w:r>
      <w:r>
        <w:rPr>
          <w:rFonts w:hint="eastAsia" w:ascii="Times New Roman" w:hAnsi="Times New Roman" w:eastAsia="宋体" w:cs="Times New Roman"/>
          <w:b/>
          <w:bCs/>
          <w:color w:val="auto"/>
          <w:lang w:val="en-US" w:eastAsia="zh-CN"/>
        </w:rPr>
        <w:t>监测数据分析</w:t>
      </w:r>
      <w:bookmarkEnd w:id="27"/>
      <w:bookmarkEnd w:id="28"/>
    </w:p>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default" w:ascii="Times New Roman" w:hAnsi="Times New Roman" w:eastAsia="宋体" w:cs="Times New Roman"/>
          <w:b/>
          <w:color w:val="auto"/>
          <w:sz w:val="28"/>
          <w:szCs w:val="28"/>
          <w:lang w:val="en-US" w:eastAsia="zh-CN"/>
        </w:rPr>
      </w:pPr>
      <w:r>
        <w:rPr>
          <w:rFonts w:hint="eastAsia" w:ascii="Times New Roman" w:hAnsi="Times New Roman" w:eastAsia="宋体" w:cs="Times New Roman"/>
          <w:b/>
          <w:sz w:val="28"/>
          <w:szCs w:val="28"/>
          <w:highlight w:val="none"/>
          <w:lang w:eastAsia="zh-CN"/>
        </w:rPr>
        <w:t>表</w:t>
      </w:r>
      <w:r>
        <w:rPr>
          <w:rFonts w:hint="eastAsia" w:ascii="Times New Roman" w:hAnsi="Times New Roman" w:eastAsia="宋体" w:cs="Times New Roman"/>
          <w:b/>
          <w:sz w:val="28"/>
          <w:szCs w:val="28"/>
          <w:highlight w:val="none"/>
          <w:lang w:val="en-US" w:eastAsia="zh-CN"/>
        </w:rPr>
        <w:t>2地下水</w:t>
      </w:r>
      <w:r>
        <w:rPr>
          <w:rFonts w:hint="eastAsia" w:ascii="Times New Roman" w:hAnsi="Times New Roman" w:eastAsia="宋体" w:cs="Times New Roman"/>
          <w:b/>
          <w:sz w:val="28"/>
          <w:szCs w:val="28"/>
          <w:highlight w:val="none"/>
          <w:lang w:eastAsia="zh-CN"/>
        </w:rPr>
        <w:t>检测结</w:t>
      </w:r>
      <w:r>
        <w:rPr>
          <w:b/>
          <w:sz w:val="28"/>
          <w:szCs w:val="28"/>
          <w:highlight w:val="none"/>
        </w:rPr>
        <w:t>果</w:t>
      </w:r>
    </w:p>
    <w:tbl>
      <w:tblPr>
        <w:tblStyle w:val="17"/>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2053"/>
        <w:gridCol w:w="1866"/>
        <w:gridCol w:w="3253"/>
        <w:gridCol w:w="3253"/>
        <w:gridCol w:w="326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7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tc>
        <w:tc>
          <w:tcPr>
            <w:tcW w:w="658" w:type="pct"/>
            <w:vMerge w:val="restart"/>
            <w:tcBorders>
              <w:tl2br w:val="nil"/>
              <w:tr2bl w:val="nil"/>
            </w:tcBorders>
            <w:noWrap w:val="0"/>
            <w:vAlign w:val="center"/>
            <mc:AlternateContent>
              <mc:Choice Requires="wpsCustomData">
                <wpsCustomData:diagonals>
                  <wpsCustomData:diagonal from="30000" to="4900">
                    <wpsCustomData:border w:val="single" w:color="auto" w:sz="4" w:space="0"/>
                  </wpsCustomData:diagonal>
                  <wpsCustomData:diagonal from="30000" to="135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样品编号及样品状态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检测点位及日期</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污染扩散井（东侧50m监测井）</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污染监视井（彭家大庄水井）</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排水井污水处理站下游30m监测井）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5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3444"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2022.6.10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24"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658"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DW083060610</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DW083070610</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DW083080610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24"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658"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rPr>
              <w:t>pH</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eastAsia="宋体"/>
                <w:lang w:val="en-US" w:eastAsia="zh-CN"/>
              </w:rPr>
              <w:t>/</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7.6</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7.6</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7.7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72"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eastAsia" w:eastAsia="宋体"/>
                <w:kern w:val="2"/>
                <w:sz w:val="21"/>
                <w:szCs w:val="24"/>
                <w:lang w:val="en-US" w:eastAsia="zh-CN" w:bidi="ar-SA"/>
              </w:rPr>
            </w:pPr>
            <w:r>
              <w:rPr>
                <w:rFonts w:hint="eastAsia" w:eastAsia="宋体"/>
                <w:lang w:val="en-US" w:eastAsia="zh-CN"/>
              </w:rPr>
              <w:t>2</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lang w:val="en-US" w:eastAsia="zh-CN"/>
              </w:rPr>
              <w:t>水温</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eastAsia="宋体"/>
                <w:lang w:val="en-US" w:eastAsia="zh-CN"/>
              </w:rPr>
            </w:pPr>
            <w:r>
              <w:rPr>
                <w:rFonts w:hint="eastAsia" w:ascii="宋体" w:hAnsi="宋体" w:eastAsia="宋体" w:cs="宋体"/>
                <w:lang w:val="en-US" w:eastAsia="zh-CN"/>
              </w:rPr>
              <w:t>℃</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22.4</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22.8</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3</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rPr>
              <w:t>色度</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度</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rPr>
              <w:t>臭和味</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无</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无</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rPr>
              <w:t>浊度</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度</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肉眼可见物</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无</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无</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总硬度</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374</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356</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381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溶解性总固体</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526</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539</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547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w:t>耗氧量</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0.94</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0.88</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0.99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w:t>氨氮</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0.256</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0.268</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0.274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11</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w:t>硝酸盐氮</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0.64</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0.57</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0.76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12</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w:t>亚硝酸盐氮</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0.003L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0.003L</w:t>
            </w:r>
          </w:p>
        </w:tc>
        <w:tc>
          <w:tcPr>
            <w:tcW w:w="11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0.003L</w:t>
            </w:r>
          </w:p>
        </w:tc>
      </w:tr>
    </w:tbl>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default" w:ascii="Times New Roman" w:hAnsi="Times New Roman" w:eastAsia="宋体" w:cs="Times New Roman"/>
          <w:b/>
          <w:color w:val="auto"/>
          <w:sz w:val="28"/>
          <w:szCs w:val="28"/>
          <w:lang w:val="en-US" w:eastAsia="zh-CN"/>
        </w:rPr>
      </w:pPr>
      <w:r>
        <w:rPr>
          <w:rFonts w:hint="eastAsia" w:ascii="Times New Roman" w:hAnsi="Times New Roman" w:eastAsia="宋体" w:cs="Times New Roman"/>
          <w:b/>
          <w:sz w:val="28"/>
          <w:szCs w:val="28"/>
          <w:highlight w:val="none"/>
          <w:lang w:eastAsia="zh-CN"/>
        </w:rPr>
        <w:t>表</w:t>
      </w:r>
      <w:r>
        <w:rPr>
          <w:rFonts w:hint="eastAsia" w:ascii="Times New Roman" w:hAnsi="Times New Roman" w:eastAsia="宋体" w:cs="Times New Roman"/>
          <w:b/>
          <w:sz w:val="28"/>
          <w:szCs w:val="28"/>
          <w:highlight w:val="none"/>
          <w:lang w:val="en-US" w:eastAsia="zh-CN"/>
        </w:rPr>
        <w:t>3地下水</w:t>
      </w:r>
      <w:r>
        <w:rPr>
          <w:rFonts w:hint="eastAsia" w:ascii="Times New Roman" w:hAnsi="Times New Roman" w:eastAsia="宋体" w:cs="Times New Roman"/>
          <w:b/>
          <w:sz w:val="28"/>
          <w:szCs w:val="28"/>
          <w:highlight w:val="none"/>
          <w:lang w:eastAsia="zh-CN"/>
        </w:rPr>
        <w:t>检测结</w:t>
      </w:r>
      <w:r>
        <w:rPr>
          <w:b/>
          <w:sz w:val="28"/>
          <w:szCs w:val="28"/>
          <w:highlight w:val="none"/>
        </w:rPr>
        <w:t>果</w:t>
      </w:r>
    </w:p>
    <w:tbl>
      <w:tblPr>
        <w:tblStyle w:val="17"/>
        <w:tblW w:w="499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2031"/>
        <w:gridCol w:w="1983"/>
        <w:gridCol w:w="3136"/>
        <w:gridCol w:w="3238"/>
        <w:gridCol w:w="324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71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tc>
        <w:tc>
          <w:tcPr>
            <w:tcW w:w="700" w:type="pct"/>
            <w:vMerge w:val="restart"/>
            <w:tcBorders>
              <w:tl2br w:val="nil"/>
              <w:tr2bl w:val="nil"/>
            </w:tcBorders>
            <w:noWrap w:val="0"/>
            <w:vAlign w:val="center"/>
            <mc:AlternateContent>
              <mc:Choice Requires="wpsCustomData">
                <wpsCustomData:diagonals>
                  <wpsCustomData:diagonal from="30000" to="4900">
                    <wpsCustomData:border w:val="single" w:color="auto" w:sz="4" w:space="0"/>
                  </wpsCustomData:diagonal>
                  <wpsCustomData:diagonal from="30000" to="135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样品编号及样品状态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检测点位及日期</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污染扩散井（东侧50m监测井）</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污染监视井</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排水井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1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339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2022.6.10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8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17"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0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DW083060610</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DW083070610</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DW083080610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17"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0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rPr>
              <w:t>硫酸盐</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32</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35</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38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2</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rPr>
              <w:t>氯化物</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26</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29</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3</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w:t>挥发酚</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0.0003L</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0.0003L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4</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w:t>氰化物</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0.002L</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0.002L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5</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kern w:val="0"/>
                <w:sz w:val="21"/>
                <w:szCs w:val="21"/>
                <w:lang w:val="en-US" w:eastAsia="zh-CN" w:bidi="ar-SA"/>
              </w:rPr>
            </w:pPr>
            <w:r>
              <w:rPr>
                <w:rFonts w:hint="eastAsia"/>
              </w:rPr>
              <w:t>汞</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sz w:val="21"/>
                <w:szCs w:val="21"/>
                <w:u w:val="none"/>
              </w:rPr>
              <w:t>μg/L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0.04L</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0.04L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0.04L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6</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kern w:val="0"/>
                <w:sz w:val="21"/>
                <w:szCs w:val="21"/>
                <w:lang w:val="en-US" w:eastAsia="zh-CN" w:bidi="ar-SA"/>
              </w:rPr>
            </w:pPr>
            <w:r>
              <w:rPr>
                <w:rFonts w:hint="eastAsia"/>
              </w:rPr>
              <w:t>砷</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sz w:val="21"/>
                <w:szCs w:val="21"/>
                <w:u w:val="none"/>
              </w:rPr>
              <w:t>μg/L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0.3L</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0.3L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7</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auto"/>
                <w:kern w:val="2"/>
                <w:sz w:val="21"/>
                <w:szCs w:val="20"/>
                <w:lang w:val="en-US" w:eastAsia="zh-CN" w:bidi="ar-SA"/>
              </w:rPr>
            </w:pPr>
            <w:r>
              <w:rPr>
                <w:rFonts w:hint="eastAsia"/>
              </w:rPr>
              <w:t>六价铬</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0.004L</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0.004L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0.004L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8</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auto"/>
                <w:kern w:val="2"/>
                <w:sz w:val="21"/>
                <w:szCs w:val="20"/>
                <w:lang w:val="en-US" w:eastAsia="zh-CN" w:bidi="ar-SA"/>
              </w:rPr>
            </w:pPr>
            <w:r>
              <w:rPr>
                <w:rFonts w:hint="eastAsia"/>
              </w:rPr>
              <w:t>铅</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0.010L</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0.010L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0.010L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9</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rPr>
              <w:t>氟化物</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0.49</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0.58</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0.86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10</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auto"/>
                <w:kern w:val="2"/>
                <w:sz w:val="21"/>
                <w:szCs w:val="20"/>
                <w:lang w:val="en-US" w:eastAsia="zh-CN" w:bidi="ar-SA"/>
              </w:rPr>
            </w:pPr>
            <w:r>
              <w:rPr>
                <w:rFonts w:hint="eastAsia"/>
              </w:rPr>
              <w:t>镉</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0.001L</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0.001L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0.001L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11</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kern w:val="2"/>
                <w:sz w:val="21"/>
                <w:szCs w:val="20"/>
                <w:lang w:val="en-US" w:eastAsia="zh-CN" w:bidi="ar-SA"/>
              </w:rPr>
            </w:pPr>
            <w:r>
              <w:rPr>
                <w:rFonts w:hint="eastAsia"/>
              </w:rPr>
              <w:t>铁</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0.06</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0.06</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12</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rPr>
              <w:t>锰</w:t>
            </w:r>
          </w:p>
        </w:tc>
        <w:tc>
          <w:tcPr>
            <w:tcW w:w="7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0.02</w:t>
            </w:r>
          </w:p>
        </w:tc>
        <w:tc>
          <w:tcPr>
            <w:tcW w:w="11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0.02</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0.03</w:t>
            </w:r>
          </w:p>
        </w:tc>
      </w:tr>
    </w:tbl>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eastAsia" w:ascii="Times New Roman" w:hAnsi="Times New Roman" w:eastAsia="宋体" w:cs="Times New Roman"/>
          <w:b/>
          <w:sz w:val="28"/>
          <w:szCs w:val="28"/>
          <w:highlight w:val="none"/>
          <w:lang w:eastAsia="zh-CN"/>
        </w:rPr>
      </w:pPr>
    </w:p>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default" w:ascii="Times New Roman" w:hAnsi="Times New Roman" w:eastAsia="宋体" w:cs="Times New Roman"/>
          <w:b/>
          <w:color w:val="auto"/>
          <w:sz w:val="28"/>
          <w:szCs w:val="28"/>
          <w:lang w:val="en-US" w:eastAsia="zh-CN"/>
        </w:rPr>
      </w:pPr>
      <w:r>
        <w:rPr>
          <w:rFonts w:hint="eastAsia" w:ascii="Times New Roman" w:hAnsi="Times New Roman" w:eastAsia="宋体" w:cs="Times New Roman"/>
          <w:b/>
          <w:sz w:val="28"/>
          <w:szCs w:val="28"/>
          <w:highlight w:val="none"/>
          <w:lang w:eastAsia="zh-CN"/>
        </w:rPr>
        <w:t>表</w:t>
      </w:r>
      <w:r>
        <w:rPr>
          <w:rFonts w:hint="eastAsia" w:ascii="Times New Roman" w:hAnsi="Times New Roman" w:eastAsia="宋体" w:cs="Times New Roman"/>
          <w:b/>
          <w:sz w:val="28"/>
          <w:szCs w:val="28"/>
          <w:highlight w:val="none"/>
          <w:lang w:val="en-US" w:eastAsia="zh-CN"/>
        </w:rPr>
        <w:t>4地下水</w:t>
      </w:r>
      <w:r>
        <w:rPr>
          <w:rFonts w:hint="eastAsia" w:ascii="Times New Roman" w:hAnsi="Times New Roman" w:eastAsia="宋体" w:cs="Times New Roman"/>
          <w:b/>
          <w:sz w:val="28"/>
          <w:szCs w:val="28"/>
          <w:highlight w:val="none"/>
          <w:lang w:eastAsia="zh-CN"/>
        </w:rPr>
        <w:t>检测结</w:t>
      </w:r>
      <w:r>
        <w:rPr>
          <w:b/>
          <w:sz w:val="28"/>
          <w:szCs w:val="28"/>
          <w:highlight w:val="none"/>
        </w:rPr>
        <w:t>果</w:t>
      </w:r>
    </w:p>
    <w:tbl>
      <w:tblPr>
        <w:tblStyle w:val="17"/>
        <w:tblW w:w="499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2006"/>
        <w:gridCol w:w="1884"/>
        <w:gridCol w:w="3247"/>
        <w:gridCol w:w="3247"/>
        <w:gridCol w:w="325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编号</w:t>
            </w:r>
          </w:p>
        </w:tc>
        <w:tc>
          <w:tcPr>
            <w:tcW w:w="70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检测项目</w:t>
            </w:r>
          </w:p>
        </w:tc>
        <w:tc>
          <w:tcPr>
            <w:tcW w:w="665" w:type="pct"/>
            <w:vMerge w:val="restart"/>
            <w:tcBorders>
              <w:tl2br w:val="nil"/>
              <w:tr2bl w:val="nil"/>
            </w:tcBorders>
            <w:noWrap w:val="0"/>
            <w:vAlign w:val="center"/>
            <mc:AlternateContent>
              <mc:Choice Requires="wpsCustomData">
                <wpsCustomData:diagonals>
                  <wpsCustomData:diagonal from="30000" to="4900">
                    <wpsCustomData:border w:val="single" w:color="auto" w:sz="4" w:space="0"/>
                  </wpsCustomData:diagonal>
                  <wpsCustomData:diagonal from="30000" to="135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auto"/>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样品编号及样品状态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检测点位及日期</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污染扩散井</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污染监视井</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排水井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3440"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2022.6.10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08"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665"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DW083060610</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DW083070610</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DW083080610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708"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665"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无色、无味、透明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w:t>
            </w: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kern w:val="2"/>
                <w:sz w:val="21"/>
                <w:szCs w:val="24"/>
                <w:lang w:val="en-US" w:eastAsia="zh-CN" w:bidi="ar-SA"/>
              </w:rPr>
            </w:pPr>
            <w:r>
              <w:rPr>
                <w:rFonts w:hint="eastAsia"/>
              </w:rPr>
              <w:t>铜</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0.001L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0.001L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2</w:t>
            </w: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rPr>
              <w:t>锌</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3</w:t>
            </w: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rPr>
              <w:t>铝</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i w:val="0"/>
                <w:color w:val="000000"/>
                <w:sz w:val="21"/>
                <w:szCs w:val="21"/>
                <w:u w:val="none"/>
              </w:rPr>
              <w:t>μg/L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10L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10L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10L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4</w:t>
            </w:r>
          </w:p>
        </w:tc>
        <w:tc>
          <w:tcPr>
            <w:tcW w:w="7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rPr>
            </w:pPr>
            <w:r>
              <w:rPr>
                <w:rFonts w:hint="eastAsia"/>
              </w:rPr>
              <w:t>硒</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sz w:val="21"/>
                <w:szCs w:val="21"/>
                <w:u w:val="none"/>
              </w:rPr>
              <w:t>μg/L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0.4L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0.4L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0.4L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5</w:t>
            </w:r>
          </w:p>
        </w:tc>
        <w:tc>
          <w:tcPr>
            <w:tcW w:w="7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auto"/>
                <w:kern w:val="2"/>
                <w:sz w:val="21"/>
                <w:szCs w:val="20"/>
                <w:lang w:val="en-US" w:eastAsia="zh-CN" w:bidi="ar-SA"/>
              </w:rPr>
            </w:pPr>
            <w:r>
              <w:rPr>
                <w:rFonts w:hint="eastAsia"/>
              </w:rPr>
              <w:t>三氯甲烷</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Style w:val="43"/>
                <w:rFonts w:hint="default" w:ascii="Times New Roman" w:hAnsi="Times New Roman" w:eastAsia="宋体" w:cs="Times New Roman"/>
                <w:sz w:val="21"/>
                <w:szCs w:val="21"/>
              </w:rPr>
              <w:t>μg/L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0.02L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0.02L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6</w:t>
            </w:r>
          </w:p>
        </w:tc>
        <w:tc>
          <w:tcPr>
            <w:tcW w:w="7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auto"/>
                <w:kern w:val="2"/>
                <w:sz w:val="21"/>
                <w:szCs w:val="20"/>
                <w:lang w:val="en-US" w:eastAsia="zh-CN" w:bidi="ar-SA"/>
              </w:rPr>
            </w:pPr>
            <w:r>
              <w:rPr>
                <w:rFonts w:hint="eastAsia"/>
              </w:rPr>
              <w:t>四氯化碳</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Style w:val="43"/>
                <w:rFonts w:hint="default" w:ascii="Times New Roman" w:hAnsi="Times New Roman" w:eastAsia="宋体" w:cs="Times New Roman"/>
                <w:sz w:val="21"/>
                <w:szCs w:val="21"/>
              </w:rPr>
              <w:t>μg/L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0.03L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0.03L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0.03L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7</w:t>
            </w:r>
          </w:p>
        </w:tc>
        <w:tc>
          <w:tcPr>
            <w:tcW w:w="7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auto"/>
                <w:kern w:val="2"/>
                <w:sz w:val="21"/>
                <w:szCs w:val="20"/>
                <w:lang w:val="en-US" w:eastAsia="zh-CN" w:bidi="ar-SA"/>
              </w:rPr>
            </w:pPr>
            <w:r>
              <w:rPr>
                <w:rFonts w:hint="eastAsia"/>
              </w:rPr>
              <w:t>苯</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Style w:val="43"/>
                <w:rFonts w:hint="default" w:ascii="Times New Roman" w:hAnsi="Times New Roman" w:eastAsia="宋体" w:cs="Times New Roman"/>
                <w:sz w:val="21"/>
                <w:szCs w:val="21"/>
              </w:rPr>
              <w:t>μg/L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8</w:t>
            </w:r>
          </w:p>
        </w:tc>
        <w:tc>
          <w:tcPr>
            <w:tcW w:w="7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kern w:val="2"/>
                <w:sz w:val="21"/>
                <w:szCs w:val="21"/>
                <w:lang w:val="en-US" w:eastAsia="zh-CN" w:bidi="ar-SA"/>
              </w:rPr>
            </w:pPr>
            <w:r>
              <w:rPr>
                <w:rFonts w:hint="eastAsia"/>
              </w:rPr>
              <w:t>甲苯</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Style w:val="43"/>
                <w:rFonts w:hint="default" w:ascii="Times New Roman" w:hAnsi="Times New Roman" w:eastAsia="宋体" w:cs="Times New Roman"/>
                <w:sz w:val="21"/>
                <w:szCs w:val="21"/>
              </w:rPr>
              <w:t>μg/L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9</w:t>
            </w: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rPr>
              <w:t>阴离子表面活性剂</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10</w:t>
            </w: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auto"/>
                <w:kern w:val="2"/>
                <w:sz w:val="21"/>
                <w:szCs w:val="20"/>
                <w:lang w:val="en-US" w:eastAsia="zh-CN" w:bidi="ar-SA"/>
              </w:rPr>
            </w:pPr>
            <w:r>
              <w:rPr>
                <w:rFonts w:hint="eastAsia"/>
              </w:rPr>
              <w:t>硫化物</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0.01L</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11</w:t>
            </w: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color w:val="auto"/>
                <w:kern w:val="2"/>
                <w:sz w:val="21"/>
                <w:szCs w:val="20"/>
                <w:lang w:val="en-US" w:eastAsia="zh-CN" w:bidi="ar-SA"/>
              </w:rPr>
            </w:pPr>
            <w:r>
              <w:rPr>
                <w:rFonts w:hint="eastAsia"/>
              </w:rPr>
              <w:t>钠</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18.89</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19.07</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17.64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12</w:t>
            </w:r>
          </w:p>
        </w:tc>
        <w:tc>
          <w:tcPr>
            <w:tcW w:w="708"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eastAsia="宋体"/>
                <w:kern w:val="2"/>
                <w:sz w:val="21"/>
                <w:szCs w:val="24"/>
                <w:lang w:val="en-US" w:eastAsia="zh-CN" w:bidi="ar-SA"/>
              </w:rPr>
            </w:pPr>
            <w:r>
              <w:rPr>
                <w:rFonts w:hint="eastAsia"/>
              </w:rPr>
              <w:t>碘化物</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kern w:val="2"/>
                <w:sz w:val="21"/>
                <w:szCs w:val="24"/>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mg/L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0.056</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0.044</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6" w:type="pct"/>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rFonts w:hint="default" w:eastAsia="宋体"/>
                <w:lang w:val="en-US" w:eastAsia="zh-CN"/>
              </w:rPr>
            </w:pPr>
            <w:r>
              <w:rPr>
                <w:rFonts w:hint="eastAsia" w:eastAsia="宋体"/>
                <w:lang w:val="en-US" w:eastAsia="zh-CN"/>
              </w:rPr>
              <w:t>13</w:t>
            </w:r>
          </w:p>
        </w:tc>
        <w:tc>
          <w:tcPr>
            <w:tcW w:w="708"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eastAsia="宋体"/>
                <w:lang w:val="en-US" w:eastAsia="zh-CN"/>
              </w:rPr>
            </w:pPr>
            <w:r>
              <w:rPr>
                <w:rFonts w:hint="eastAsia" w:eastAsia="宋体"/>
                <w:lang w:val="en-US" w:eastAsia="zh-CN"/>
              </w:rPr>
              <w:t>总大肠菌群</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eastAsia="宋体"/>
                <w:lang w:val="en-US" w:eastAsia="zh-CN"/>
              </w:rPr>
            </w:pPr>
            <w:r>
              <w:rPr>
                <w:rFonts w:hint="eastAsia" w:eastAsia="宋体"/>
                <w:lang w:val="en-US" w:eastAsia="zh-CN"/>
              </w:rPr>
              <w:t>MPN/100mL</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&lt;2</w:t>
            </w:r>
          </w:p>
        </w:tc>
        <w:tc>
          <w:tcPr>
            <w:tcW w:w="11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&lt;2</w:t>
            </w:r>
          </w:p>
        </w:tc>
        <w:tc>
          <w:tcPr>
            <w:tcW w:w="11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&lt;2</w:t>
            </w:r>
          </w:p>
        </w:tc>
      </w:tr>
    </w:tbl>
    <w:p>
      <w:pPr>
        <w:keepNext w:val="0"/>
        <w:keepLines w:val="0"/>
        <w:pageBreakBefore w:val="0"/>
        <w:widowControl w:val="0"/>
        <w:tabs>
          <w:tab w:val="left" w:pos="14400"/>
        </w:tabs>
        <w:kinsoku/>
        <w:wordWrap/>
        <w:overflowPunct/>
        <w:topLinePunct w:val="0"/>
        <w:autoSpaceDE/>
        <w:autoSpaceDN/>
        <w:bidi w:val="0"/>
        <w:adjustRightInd/>
        <w:snapToGrid w:val="0"/>
        <w:spacing w:line="312" w:lineRule="auto"/>
        <w:jc w:val="center"/>
        <w:textAlignment w:val="auto"/>
        <w:outlineLvl w:val="9"/>
        <w:rPr>
          <w:rFonts w:hint="default" w:ascii="Times New Roman" w:hAnsi="Times New Roman" w:eastAsia="宋体" w:cs="Times New Roman"/>
          <w:b/>
          <w:color w:val="auto"/>
          <w:sz w:val="28"/>
          <w:szCs w:val="28"/>
          <w:lang w:val="en-US" w:eastAsia="zh-CN"/>
        </w:rPr>
      </w:pPr>
    </w:p>
    <w:p>
      <w:pPr>
        <w:pStyle w:val="2"/>
        <w:rPr>
          <w:rFonts w:hint="eastAsia"/>
          <w:lang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5土壤</w:t>
      </w:r>
      <w:r>
        <w:rPr>
          <w:rFonts w:hint="default" w:ascii="Times New Roman" w:hAnsi="Times New Roman" w:eastAsia="宋体" w:cs="Times New Roman"/>
          <w:b/>
          <w:color w:val="auto"/>
          <w:sz w:val="28"/>
          <w:szCs w:val="28"/>
          <w:highlight w:val="none"/>
          <w:lang w:val="en-US" w:eastAsia="zh-CN"/>
        </w:rPr>
        <w:t>检测结果</w:t>
      </w:r>
    </w:p>
    <w:tbl>
      <w:tblPr>
        <w:tblStyle w:val="17"/>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58"/>
        <w:gridCol w:w="825"/>
        <w:gridCol w:w="1367"/>
        <w:gridCol w:w="1030"/>
        <w:gridCol w:w="1103"/>
        <w:gridCol w:w="1103"/>
        <w:gridCol w:w="1103"/>
        <w:gridCol w:w="110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编号</w:t>
            </w:r>
          </w:p>
        </w:tc>
        <w:tc>
          <w:tcPr>
            <w:tcW w:w="753"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802"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检测点位及取样日期</w:t>
            </w:r>
          </w:p>
        </w:tc>
        <w:tc>
          <w:tcPr>
            <w:tcW w:w="3194" w:type="pct"/>
            <w:gridSpan w:val="5"/>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2022.6.10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753"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8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60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1#污水处理区表层样</w:t>
            </w:r>
          </w:p>
        </w:tc>
        <w:tc>
          <w:tcPr>
            <w:tcW w:w="647"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2#渗滤液收集池表层样</w:t>
            </w:r>
          </w:p>
        </w:tc>
        <w:tc>
          <w:tcPr>
            <w:tcW w:w="647"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3#填埋区东南侧表层样</w:t>
            </w:r>
          </w:p>
        </w:tc>
        <w:tc>
          <w:tcPr>
            <w:tcW w:w="647"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4#填埋区西北侧表层样</w:t>
            </w:r>
          </w:p>
        </w:tc>
        <w:tc>
          <w:tcPr>
            <w:tcW w:w="647"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5#生活办公区表层样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753" w:type="pct"/>
            <w:gridSpan w:val="2"/>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80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60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DW083100610-表层</w:t>
            </w:r>
          </w:p>
        </w:tc>
        <w:tc>
          <w:tcPr>
            <w:tcW w:w="647"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DW083110610-表层</w:t>
            </w:r>
          </w:p>
        </w:tc>
        <w:tc>
          <w:tcPr>
            <w:tcW w:w="647"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DW083120610-表层</w:t>
            </w:r>
          </w:p>
        </w:tc>
        <w:tc>
          <w:tcPr>
            <w:tcW w:w="647"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DW083130610-表层</w:t>
            </w:r>
          </w:p>
        </w:tc>
        <w:tc>
          <w:tcPr>
            <w:tcW w:w="647"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DW083140610-表层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1</w:t>
            </w:r>
          </w:p>
        </w:tc>
        <w:tc>
          <w:tcPr>
            <w:tcW w:w="75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砷</w:t>
            </w:r>
          </w:p>
        </w:tc>
        <w:tc>
          <w:tcPr>
            <w:tcW w:w="802" w:type="pct"/>
            <w:tcBorders>
              <w:tl2br w:val="nil"/>
              <w:tr2bl w:val="nil"/>
            </w:tcBorders>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18.9</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19.4</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18.9</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16.8</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15.4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w:t>
            </w:r>
          </w:p>
        </w:tc>
        <w:tc>
          <w:tcPr>
            <w:tcW w:w="753" w:type="pct"/>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镉</w:t>
            </w:r>
          </w:p>
        </w:tc>
        <w:tc>
          <w:tcPr>
            <w:tcW w:w="80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0.093</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0.083</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0.090</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0.102</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0.096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w:t>
            </w:r>
          </w:p>
        </w:tc>
        <w:tc>
          <w:tcPr>
            <w:tcW w:w="753" w:type="pct"/>
            <w:gridSpan w:val="2"/>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六价铬</w:t>
            </w:r>
          </w:p>
        </w:tc>
        <w:tc>
          <w:tcPr>
            <w:tcW w:w="802" w:type="pct"/>
            <w:noWrap w:val="0"/>
            <w:vAlign w:val="center"/>
          </w:tcPr>
          <w:p>
            <w:pPr>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3.8</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4.2</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4.2</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3.4</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sz w:val="21"/>
                <w:szCs w:val="21"/>
                <w:highlight w:val="none"/>
                <w:lang w:val="en-US" w:eastAsia="zh-CN" w:bidi="ar-SA"/>
              </w:rPr>
              <w:t>铜</w:t>
            </w:r>
          </w:p>
        </w:tc>
        <w:tc>
          <w:tcPr>
            <w:tcW w:w="80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41</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43</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42</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41</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5</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铅</w:t>
            </w:r>
          </w:p>
        </w:tc>
        <w:tc>
          <w:tcPr>
            <w:tcW w:w="80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68</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62</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60</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62</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63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6</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i w:val="0"/>
                <w:color w:val="000000"/>
                <w:kern w:val="0"/>
                <w:sz w:val="21"/>
                <w:szCs w:val="21"/>
                <w:u w:val="none"/>
                <w:lang w:val="en-US" w:eastAsia="zh-CN" w:bidi="ar"/>
              </w:rPr>
              <w:t>汞</w:t>
            </w:r>
          </w:p>
        </w:tc>
        <w:tc>
          <w:tcPr>
            <w:tcW w:w="80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0.017</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0.018</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0.018</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0.012</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0.013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7</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镍</w:t>
            </w:r>
          </w:p>
        </w:tc>
        <w:tc>
          <w:tcPr>
            <w:tcW w:w="80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53</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55</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56</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51</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52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8</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硝基苯</w:t>
            </w:r>
          </w:p>
        </w:tc>
        <w:tc>
          <w:tcPr>
            <w:tcW w:w="802"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9</w:t>
            </w:r>
          </w:p>
        </w:tc>
        <w:tc>
          <w:tcPr>
            <w:tcW w:w="26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苯胺</w:t>
            </w:r>
          </w:p>
        </w:tc>
        <w:tc>
          <w:tcPr>
            <w:tcW w:w="484"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color w:val="000000"/>
              </w:rPr>
            </w:pPr>
            <w:r>
              <w:rPr>
                <w:rFonts w:hint="eastAsia"/>
                <w:color w:val="000000"/>
              </w:rPr>
              <w:t>4-氯苯胺</w:t>
            </w:r>
          </w:p>
        </w:tc>
        <w:tc>
          <w:tcPr>
            <w:tcW w:w="80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10</w:t>
            </w:r>
          </w:p>
        </w:tc>
        <w:tc>
          <w:tcPr>
            <w:tcW w:w="268" w:type="pct"/>
            <w:vMerge w:val="continue"/>
            <w:noWrap w:val="0"/>
            <w:vAlign w:val="center"/>
          </w:tcPr>
          <w:p>
            <w:pPr>
              <w:jc w:val="center"/>
              <w:rPr>
                <w:rFonts w:hint="eastAsia" w:ascii="Times New Roman" w:hAnsi="Times New Roman" w:eastAsia="宋体" w:cs="Times New Roman"/>
                <w:b w:val="0"/>
                <w:bCs/>
                <w:color w:val="000000"/>
                <w:kern w:val="2"/>
                <w:sz w:val="21"/>
                <w:szCs w:val="21"/>
                <w:highlight w:val="none"/>
                <w:vertAlign w:val="baseline"/>
                <w:lang w:val="en-US" w:eastAsia="zh-CN" w:bidi="ar-SA"/>
              </w:rPr>
            </w:pPr>
          </w:p>
        </w:tc>
        <w:tc>
          <w:tcPr>
            <w:tcW w:w="484" w:type="pct"/>
            <w:noWrap w:val="0"/>
            <w:vAlign w:val="center"/>
          </w:tcPr>
          <w:p>
            <w:pPr>
              <w:jc w:val="center"/>
              <w:rPr>
                <w:color w:val="000000"/>
              </w:rPr>
            </w:pPr>
            <w:r>
              <w:rPr>
                <w:rFonts w:hint="eastAsia"/>
                <w:color w:val="000000"/>
              </w:rPr>
              <w:t>2-硝基苯胺</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11</w:t>
            </w:r>
          </w:p>
        </w:tc>
        <w:tc>
          <w:tcPr>
            <w:tcW w:w="268" w:type="pct"/>
            <w:vMerge w:val="continue"/>
            <w:noWrap w:val="0"/>
            <w:vAlign w:val="center"/>
          </w:tcPr>
          <w:p>
            <w:pPr>
              <w:jc w:val="center"/>
              <w:rPr>
                <w:rFonts w:hint="eastAsia" w:ascii="Times New Roman" w:hAnsi="Times New Roman" w:eastAsia="宋体" w:cs="Times New Roman"/>
                <w:i w:val="0"/>
                <w:color w:val="000000"/>
                <w:kern w:val="0"/>
                <w:sz w:val="21"/>
                <w:szCs w:val="21"/>
                <w:u w:val="none"/>
                <w:lang w:val="en-US" w:eastAsia="zh-CN" w:bidi="ar"/>
              </w:rPr>
            </w:pPr>
          </w:p>
        </w:tc>
        <w:tc>
          <w:tcPr>
            <w:tcW w:w="484" w:type="pct"/>
            <w:noWrap w:val="0"/>
            <w:vAlign w:val="center"/>
          </w:tcPr>
          <w:p>
            <w:pPr>
              <w:jc w:val="center"/>
              <w:rPr>
                <w:color w:val="000000"/>
              </w:rPr>
            </w:pPr>
            <w:r>
              <w:rPr>
                <w:rFonts w:hint="eastAsia"/>
                <w:color w:val="000000"/>
              </w:rPr>
              <w:t>4-硝基苯胺</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12</w:t>
            </w:r>
          </w:p>
        </w:tc>
        <w:tc>
          <w:tcPr>
            <w:tcW w:w="268" w:type="pct"/>
            <w:vMerge w:val="continue"/>
            <w:noWrap w:val="0"/>
            <w:vAlign w:val="center"/>
          </w:tcPr>
          <w:p>
            <w:pPr>
              <w:jc w:val="center"/>
              <w:rPr>
                <w:rFonts w:hint="eastAsia" w:ascii="Times New Roman" w:hAnsi="Times New Roman" w:eastAsia="宋体" w:cs="Times New Roman"/>
                <w:i w:val="0"/>
                <w:color w:val="000000"/>
                <w:kern w:val="0"/>
                <w:sz w:val="21"/>
                <w:szCs w:val="21"/>
                <w:u w:val="none"/>
                <w:lang w:val="en-US" w:eastAsia="zh-CN" w:bidi="ar"/>
              </w:rPr>
            </w:pPr>
          </w:p>
        </w:tc>
        <w:tc>
          <w:tcPr>
            <w:tcW w:w="484" w:type="pct"/>
            <w:noWrap w:val="0"/>
            <w:vAlign w:val="center"/>
          </w:tcPr>
          <w:p>
            <w:pPr>
              <w:jc w:val="center"/>
              <w:rPr>
                <w:color w:val="000000"/>
              </w:rPr>
            </w:pPr>
            <w:r>
              <w:rPr>
                <w:rFonts w:hint="eastAsia"/>
                <w:color w:val="000000"/>
              </w:rPr>
              <w:t>3-硝基苯胺</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13</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2-氯酚</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14</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苯并(a)蒽</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15</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苯并(a)芘</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16</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苯并(b)荧蒽</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17</w:t>
            </w:r>
          </w:p>
        </w:tc>
        <w:tc>
          <w:tcPr>
            <w:tcW w:w="75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苯并(k)荧蒽</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18</w:t>
            </w:r>
          </w:p>
        </w:tc>
        <w:tc>
          <w:tcPr>
            <w:tcW w:w="753" w:type="pct"/>
            <w:gridSpan w:val="2"/>
            <w:noWrap w:val="0"/>
            <w:vAlign w:val="center"/>
          </w:tcPr>
          <w:p>
            <w:pPr>
              <w:jc w:val="center"/>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䓛</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19</w:t>
            </w:r>
          </w:p>
        </w:tc>
        <w:tc>
          <w:tcPr>
            <w:tcW w:w="753" w:type="pct"/>
            <w:gridSpan w:val="2"/>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color w:val="000000"/>
              </w:rPr>
              <w:t>二苯并(a，h)蒽</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20</w:t>
            </w:r>
          </w:p>
        </w:tc>
        <w:tc>
          <w:tcPr>
            <w:tcW w:w="753" w:type="pct"/>
            <w:gridSpan w:val="2"/>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color w:val="000000"/>
              </w:rPr>
              <w:t>茚并(1,2,3-cd)芘</w:t>
            </w:r>
          </w:p>
        </w:tc>
        <w:tc>
          <w:tcPr>
            <w:tcW w:w="802" w:type="pct"/>
            <w:noWrap w:val="0"/>
            <w:vAlign w:val="center"/>
          </w:tcPr>
          <w:p>
            <w:pPr>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21</w:t>
            </w:r>
          </w:p>
        </w:tc>
        <w:tc>
          <w:tcPr>
            <w:tcW w:w="753" w:type="pct"/>
            <w:gridSpan w:val="2"/>
            <w:noWrap w:val="0"/>
            <w:vAlign w:val="center"/>
          </w:tcPr>
          <w:p>
            <w:pPr>
              <w:jc w:val="center"/>
              <w:rPr>
                <w:rFonts w:hint="eastAsia"/>
                <w:color w:val="000000"/>
              </w:rPr>
            </w:pPr>
            <w:r>
              <w:rPr>
                <w:rFonts w:hint="eastAsia"/>
                <w:color w:val="000000"/>
              </w:rPr>
              <w:t>萘</w:t>
            </w:r>
          </w:p>
        </w:tc>
        <w:tc>
          <w:tcPr>
            <w:tcW w:w="802" w:type="pct"/>
            <w:noWrap w:val="0"/>
            <w:vAlign w:val="center"/>
          </w:tcPr>
          <w:p>
            <w:pPr>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mg/kg</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bl>
    <w:p>
      <w:pPr>
        <w:rPr>
          <w:rFonts w:hint="eastAsia"/>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6土壤</w:t>
      </w:r>
      <w:r>
        <w:rPr>
          <w:rFonts w:hint="default" w:ascii="Times New Roman" w:hAnsi="Times New Roman" w:eastAsia="宋体" w:cs="Times New Roman"/>
          <w:b/>
          <w:color w:val="auto"/>
          <w:sz w:val="28"/>
          <w:szCs w:val="28"/>
          <w:highlight w:val="none"/>
          <w:lang w:val="en-US" w:eastAsia="zh-CN"/>
        </w:rPr>
        <w:t>检测结果</w:t>
      </w:r>
    </w:p>
    <w:tbl>
      <w:tblPr>
        <w:tblStyle w:val="17"/>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237"/>
        <w:gridCol w:w="1263"/>
        <w:gridCol w:w="1103"/>
        <w:gridCol w:w="1103"/>
        <w:gridCol w:w="1103"/>
        <w:gridCol w:w="1103"/>
        <w:gridCol w:w="11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编号</w:t>
            </w:r>
          </w:p>
        </w:tc>
        <w:tc>
          <w:tcPr>
            <w:tcW w:w="7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741"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检测点位及取样日期</w:t>
            </w:r>
          </w:p>
        </w:tc>
        <w:tc>
          <w:tcPr>
            <w:tcW w:w="3239" w:type="pct"/>
            <w:gridSpan w:val="5"/>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2022.6.10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7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7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1103" w:type="dxa"/>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1#污水处理区表层样</w:t>
            </w:r>
          </w:p>
        </w:tc>
        <w:tc>
          <w:tcPr>
            <w:tcW w:w="1103" w:type="dxa"/>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2#渗滤液收集池表层样</w:t>
            </w:r>
          </w:p>
        </w:tc>
        <w:tc>
          <w:tcPr>
            <w:tcW w:w="1103" w:type="dxa"/>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3#填埋区东南侧表层样</w:t>
            </w:r>
          </w:p>
        </w:tc>
        <w:tc>
          <w:tcPr>
            <w:tcW w:w="1103" w:type="dxa"/>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4#填埋区西北侧表层样</w:t>
            </w:r>
          </w:p>
        </w:tc>
        <w:tc>
          <w:tcPr>
            <w:tcW w:w="1109" w:type="dxa"/>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5#生活办公区表层样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726"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741"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1103" w:type="dxa"/>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DW083100610-表层-VOCs</w:t>
            </w:r>
          </w:p>
        </w:tc>
        <w:tc>
          <w:tcPr>
            <w:tcW w:w="1103" w:type="dxa"/>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DW083110610-表层-VOCs</w:t>
            </w:r>
          </w:p>
        </w:tc>
        <w:tc>
          <w:tcPr>
            <w:tcW w:w="1103" w:type="dxa"/>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DW083120610-表层-VOCs</w:t>
            </w:r>
          </w:p>
        </w:tc>
        <w:tc>
          <w:tcPr>
            <w:tcW w:w="1103" w:type="dxa"/>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DW083130610-表层-VOCs</w:t>
            </w:r>
          </w:p>
        </w:tc>
        <w:tc>
          <w:tcPr>
            <w:tcW w:w="1109" w:type="dxa"/>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DW083140610-表层-VOCs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1</w:t>
            </w:r>
          </w:p>
        </w:tc>
        <w:tc>
          <w:tcPr>
            <w:tcW w:w="726"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olor w:val="000000"/>
              </w:rPr>
              <w:t>四氯化碳</w:t>
            </w:r>
          </w:p>
        </w:tc>
        <w:tc>
          <w:tcPr>
            <w:tcW w:w="741" w:type="pct"/>
            <w:noWrap w:val="0"/>
            <w:vAlign w:val="center"/>
          </w:tcPr>
          <w:p>
            <w:pPr>
              <w:spacing w:line="240" w:lineRule="auto"/>
              <w:jc w:val="center"/>
              <w:rPr>
                <w:rFonts w:hint="default" w:ascii="Times New Roman" w:hAnsi="Times New Roman" w:eastAsia="宋体" w:cs="Times New Roman"/>
                <w:color w:val="000000"/>
                <w:kern w:val="2"/>
                <w:sz w:val="21"/>
                <w:szCs w:val="21"/>
                <w:u w:val="none"/>
                <w:lang w:val="en-US" w:eastAsia="zh-CN" w:bidi="ar-SA"/>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w:t>
            </w:r>
          </w:p>
        </w:tc>
        <w:tc>
          <w:tcPr>
            <w:tcW w:w="726" w:type="pct"/>
            <w:noWrap w:val="0"/>
            <w:vAlign w:val="center"/>
          </w:tcPr>
          <w:p>
            <w:pPr>
              <w:jc w:val="center"/>
              <w:rPr>
                <w:rFonts w:hint="default"/>
                <w:color w:val="000000"/>
                <w:kern w:val="2"/>
                <w:sz w:val="21"/>
                <w:szCs w:val="24"/>
                <w:lang w:val="en-US" w:eastAsia="zh-CN" w:bidi="ar-SA"/>
              </w:rPr>
            </w:pPr>
            <w:r>
              <w:rPr>
                <w:rFonts w:hint="eastAsia"/>
                <w:color w:val="000000"/>
              </w:rPr>
              <w:t>氯仿</w:t>
            </w:r>
          </w:p>
        </w:tc>
        <w:tc>
          <w:tcPr>
            <w:tcW w:w="741" w:type="pct"/>
            <w:noWrap w:val="0"/>
            <w:vAlign w:val="center"/>
          </w:tcPr>
          <w:p>
            <w:pPr>
              <w:spacing w:line="240" w:lineRule="auto"/>
              <w:jc w:val="center"/>
              <w:rPr>
                <w:rFonts w:hint="default" w:ascii="Times New Roman" w:hAnsi="Times New Roman" w:eastAsia="宋体" w:cs="Times New Roman"/>
                <w:color w:val="000000"/>
                <w:kern w:val="2"/>
                <w:sz w:val="21"/>
                <w:szCs w:val="21"/>
                <w:u w:val="none"/>
                <w:lang w:val="en-US" w:eastAsia="zh-CN" w:bidi="ar-SA"/>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4"/>
                <w:lang w:val="en-US" w:eastAsia="zh-CN" w:bidi="ar-SA"/>
              </w:rPr>
            </w:pPr>
            <w:r>
              <w:rPr>
                <w:rFonts w:hint="eastAsia"/>
                <w:color w:val="000000"/>
              </w:rPr>
              <w:t>氯甲烷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eastAsia="宋体"/>
                <w:color w:val="000000"/>
                <w:kern w:val="2"/>
                <w:sz w:val="21"/>
                <w:szCs w:val="24"/>
                <w:lang w:val="en-US" w:eastAsia="zh-CN" w:bidi="ar-SA"/>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4"/>
                <w:lang w:val="en-US" w:eastAsia="zh-CN" w:bidi="ar-SA"/>
              </w:rPr>
            </w:pPr>
            <w:r>
              <w:rPr>
                <w:rFonts w:hint="eastAsia"/>
                <w:color w:val="000000"/>
              </w:rPr>
              <w:t>1,1-二氯乙烷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5</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4"/>
                <w:lang w:val="en-US" w:eastAsia="zh-CN" w:bidi="ar-SA"/>
              </w:rPr>
            </w:pPr>
            <w:r>
              <w:rPr>
                <w:rFonts w:hint="eastAsia"/>
                <w:color w:val="000000"/>
              </w:rPr>
              <w:t>1,2-二氯乙烷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6</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olor w:val="000000"/>
              </w:rPr>
              <w:t>1,1-二氯乙烯</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7</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olor w:val="000000"/>
              </w:rPr>
              <w:t>顺-1,2-二氯乙烯</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8</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rPr>
              <w:t>反-1,2-二氯乙烯</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9</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二氯甲烷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10</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1,2-二氯丙烷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11</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rPr>
              <w:t>1,1,1,2,-四氯乙烷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12</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1,1,2,2,-四氯乙烷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13</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四氯乙烯</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14</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1,1,1-三氯乙烷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15</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1,1,2-三氯乙烷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16</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三氯乙烯</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17</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1,2,3-三氯丙烷</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18</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氯乙烯</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2"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19</w:t>
            </w:r>
          </w:p>
        </w:tc>
        <w:tc>
          <w:tcPr>
            <w:tcW w:w="72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eastAsia" w:ascii="Times New Roman" w:hAnsi="Times New Roman" w:eastAsia="宋体" w:cs="Times New Roman"/>
                <w:i w:val="0"/>
                <w:color w:val="000000"/>
                <w:kern w:val="0"/>
                <w:sz w:val="21"/>
                <w:szCs w:val="21"/>
                <w:u w:val="none"/>
                <w:lang w:val="en-US" w:eastAsia="zh-CN" w:bidi="ar"/>
              </w:rPr>
            </w:pPr>
            <w:r>
              <w:rPr>
                <w:rFonts w:hint="eastAsia"/>
                <w:color w:val="000000"/>
              </w:rPr>
              <w:t>苯</w:t>
            </w:r>
          </w:p>
        </w:tc>
        <w:tc>
          <w:tcPr>
            <w:tcW w:w="741"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9"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bl>
    <w:p>
      <w:pPr>
        <w:pStyle w:val="2"/>
        <w:rPr>
          <w:rFonts w:hint="eastAsia"/>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lang w:val="en-US" w:eastAsia="zh-CN"/>
        </w:rPr>
      </w:pPr>
      <w:r>
        <w:rPr>
          <w:rFonts w:hint="default" w:ascii="Times New Roman" w:hAnsi="Times New Roman" w:eastAsia="宋体" w:cs="Times New Roman"/>
          <w:b/>
          <w:color w:val="auto"/>
          <w:sz w:val="28"/>
          <w:szCs w:val="28"/>
          <w:highlight w:val="none"/>
          <w:lang w:val="en-US" w:eastAsia="zh-CN"/>
        </w:rPr>
        <w:t>表</w:t>
      </w:r>
      <w:r>
        <w:rPr>
          <w:rFonts w:hint="eastAsia" w:ascii="Times New Roman" w:hAnsi="Times New Roman" w:eastAsia="宋体" w:cs="Times New Roman"/>
          <w:b/>
          <w:color w:val="auto"/>
          <w:sz w:val="28"/>
          <w:szCs w:val="28"/>
          <w:highlight w:val="none"/>
          <w:lang w:val="en-US" w:eastAsia="zh-CN"/>
        </w:rPr>
        <w:t>7土壤</w:t>
      </w:r>
      <w:r>
        <w:rPr>
          <w:rFonts w:hint="default" w:ascii="Times New Roman" w:hAnsi="Times New Roman" w:eastAsia="宋体" w:cs="Times New Roman"/>
          <w:b/>
          <w:color w:val="auto"/>
          <w:sz w:val="28"/>
          <w:szCs w:val="28"/>
          <w:highlight w:val="none"/>
          <w:lang w:val="en-US" w:eastAsia="zh-CN"/>
        </w:rPr>
        <w:t>检测结果</w:t>
      </w:r>
    </w:p>
    <w:tbl>
      <w:tblPr>
        <w:tblStyle w:val="17"/>
        <w:tblW w:w="499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239"/>
        <w:gridCol w:w="1249"/>
        <w:gridCol w:w="1099"/>
        <w:gridCol w:w="1099"/>
        <w:gridCol w:w="1099"/>
        <w:gridCol w:w="1101"/>
        <w:gridCol w:w="111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编号</w:t>
            </w:r>
          </w:p>
        </w:tc>
        <w:tc>
          <w:tcPr>
            <w:tcW w:w="7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检测项目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734" w:type="pct"/>
            <w:vMerge w:val="restart"/>
            <w:tcBorders>
              <w:tl2br w:val="nil"/>
              <w:tr2bl w:val="nil"/>
            </w:tcBorders>
            <w:noWrap w:val="0"/>
            <w:vAlign w:val="center"/>
            <mc:AlternateContent>
              <mc:Choice Requires="wpsCustomData">
                <wpsCustomData:diagonals>
                  <wpsCustomData:diagonal from="30000" to="4100">
                    <wpsCustomData:border w:val="single" w:color="auto" w:sz="4" w:space="0"/>
                  </wpsCustomData:diagonal>
                  <wpsCustomData:diagonal from="30000" to="132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Times New Roman" w:hAnsi="Times New Roman" w:eastAsia="宋体" w:cs="Times New Roman"/>
                <w:b w:val="0"/>
                <w:bCs/>
                <w:color w:val="000000"/>
                <w:sz w:val="21"/>
                <w:szCs w:val="21"/>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单位</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mc:AlternateContent>
                <mc:Choice Requires="wpsCustomData">
                  <wpsCustomData:diagonalParaType/>
                </mc:Choice>
              </mc:AlternateContent>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样品编号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olor w:val="000000"/>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检测点位及取样日期</w:t>
            </w:r>
          </w:p>
        </w:tc>
        <w:tc>
          <w:tcPr>
            <w:tcW w:w="3239" w:type="pct"/>
            <w:gridSpan w:val="5"/>
            <w:tcBorders>
              <w:tl2br w:val="nil"/>
              <w:tr2bl w:val="nil"/>
            </w:tcBorders>
            <w:noWrap w:val="0"/>
            <w:vAlign w:val="center"/>
          </w:tcPr>
          <w:p>
            <w:pPr>
              <w:tabs>
                <w:tab w:val="center" w:pos="1440"/>
              </w:tabs>
              <w:kinsoku w:val="0"/>
              <w:wordWrap w:val="0"/>
              <w:overflowPunct w:val="0"/>
              <w:topLinePunct/>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2022.6.10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7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color w:val="000000"/>
                <w:sz w:val="21"/>
                <w:szCs w:val="21"/>
                <w:highlight w:val="none"/>
                <w:vertAlign w:val="baseline"/>
                <w:lang w:val="en-US" w:eastAsia="zh-CN"/>
              </w:rPr>
            </w:pPr>
          </w:p>
        </w:tc>
        <w:tc>
          <w:tcPr>
            <w:tcW w:w="646"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1#污水处理区表层样</w:t>
            </w:r>
          </w:p>
        </w:tc>
        <w:tc>
          <w:tcPr>
            <w:tcW w:w="646"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2#渗滤液收集池表层样</w:t>
            </w:r>
          </w:p>
        </w:tc>
        <w:tc>
          <w:tcPr>
            <w:tcW w:w="646"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3#填埋区东南侧表层样</w:t>
            </w:r>
          </w:p>
        </w:tc>
        <w:tc>
          <w:tcPr>
            <w:tcW w:w="647"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4#填埋区西北侧表层样</w:t>
            </w:r>
          </w:p>
        </w:tc>
        <w:tc>
          <w:tcPr>
            <w:tcW w:w="654" w:type="pct"/>
            <w:tcBorders>
              <w:tl2br w:val="nil"/>
              <w:tr2bl w:val="nil"/>
            </w:tcBorders>
            <w:noWrap w:val="0"/>
            <w:vAlign w:val="center"/>
          </w:tcPr>
          <w:p>
            <w:pPr>
              <w:tabs>
                <w:tab w:val="center" w:pos="1440"/>
              </w:tabs>
              <w:kinsoku w:val="0"/>
              <w:wordWrap w:val="0"/>
              <w:overflowPunct w:val="0"/>
              <w:topLinePunct/>
              <w:spacing w:line="240" w:lineRule="auto"/>
              <w:jc w:val="center"/>
              <w:rPr>
                <w:rFonts w:hint="eastAsia"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color w:val="000000"/>
                <w:sz w:val="21"/>
                <w:szCs w:val="21"/>
                <w:lang w:val="en-US" w:eastAsia="zh-CN"/>
              </w:rPr>
              <w:t>5#生活办公区表层样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728"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734" w:type="pct"/>
            <w:vMerge w:val="continue"/>
            <w:tcBorders>
              <w:tl2br w:val="nil"/>
              <w:tr2bl w:val="nil"/>
            </w:tcBorders>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val="0"/>
              <w:spacing w:line="240" w:lineRule="auto"/>
              <w:jc w:val="center"/>
              <w:textAlignment w:val="auto"/>
              <w:rPr>
                <w:color w:val="000000"/>
              </w:rPr>
            </w:pPr>
          </w:p>
        </w:tc>
        <w:tc>
          <w:tcPr>
            <w:tcW w:w="646"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DW083100610-表层-VOCs</w:t>
            </w:r>
          </w:p>
        </w:tc>
        <w:tc>
          <w:tcPr>
            <w:tcW w:w="646"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DW083110610-表层-VOCs</w:t>
            </w:r>
          </w:p>
        </w:tc>
        <w:tc>
          <w:tcPr>
            <w:tcW w:w="646"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DW083120610-表层-VOCs</w:t>
            </w:r>
          </w:p>
        </w:tc>
        <w:tc>
          <w:tcPr>
            <w:tcW w:w="647"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DW083130610-表层-VOCs</w:t>
            </w:r>
          </w:p>
        </w:tc>
        <w:tc>
          <w:tcPr>
            <w:tcW w:w="65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i w:val="0"/>
                <w:color w:val="000000"/>
                <w:kern w:val="0"/>
                <w:sz w:val="21"/>
                <w:szCs w:val="21"/>
                <w:u w:val="none"/>
                <w:lang w:val="en-US" w:eastAsia="zh-CN" w:bidi="ar"/>
              </w:rPr>
            </w:pPr>
            <w:r>
              <w:rPr>
                <w:rFonts w:hint="eastAsia" w:ascii="Times New Roman" w:hAnsi="Times New Roman" w:eastAsia="宋体" w:cs="Times New Roman"/>
                <w:b w:val="0"/>
                <w:bCs/>
                <w:i w:val="0"/>
                <w:color w:val="000000"/>
                <w:kern w:val="0"/>
                <w:sz w:val="21"/>
                <w:szCs w:val="21"/>
                <w:u w:val="none"/>
                <w:lang w:val="en-US" w:eastAsia="zh-CN" w:bidi="ar"/>
              </w:rPr>
              <w:t>DW083140610-表层-VOCs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tcBorders>
              <w:tl2br w:val="nil"/>
              <w:tr2bl w:val="nil"/>
            </w:tcBorders>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1</w:t>
            </w:r>
          </w:p>
        </w:tc>
        <w:tc>
          <w:tcPr>
            <w:tcW w:w="728"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olor w:val="000000"/>
              </w:rPr>
              <w:t>氯苯</w:t>
            </w:r>
          </w:p>
        </w:tc>
        <w:tc>
          <w:tcPr>
            <w:tcW w:w="73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6"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54" w:type="pct"/>
            <w:tcBorders>
              <w:tl2br w:val="nil"/>
              <w:tr2bl w:val="nil"/>
            </w:tcBorders>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2</w:t>
            </w:r>
          </w:p>
        </w:tc>
        <w:tc>
          <w:tcPr>
            <w:tcW w:w="72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olor w:val="000000"/>
              </w:rPr>
              <w:t>1,2-二氯苯</w:t>
            </w:r>
          </w:p>
        </w:tc>
        <w:tc>
          <w:tcPr>
            <w:tcW w:w="73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5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3</w:t>
            </w:r>
          </w:p>
        </w:tc>
        <w:tc>
          <w:tcPr>
            <w:tcW w:w="72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color w:val="000000"/>
              </w:rPr>
              <w:t>1,4-二氯苯</w:t>
            </w:r>
          </w:p>
        </w:tc>
        <w:tc>
          <w:tcPr>
            <w:tcW w:w="73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5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4</w:t>
            </w:r>
          </w:p>
        </w:tc>
        <w:tc>
          <w:tcPr>
            <w:tcW w:w="72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乙苯</w:t>
            </w:r>
          </w:p>
        </w:tc>
        <w:tc>
          <w:tcPr>
            <w:tcW w:w="73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5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5</w:t>
            </w:r>
          </w:p>
        </w:tc>
        <w:tc>
          <w:tcPr>
            <w:tcW w:w="72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苯乙烯</w:t>
            </w:r>
          </w:p>
        </w:tc>
        <w:tc>
          <w:tcPr>
            <w:tcW w:w="73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5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6</w:t>
            </w:r>
          </w:p>
        </w:tc>
        <w:tc>
          <w:tcPr>
            <w:tcW w:w="72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甲苯</w:t>
            </w:r>
          </w:p>
        </w:tc>
        <w:tc>
          <w:tcPr>
            <w:tcW w:w="73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5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7</w:t>
            </w:r>
          </w:p>
        </w:tc>
        <w:tc>
          <w:tcPr>
            <w:tcW w:w="72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间二甲苯+对二甲苯</w:t>
            </w:r>
          </w:p>
        </w:tc>
        <w:tc>
          <w:tcPr>
            <w:tcW w:w="73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5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8" w:type="pct"/>
            <w:noWrap w:val="0"/>
            <w:vAlign w:val="center"/>
          </w:tcPr>
          <w:p>
            <w:pPr>
              <w:spacing w:line="240" w:lineRule="auto"/>
              <w:jc w:val="center"/>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sz w:val="21"/>
                <w:szCs w:val="21"/>
                <w:highlight w:val="none"/>
                <w:vertAlign w:val="baseline"/>
                <w:lang w:val="en-US" w:eastAsia="zh-CN"/>
              </w:rPr>
              <w:t>8</w:t>
            </w:r>
          </w:p>
        </w:tc>
        <w:tc>
          <w:tcPr>
            <w:tcW w:w="728"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rPr>
              <w:t>邻二甲苯</w:t>
            </w:r>
          </w:p>
        </w:tc>
        <w:tc>
          <w:tcPr>
            <w:tcW w:w="73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i w:val="0"/>
                <w:color w:val="000000"/>
                <w:kern w:val="0"/>
                <w:sz w:val="21"/>
                <w:szCs w:val="21"/>
                <w:highlight w:val="none"/>
                <w:u w:val="none"/>
                <w:lang w:val="en-US" w:eastAsia="zh-CN" w:bidi="ar"/>
              </w:rPr>
            </w:pPr>
            <w:r>
              <w:rPr>
                <w:rStyle w:val="43"/>
                <w:rFonts w:hint="default" w:ascii="Times New Roman" w:hAnsi="Times New Roman" w:eastAsia="宋体" w:cs="Times New Roman"/>
                <w:color w:val="000000"/>
                <w:sz w:val="21"/>
                <w:szCs w:val="21"/>
              </w:rPr>
              <w:t>μg</w:t>
            </w:r>
            <w:r>
              <w:rPr>
                <w:rFonts w:hint="default" w:ascii="Times New Roman" w:hAnsi="Times New Roman" w:eastAsia="宋体" w:cs="Times New Roman"/>
                <w:i w:val="0"/>
                <w:color w:val="000000"/>
                <w:kern w:val="0"/>
                <w:sz w:val="21"/>
                <w:szCs w:val="21"/>
                <w:highlight w:val="none"/>
                <w:u w:val="none"/>
                <w:lang w:val="en-US" w:eastAsia="zh-CN" w:bidi="ar"/>
              </w:rPr>
              <w:t>/kg</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6"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47"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c>
          <w:tcPr>
            <w:tcW w:w="654" w:type="pct"/>
            <w:noWrap w:val="0"/>
            <w:vAlign w:val="center"/>
          </w:tcPr>
          <w:p>
            <w:pPr>
              <w:keepNext w:val="0"/>
              <w:keepLines w:val="0"/>
              <w:pageBreakBefore w:val="0"/>
              <w:widowControl w:val="0"/>
              <w:kinsoku w:val="0"/>
              <w:wordWrap w:val="0"/>
              <w:overflowPunct w:val="0"/>
              <w:topLinePunct/>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宋体" w:cs="Times New Roman"/>
                <w:b w:val="0"/>
                <w:bCs/>
                <w:color w:val="000000"/>
                <w:kern w:val="2"/>
                <w:sz w:val="21"/>
                <w:szCs w:val="21"/>
                <w:highlight w:val="none"/>
                <w:vertAlign w:val="baseline"/>
                <w:lang w:val="en-US" w:eastAsia="zh-CN" w:bidi="ar-SA"/>
              </w:rPr>
            </w:pPr>
            <w:r>
              <w:rPr>
                <w:rFonts w:hint="eastAsia" w:ascii="Times New Roman" w:hAnsi="Times New Roman" w:eastAsia="宋体" w:cs="Times New Roman"/>
                <w:b w:val="0"/>
                <w:bCs/>
                <w:color w:val="000000"/>
                <w:kern w:val="2"/>
                <w:sz w:val="21"/>
                <w:szCs w:val="21"/>
                <w:highlight w:val="none"/>
                <w:vertAlign w:val="baseline"/>
                <w:lang w:val="en-US" w:eastAsia="zh-CN" w:bidi="ar-SA"/>
              </w:rPr>
              <w:t>以下空白</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i w:val="0"/>
                <w:color w:val="000000"/>
                <w:kern w:val="0"/>
                <w:sz w:val="21"/>
                <w:szCs w:val="21"/>
                <w:highlight w:val="none"/>
                <w:u w:val="none"/>
                <w:lang w:val="en-US" w:eastAsia="zh-CN" w:bidi="ar"/>
              </w:rPr>
            </w:pP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p>
        </w:tc>
      </w:tr>
    </w:tbl>
    <w:p>
      <w:pPr>
        <w:pStyle w:val="2"/>
        <w:ind w:left="0" w:leftChars="0" w:firstLine="480" w:firstLineChars="200"/>
        <w:rPr>
          <w:rFonts w:hint="eastAsia"/>
          <w:lang w:val="en-US" w:eastAsia="zh-CN"/>
        </w:rPr>
      </w:pPr>
      <w:r>
        <w:rPr>
          <w:rFonts w:hint="eastAsia"/>
          <w:lang w:eastAsia="zh-CN"/>
        </w:rPr>
        <w:t>由上表</w:t>
      </w:r>
      <w:r>
        <w:rPr>
          <w:rFonts w:hint="eastAsia"/>
          <w:lang w:val="en-US" w:eastAsia="zh-CN"/>
        </w:rPr>
        <w:t>检测数据可知，该公司各生产隐患单元经防护措施处理后，对土壤及地下水的污染影响较小。</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9"/>
        <w:tabs>
          <w:tab w:val="clear" w:pos="0"/>
        </w:tabs>
        <w:adjustRightInd/>
        <w:snapToGrid/>
        <w:spacing w:before="0" w:after="0" w:line="360" w:lineRule="auto"/>
        <w:rPr>
          <w:rFonts w:hint="default" w:ascii="Times New Roman" w:hAnsi="Times New Roman" w:eastAsia="宋体" w:cs="Times New Roman"/>
          <w:b/>
          <w:bCs/>
          <w:color w:val="auto"/>
          <w:lang w:val="en-US" w:eastAsia="zh-CN"/>
        </w:rPr>
      </w:pPr>
      <w:bookmarkStart w:id="29" w:name="_Toc15284"/>
      <w:bookmarkStart w:id="30" w:name="_Toc6152"/>
      <w:r>
        <w:rPr>
          <w:rFonts w:hint="eastAsia" w:ascii="Times New Roman" w:hAnsi="Times New Roman" w:eastAsia="宋体" w:cs="Times New Roman"/>
          <w:b/>
          <w:bCs/>
          <w:color w:val="auto"/>
          <w:lang w:eastAsia="zh-CN"/>
        </w:rPr>
        <w:t>十、</w:t>
      </w:r>
      <w:r>
        <w:rPr>
          <w:rFonts w:hint="eastAsia" w:ascii="Times New Roman" w:hAnsi="Times New Roman" w:eastAsia="宋体" w:cs="Times New Roman"/>
          <w:b/>
          <w:bCs/>
          <w:color w:val="auto"/>
          <w:lang w:val="en-US" w:eastAsia="zh-CN"/>
        </w:rPr>
        <w:t>结论</w:t>
      </w:r>
      <w:bookmarkEnd w:id="29"/>
      <w:bookmarkEnd w:id="30"/>
    </w:p>
    <w:p>
      <w:pPr>
        <w:spacing w:line="360" w:lineRule="auto"/>
        <w:ind w:firstLine="480" w:firstLineChars="200"/>
        <w:rPr>
          <w:rFonts w:hint="default"/>
          <w:sz w:val="24"/>
          <w:szCs w:val="24"/>
          <w:lang w:val="en-US" w:eastAsia="zh-CN"/>
        </w:rPr>
      </w:pPr>
      <w:r>
        <w:rPr>
          <w:rFonts w:hint="eastAsia"/>
          <w:sz w:val="24"/>
          <w:szCs w:val="24"/>
          <w:lang w:val="en-US" w:eastAsia="zh-CN"/>
        </w:rPr>
        <w:t>根据监测报告数据可知，该公司土壤1#污水处理区表层样、2#渗滤液收集池表层样、3#填埋区东南侧表层样、4#填埋区西北侧表层样、5#生活办公区表层样点位中各监测因子均符合《土壤环境质量建设用地土壤污染风险管控标准（试行）》（GB36600-2018）标准限值要求；地下水1#污水处理站下游30m监测井；2#东侧50m监测井；3#彭家大庄水井点位中各监测因子均符合《地下水质量标准》（GB/T 14848）标准限值要求。</w:t>
      </w:r>
    </w:p>
    <w:p>
      <w:pPr>
        <w:jc w:val="center"/>
      </w:pPr>
    </w:p>
    <w:p>
      <w:pPr>
        <w:spacing w:line="360" w:lineRule="auto"/>
        <w:ind w:firstLine="480" w:firstLineChars="200"/>
        <w:rPr>
          <w:rFonts w:hint="eastAsia" w:ascii="Times New Roman" w:hAnsi="Times New Roman" w:eastAsia="宋体" w:cs="Times New Roman"/>
          <w:sz w:val="24"/>
          <w:szCs w:val="24"/>
          <w:lang w:eastAsia="zh-CN"/>
        </w:rPr>
      </w:pPr>
    </w:p>
    <w:sectPr>
      <w:pgSz w:w="11906" w:h="16838"/>
      <w:pgMar w:top="1440" w:right="1803" w:bottom="1440" w:left="180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I</w:t>
                          </w:r>
                          <w:r>
                            <w:fldChar w:fldCharType="end"/>
                          </w:r>
                          <w:r>
                            <w:t xml:space="preserve"> 页 共 </w:t>
                          </w:r>
                          <w:r>
                            <w:rPr>
                              <w:rFonts w:hint="eastAsia"/>
                              <w:lang w:val="en-US" w:eastAsia="zh-CN"/>
                            </w:rPr>
                            <w:t>28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I</w:t>
                    </w:r>
                    <w:r>
                      <w:fldChar w:fldCharType="end"/>
                    </w:r>
                    <w:r>
                      <w:t xml:space="preserve"> 页 共 </w:t>
                    </w:r>
                    <w:r>
                      <w:rPr>
                        <w:rFonts w:hint="eastAsia"/>
                        <w:lang w:val="en-US" w:eastAsia="zh-CN"/>
                      </w:rPr>
                      <w:t>28</w:t>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pPr>
                          <w:r>
                            <w:t xml:space="preserve">第 </w:t>
                          </w:r>
                          <w:r>
                            <w:fldChar w:fldCharType="begin"/>
                          </w:r>
                          <w:r>
                            <w:instrText xml:space="preserve"> PAGE  \* MERGEFORMAT </w:instrText>
                          </w:r>
                          <w:r>
                            <w:fldChar w:fldCharType="separate"/>
                          </w:r>
                          <w:r>
                            <w:t>2</w:t>
                          </w:r>
                          <w:r>
                            <w:fldChar w:fldCharType="end"/>
                          </w:r>
                          <w:r>
                            <w:t xml:space="preserve"> 页 </w:t>
                          </w:r>
                          <w:r>
                            <w:rPr>
                              <w:rFonts w:hint="eastAsia"/>
                              <w:lang w:val="en-US" w:eastAsia="zh-CN"/>
                            </w:rPr>
                            <w:t>28</w:t>
                          </w:r>
                          <w:r>
                            <w:t>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w:t>
                    </w:r>
                    <w:r>
                      <w:fldChar w:fldCharType="end"/>
                    </w:r>
                    <w:r>
                      <w:t xml:space="preserve"> 页 </w:t>
                    </w:r>
                    <w:r>
                      <w:rPr>
                        <w:rFonts w:hint="eastAsia"/>
                        <w:lang w:val="en-US" w:eastAsia="zh-CN"/>
                      </w:rPr>
                      <w:t>28</w:t>
                    </w:r>
                    <w:r>
                      <w:t>页</w:t>
                    </w:r>
                  </w:p>
                </w:txbxContent>
              </v:textbox>
            </v:shape>
          </w:pict>
        </mc:Fallback>
      </mc:AlternateContent>
    </w:r>
  </w:p>
  <w:p>
    <w:pPr>
      <w:jc w:val="right"/>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Ansi="宋体"/>
      </w:rPr>
    </w:pPr>
    <w:r>
      <w:rPr>
        <w:rFonts w:hint="eastAsia" w:hAnsi="宋体"/>
        <w:lang w:eastAsia="zh-CN"/>
      </w:rPr>
      <w:t>桐柏县生活垃圾处理厂（南阳市双信物业管理有限公司）</w:t>
    </w:r>
    <w:r>
      <w:rPr>
        <w:rFonts w:hint="eastAsia" w:hAnsi="宋体"/>
      </w:rPr>
      <w:t>土壤及地下水自行监测方案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13C2F"/>
    <w:multiLevelType w:val="singleLevel"/>
    <w:tmpl w:val="9F713C2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lYjA1NzhlNDc0ZGY3MDkxYWIzOGNhNzkzNTQxODYifQ=="/>
  </w:docVars>
  <w:rsids>
    <w:rsidRoot w:val="00552751"/>
    <w:rsid w:val="00000217"/>
    <w:rsid w:val="00000434"/>
    <w:rsid w:val="00011516"/>
    <w:rsid w:val="00053C20"/>
    <w:rsid w:val="0006312C"/>
    <w:rsid w:val="000638B5"/>
    <w:rsid w:val="0007388D"/>
    <w:rsid w:val="00075F44"/>
    <w:rsid w:val="000A0BB9"/>
    <w:rsid w:val="000B5AA7"/>
    <w:rsid w:val="000D7136"/>
    <w:rsid w:val="000F1FE8"/>
    <w:rsid w:val="0012657F"/>
    <w:rsid w:val="001756B3"/>
    <w:rsid w:val="0019574C"/>
    <w:rsid w:val="0020407B"/>
    <w:rsid w:val="002311AA"/>
    <w:rsid w:val="0025362F"/>
    <w:rsid w:val="00254686"/>
    <w:rsid w:val="002B3539"/>
    <w:rsid w:val="002E135E"/>
    <w:rsid w:val="00316BE5"/>
    <w:rsid w:val="00326828"/>
    <w:rsid w:val="00340FA2"/>
    <w:rsid w:val="00367C73"/>
    <w:rsid w:val="003C5BE0"/>
    <w:rsid w:val="003E1368"/>
    <w:rsid w:val="00410DBA"/>
    <w:rsid w:val="00481A84"/>
    <w:rsid w:val="004C2CCF"/>
    <w:rsid w:val="00533161"/>
    <w:rsid w:val="00552751"/>
    <w:rsid w:val="00561F8D"/>
    <w:rsid w:val="00563CAF"/>
    <w:rsid w:val="0068251A"/>
    <w:rsid w:val="00685F8F"/>
    <w:rsid w:val="006B10B7"/>
    <w:rsid w:val="006B4157"/>
    <w:rsid w:val="0071332D"/>
    <w:rsid w:val="00725194"/>
    <w:rsid w:val="00766F4E"/>
    <w:rsid w:val="00780052"/>
    <w:rsid w:val="00792EF2"/>
    <w:rsid w:val="007A3AA3"/>
    <w:rsid w:val="007B0278"/>
    <w:rsid w:val="00853A43"/>
    <w:rsid w:val="008620D7"/>
    <w:rsid w:val="008A34D9"/>
    <w:rsid w:val="008C0C61"/>
    <w:rsid w:val="008C4534"/>
    <w:rsid w:val="008E2734"/>
    <w:rsid w:val="00946BDB"/>
    <w:rsid w:val="00947E90"/>
    <w:rsid w:val="00963A12"/>
    <w:rsid w:val="009673F3"/>
    <w:rsid w:val="009837F8"/>
    <w:rsid w:val="00992352"/>
    <w:rsid w:val="009F38A8"/>
    <w:rsid w:val="00A16942"/>
    <w:rsid w:val="00A31F11"/>
    <w:rsid w:val="00A96FC2"/>
    <w:rsid w:val="00AA462D"/>
    <w:rsid w:val="00B25A2D"/>
    <w:rsid w:val="00BB3E04"/>
    <w:rsid w:val="00C13655"/>
    <w:rsid w:val="00C50F69"/>
    <w:rsid w:val="00CB4774"/>
    <w:rsid w:val="00CB71E9"/>
    <w:rsid w:val="00CE3B0A"/>
    <w:rsid w:val="00D46E07"/>
    <w:rsid w:val="00D5197D"/>
    <w:rsid w:val="00D5714C"/>
    <w:rsid w:val="00DB2C3A"/>
    <w:rsid w:val="00DF3B41"/>
    <w:rsid w:val="00E55D0B"/>
    <w:rsid w:val="00E92572"/>
    <w:rsid w:val="00EA1634"/>
    <w:rsid w:val="00F073E9"/>
    <w:rsid w:val="00FA409E"/>
    <w:rsid w:val="00FE17C6"/>
    <w:rsid w:val="00FF0FD5"/>
    <w:rsid w:val="00FF7F46"/>
    <w:rsid w:val="03535ED0"/>
    <w:rsid w:val="04926606"/>
    <w:rsid w:val="05ED602D"/>
    <w:rsid w:val="06395F46"/>
    <w:rsid w:val="07866556"/>
    <w:rsid w:val="079F38F7"/>
    <w:rsid w:val="08DE6D73"/>
    <w:rsid w:val="09207EA3"/>
    <w:rsid w:val="09432977"/>
    <w:rsid w:val="0A0F49BB"/>
    <w:rsid w:val="0D366982"/>
    <w:rsid w:val="0DE10B00"/>
    <w:rsid w:val="1033163B"/>
    <w:rsid w:val="109D4673"/>
    <w:rsid w:val="10CD52E9"/>
    <w:rsid w:val="12CE4417"/>
    <w:rsid w:val="133959EA"/>
    <w:rsid w:val="13434F53"/>
    <w:rsid w:val="140A025E"/>
    <w:rsid w:val="14343305"/>
    <w:rsid w:val="15AF321A"/>
    <w:rsid w:val="15EE7D7F"/>
    <w:rsid w:val="1633057F"/>
    <w:rsid w:val="16F93979"/>
    <w:rsid w:val="17F6226D"/>
    <w:rsid w:val="1980041E"/>
    <w:rsid w:val="1A637516"/>
    <w:rsid w:val="1AED5F15"/>
    <w:rsid w:val="1C9A0C60"/>
    <w:rsid w:val="1CE01ECC"/>
    <w:rsid w:val="1D5A0FB9"/>
    <w:rsid w:val="1D881B8B"/>
    <w:rsid w:val="1DC84DD5"/>
    <w:rsid w:val="1DDE7C3B"/>
    <w:rsid w:val="1ECB29D3"/>
    <w:rsid w:val="1F0112D9"/>
    <w:rsid w:val="1F361877"/>
    <w:rsid w:val="211B2BE5"/>
    <w:rsid w:val="217553A6"/>
    <w:rsid w:val="22BE2F8B"/>
    <w:rsid w:val="23392CA4"/>
    <w:rsid w:val="235A3C5F"/>
    <w:rsid w:val="247B2D9C"/>
    <w:rsid w:val="252243D3"/>
    <w:rsid w:val="26AC6252"/>
    <w:rsid w:val="275E6BA3"/>
    <w:rsid w:val="27C72314"/>
    <w:rsid w:val="2A125DD4"/>
    <w:rsid w:val="2B32236C"/>
    <w:rsid w:val="2B554A7A"/>
    <w:rsid w:val="2B560404"/>
    <w:rsid w:val="2B790267"/>
    <w:rsid w:val="2C2D04AE"/>
    <w:rsid w:val="2CBF387E"/>
    <w:rsid w:val="2D9559C9"/>
    <w:rsid w:val="2DB5045E"/>
    <w:rsid w:val="312501D6"/>
    <w:rsid w:val="3358439F"/>
    <w:rsid w:val="336244FF"/>
    <w:rsid w:val="33BD6F0A"/>
    <w:rsid w:val="34152BEC"/>
    <w:rsid w:val="383B3711"/>
    <w:rsid w:val="392957F1"/>
    <w:rsid w:val="3C0F7185"/>
    <w:rsid w:val="3D6D6B3D"/>
    <w:rsid w:val="3DF65C15"/>
    <w:rsid w:val="3F742E53"/>
    <w:rsid w:val="409606DE"/>
    <w:rsid w:val="41B548DF"/>
    <w:rsid w:val="4216703F"/>
    <w:rsid w:val="428B1739"/>
    <w:rsid w:val="436F3D4A"/>
    <w:rsid w:val="44981E56"/>
    <w:rsid w:val="44DC1D64"/>
    <w:rsid w:val="454F6915"/>
    <w:rsid w:val="471E6B25"/>
    <w:rsid w:val="482D6803"/>
    <w:rsid w:val="492F39C8"/>
    <w:rsid w:val="49864D07"/>
    <w:rsid w:val="4A7B2DF2"/>
    <w:rsid w:val="4BDF12E5"/>
    <w:rsid w:val="4C2C3F0F"/>
    <w:rsid w:val="4E352664"/>
    <w:rsid w:val="4F1B7ECD"/>
    <w:rsid w:val="50184995"/>
    <w:rsid w:val="50832318"/>
    <w:rsid w:val="53E94120"/>
    <w:rsid w:val="545F11AC"/>
    <w:rsid w:val="547F0676"/>
    <w:rsid w:val="54F925B7"/>
    <w:rsid w:val="552F5653"/>
    <w:rsid w:val="556410D2"/>
    <w:rsid w:val="55691955"/>
    <w:rsid w:val="562D55D1"/>
    <w:rsid w:val="57473883"/>
    <w:rsid w:val="58A77F99"/>
    <w:rsid w:val="5919175A"/>
    <w:rsid w:val="5AE54504"/>
    <w:rsid w:val="5C2B112F"/>
    <w:rsid w:val="5C943BE2"/>
    <w:rsid w:val="5D3C4C2F"/>
    <w:rsid w:val="5EBB33FB"/>
    <w:rsid w:val="5EC23B28"/>
    <w:rsid w:val="5F08686A"/>
    <w:rsid w:val="60B535DE"/>
    <w:rsid w:val="60D75190"/>
    <w:rsid w:val="611B4725"/>
    <w:rsid w:val="634560D1"/>
    <w:rsid w:val="63A30676"/>
    <w:rsid w:val="65A66D1A"/>
    <w:rsid w:val="668D5887"/>
    <w:rsid w:val="66A01F9C"/>
    <w:rsid w:val="681F20D5"/>
    <w:rsid w:val="6A33074B"/>
    <w:rsid w:val="6AEA0CCD"/>
    <w:rsid w:val="6AF85560"/>
    <w:rsid w:val="6C4C2E2A"/>
    <w:rsid w:val="6D7F4E97"/>
    <w:rsid w:val="6F790273"/>
    <w:rsid w:val="6F7F6492"/>
    <w:rsid w:val="6F821B92"/>
    <w:rsid w:val="710D2590"/>
    <w:rsid w:val="71BA5699"/>
    <w:rsid w:val="727C4190"/>
    <w:rsid w:val="75034B9F"/>
    <w:rsid w:val="7615348A"/>
    <w:rsid w:val="78AD3B0E"/>
    <w:rsid w:val="7C7019E8"/>
    <w:rsid w:val="7CF94257"/>
    <w:rsid w:val="7D84389F"/>
    <w:rsid w:val="7D9305D3"/>
    <w:rsid w:val="7DA06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qFormat/>
    <w:uiPriority w:val="0"/>
    <w:pPr>
      <w:keepNext/>
      <w:keepLines/>
      <w:spacing w:before="260" w:after="260" w:line="413" w:lineRule="auto"/>
      <w:outlineLvl w:val="1"/>
    </w:pPr>
    <w:rPr>
      <w:rFonts w:ascii="Cambria" w:hAnsi="Cambria" w:eastAsia="黑体" w:cs="Times New Roman"/>
      <w:bCs/>
      <w:kern w:val="0"/>
      <w:sz w:val="30"/>
      <w:szCs w:val="32"/>
    </w:rPr>
  </w:style>
  <w:style w:type="paragraph" w:styleId="5">
    <w:name w:val="heading 3"/>
    <w:basedOn w:val="1"/>
    <w:next w:val="1"/>
    <w:link w:val="24"/>
    <w:qFormat/>
    <w:uiPriority w:val="0"/>
    <w:pPr>
      <w:keepNext/>
      <w:keepLines/>
      <w:spacing w:before="260" w:after="260" w:line="413" w:lineRule="auto"/>
      <w:outlineLvl w:val="2"/>
    </w:pPr>
    <w:rPr>
      <w:rFonts w:ascii="Times New Roman" w:hAnsi="Times New Roman" w:eastAsia="黑体" w:cs="Times New Roman"/>
      <w:bCs/>
      <w:kern w:val="0"/>
      <w:sz w:val="28"/>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snapToGrid w:val="0"/>
      <w:spacing w:line="408" w:lineRule="auto"/>
      <w:ind w:left="-113" w:right="-510" w:firstLine="510"/>
    </w:pPr>
    <w:rPr>
      <w:sz w:val="24"/>
      <w:szCs w:val="20"/>
    </w:rPr>
  </w:style>
  <w:style w:type="paragraph" w:styleId="6">
    <w:name w:val="caption"/>
    <w:basedOn w:val="1"/>
    <w:next w:val="1"/>
    <w:qFormat/>
    <w:uiPriority w:val="0"/>
    <w:rPr>
      <w:rFonts w:ascii="Cambria" w:hAnsi="Cambria" w:eastAsia="黑体" w:cs="Times New Roman"/>
      <w:sz w:val="20"/>
      <w:szCs w:val="20"/>
    </w:rPr>
  </w:style>
  <w:style w:type="paragraph" w:styleId="7">
    <w:name w:val="Document Map"/>
    <w:basedOn w:val="1"/>
    <w:link w:val="34"/>
    <w:semiHidden/>
    <w:unhideWhenUsed/>
    <w:qFormat/>
    <w:uiPriority w:val="99"/>
    <w:rPr>
      <w:rFonts w:ascii="宋体" w:eastAsia="宋体"/>
      <w:sz w:val="18"/>
      <w:szCs w:val="18"/>
    </w:rPr>
  </w:style>
  <w:style w:type="paragraph" w:styleId="8">
    <w:name w:val="Body Text Indent"/>
    <w:basedOn w:val="1"/>
    <w:semiHidden/>
    <w:unhideWhenUsed/>
    <w:qFormat/>
    <w:uiPriority w:val="99"/>
    <w:pPr>
      <w:spacing w:after="120" w:afterLines="0" w:afterAutospacing="0"/>
      <w:ind w:left="420" w:leftChars="200"/>
    </w:pPr>
  </w:style>
  <w:style w:type="paragraph" w:styleId="9">
    <w:name w:val="Plain Text"/>
    <w:basedOn w:val="1"/>
    <w:link w:val="39"/>
    <w:qFormat/>
    <w:uiPriority w:val="0"/>
    <w:rPr>
      <w:rFonts w:ascii="宋体" w:hAnsi="Courier New" w:eastAsia="宋体" w:cs="黑体"/>
      <w:szCs w:val="20"/>
    </w:rPr>
  </w:style>
  <w:style w:type="paragraph" w:styleId="10">
    <w:name w:val="Balloon Text"/>
    <w:basedOn w:val="1"/>
    <w:link w:val="30"/>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rPr>
      <w:rFonts w:ascii="Calibri" w:hAnsi="Calibri" w:eastAsia="宋体" w:cs="黑体"/>
    </w:rPr>
  </w:style>
  <w:style w:type="paragraph" w:styleId="14">
    <w:name w:val="toc 2"/>
    <w:basedOn w:val="1"/>
    <w:next w:val="1"/>
    <w:qFormat/>
    <w:uiPriority w:val="39"/>
    <w:pPr>
      <w:ind w:left="420" w:leftChars="200"/>
    </w:pPr>
    <w:rPr>
      <w:rFonts w:ascii="Calibri" w:hAnsi="Calibri" w:eastAsia="宋体" w:cs="黑体"/>
    </w:rPr>
  </w:style>
  <w:style w:type="paragraph" w:styleId="15">
    <w:name w:val="Body Text First Indent 2"/>
    <w:basedOn w:val="8"/>
    <w:semiHidden/>
    <w:unhideWhenUsed/>
    <w:qFormat/>
    <w:uiPriority w:val="99"/>
    <w:pPr>
      <w:ind w:firstLine="420" w:firstLineChars="200"/>
    </w:p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9">
    <w:name w:val="Hyperlink"/>
    <w:qFormat/>
    <w:uiPriority w:val="99"/>
    <w:rPr>
      <w:color w:val="0000FF"/>
      <w:u w:val="single"/>
    </w:rPr>
  </w:style>
  <w:style w:type="character" w:customStyle="1" w:styleId="20">
    <w:name w:val="标题 2 Char"/>
    <w:basedOn w:val="18"/>
    <w:link w:val="4"/>
    <w:qFormat/>
    <w:uiPriority w:val="0"/>
    <w:rPr>
      <w:rFonts w:ascii="Cambria" w:hAnsi="Cambria" w:eastAsia="黑体" w:cs="Times New Roman"/>
      <w:bCs/>
      <w:kern w:val="0"/>
      <w:sz w:val="30"/>
      <w:szCs w:val="32"/>
    </w:rPr>
  </w:style>
  <w:style w:type="character" w:customStyle="1" w:styleId="21">
    <w:name w:val="标题 1 Char"/>
    <w:basedOn w:val="18"/>
    <w:link w:val="3"/>
    <w:qFormat/>
    <w:uiPriority w:val="9"/>
    <w:rPr>
      <w:b/>
      <w:bCs/>
      <w:kern w:val="44"/>
      <w:sz w:val="44"/>
      <w:szCs w:val="44"/>
    </w:rPr>
  </w:style>
  <w:style w:type="character" w:customStyle="1" w:styleId="22">
    <w:name w:val="页眉 Char"/>
    <w:basedOn w:val="18"/>
    <w:link w:val="12"/>
    <w:qFormat/>
    <w:uiPriority w:val="0"/>
    <w:rPr>
      <w:sz w:val="18"/>
      <w:szCs w:val="18"/>
    </w:rPr>
  </w:style>
  <w:style w:type="character" w:customStyle="1" w:styleId="23">
    <w:name w:val="页脚 Char"/>
    <w:basedOn w:val="18"/>
    <w:link w:val="11"/>
    <w:qFormat/>
    <w:uiPriority w:val="99"/>
    <w:rPr>
      <w:sz w:val="18"/>
      <w:szCs w:val="18"/>
    </w:rPr>
  </w:style>
  <w:style w:type="character" w:customStyle="1" w:styleId="24">
    <w:name w:val="标题 3 Char"/>
    <w:basedOn w:val="18"/>
    <w:link w:val="5"/>
    <w:qFormat/>
    <w:uiPriority w:val="0"/>
    <w:rPr>
      <w:rFonts w:ascii="Times New Roman" w:hAnsi="Times New Roman" w:eastAsia="黑体" w:cs="Times New Roman"/>
      <w:bCs/>
      <w:kern w:val="0"/>
      <w:sz w:val="28"/>
      <w:szCs w:val="32"/>
    </w:rPr>
  </w:style>
  <w:style w:type="paragraph" w:customStyle="1" w:styleId="25">
    <w:name w:val="p16"/>
    <w:basedOn w:val="1"/>
    <w:qFormat/>
    <w:uiPriority w:val="0"/>
    <w:pPr>
      <w:widowControl/>
      <w:topLinePunct/>
      <w:snapToGrid w:val="0"/>
      <w:spacing w:line="520" w:lineRule="atLeast"/>
      <w:ind w:firstLine="567"/>
    </w:pPr>
    <w:rPr>
      <w:rFonts w:ascii="Calibri" w:hAnsi="Calibri" w:eastAsia="宋体" w:cs="宋体"/>
      <w:spacing w:val="6"/>
      <w:kern w:val="0"/>
      <w:sz w:val="24"/>
      <w:szCs w:val="24"/>
    </w:rPr>
  </w:style>
  <w:style w:type="paragraph" w:customStyle="1" w:styleId="26">
    <w:name w:val="TOC 标题1"/>
    <w:basedOn w:val="3"/>
    <w:next w:val="1"/>
    <w:qFormat/>
    <w:uiPriority w:val="0"/>
    <w:pPr>
      <w:widowControl/>
      <w:spacing w:before="480" w:after="0" w:line="276" w:lineRule="auto"/>
      <w:jc w:val="left"/>
      <w:outlineLvl w:val="9"/>
    </w:pPr>
    <w:rPr>
      <w:rFonts w:ascii="Cambria" w:hAnsi="Cambria" w:eastAsia="宋体" w:cs="黑体"/>
      <w:color w:val="365F90"/>
      <w:kern w:val="0"/>
      <w:sz w:val="28"/>
      <w:szCs w:val="28"/>
    </w:rPr>
  </w:style>
  <w:style w:type="paragraph" w:customStyle="1" w:styleId="27">
    <w:name w:val="报告书正文"/>
    <w:basedOn w:val="1"/>
    <w:link w:val="28"/>
    <w:qFormat/>
    <w:uiPriority w:val="0"/>
    <w:pPr>
      <w:autoSpaceDE w:val="0"/>
      <w:autoSpaceDN w:val="0"/>
      <w:spacing w:line="520" w:lineRule="exact"/>
      <w:ind w:firstLine="200" w:firstLineChars="200"/>
    </w:pPr>
    <w:rPr>
      <w:rFonts w:ascii="Times New Roman" w:hAnsi="Times New Roman" w:eastAsia="宋体" w:cs="Times New Roman"/>
      <w:sz w:val="28"/>
      <w:szCs w:val="28"/>
    </w:rPr>
  </w:style>
  <w:style w:type="character" w:customStyle="1" w:styleId="28">
    <w:name w:val="报告书正文 Char"/>
    <w:basedOn w:val="18"/>
    <w:link w:val="27"/>
    <w:qFormat/>
    <w:uiPriority w:val="0"/>
    <w:rPr>
      <w:rFonts w:ascii="Times New Roman" w:hAnsi="Times New Roman" w:eastAsia="宋体" w:cs="Times New Roman"/>
      <w:sz w:val="28"/>
      <w:szCs w:val="28"/>
    </w:rPr>
  </w:style>
  <w:style w:type="paragraph" w:customStyle="1" w:styleId="29">
    <w:name w:val="样式10"/>
    <w:basedOn w:val="3"/>
    <w:qFormat/>
    <w:uiPriority w:val="0"/>
    <w:pPr>
      <w:tabs>
        <w:tab w:val="left" w:pos="0"/>
      </w:tabs>
      <w:adjustRightInd w:val="0"/>
      <w:snapToGrid w:val="0"/>
      <w:spacing w:before="240" w:after="240" w:line="480" w:lineRule="atLeast"/>
      <w:jc w:val="left"/>
    </w:pPr>
    <w:rPr>
      <w:rFonts w:ascii="黑体" w:hAnsi="黑体" w:eastAsia="黑体" w:cs="Times New Roman"/>
      <w:b w:val="0"/>
      <w:bCs w:val="0"/>
      <w:color w:val="000000"/>
      <w:spacing w:val="6"/>
      <w:sz w:val="32"/>
      <w:szCs w:val="20"/>
    </w:rPr>
  </w:style>
  <w:style w:type="character" w:customStyle="1" w:styleId="30">
    <w:name w:val="批注框文本 Char"/>
    <w:basedOn w:val="18"/>
    <w:link w:val="10"/>
    <w:semiHidden/>
    <w:qFormat/>
    <w:uiPriority w:val="99"/>
    <w:rPr>
      <w:sz w:val="18"/>
      <w:szCs w:val="18"/>
    </w:rPr>
  </w:style>
  <w:style w:type="character" w:customStyle="1" w:styleId="31">
    <w:name w:val="段落 Char Char"/>
    <w:link w:val="32"/>
    <w:qFormat/>
    <w:uiPriority w:val="0"/>
    <w:rPr>
      <w:rFonts w:ascii="Times New Roman" w:hAnsi="Times New Roman" w:eastAsia="宋体" w:cs="宋体"/>
      <w:sz w:val="24"/>
      <w:szCs w:val="24"/>
      <w:lang w:val="zh-CN"/>
    </w:rPr>
  </w:style>
  <w:style w:type="paragraph" w:customStyle="1" w:styleId="32">
    <w:name w:val="段落"/>
    <w:basedOn w:val="1"/>
    <w:next w:val="1"/>
    <w:link w:val="31"/>
    <w:qFormat/>
    <w:uiPriority w:val="0"/>
    <w:pPr>
      <w:spacing w:line="360" w:lineRule="auto"/>
      <w:ind w:firstLine="480" w:firstLineChars="200"/>
    </w:pPr>
    <w:rPr>
      <w:rFonts w:ascii="Times New Roman" w:hAnsi="Times New Roman" w:eastAsia="宋体" w:cs="宋体"/>
      <w:sz w:val="24"/>
      <w:szCs w:val="24"/>
      <w:lang w:val="zh-CN"/>
    </w:rPr>
  </w:style>
  <w:style w:type="paragraph" w:customStyle="1" w:styleId="33">
    <w:name w:val="_Style 11"/>
    <w:basedOn w:val="1"/>
    <w:qFormat/>
    <w:uiPriority w:val="34"/>
    <w:pPr>
      <w:ind w:firstLine="420" w:firstLineChars="200"/>
    </w:pPr>
    <w:rPr>
      <w:rFonts w:ascii="Calibri" w:hAnsi="Calibri" w:eastAsia="宋体" w:cs="黑体"/>
    </w:rPr>
  </w:style>
  <w:style w:type="character" w:customStyle="1" w:styleId="34">
    <w:name w:val="文档结构图 Char"/>
    <w:basedOn w:val="18"/>
    <w:link w:val="7"/>
    <w:semiHidden/>
    <w:qFormat/>
    <w:uiPriority w:val="99"/>
    <w:rPr>
      <w:rFonts w:ascii="宋体" w:eastAsia="宋体"/>
      <w:sz w:val="18"/>
      <w:szCs w:val="18"/>
    </w:rPr>
  </w:style>
  <w:style w:type="character" w:customStyle="1" w:styleId="35">
    <w:name w:val="font11"/>
    <w:basedOn w:val="18"/>
    <w:qFormat/>
    <w:uiPriority w:val="0"/>
    <w:rPr>
      <w:rFonts w:hint="eastAsia" w:ascii="宋体" w:hAnsi="宋体" w:eastAsia="宋体" w:cs="宋体"/>
      <w:color w:val="000000"/>
      <w:sz w:val="21"/>
      <w:szCs w:val="21"/>
      <w:u w:val="none"/>
    </w:rPr>
  </w:style>
  <w:style w:type="character" w:customStyle="1" w:styleId="36">
    <w:name w:val="font21"/>
    <w:basedOn w:val="18"/>
    <w:qFormat/>
    <w:uiPriority w:val="0"/>
    <w:rPr>
      <w:rFonts w:hint="eastAsia" w:ascii="宋体" w:hAnsi="宋体" w:eastAsia="宋体" w:cs="宋体"/>
      <w:color w:val="000000"/>
      <w:sz w:val="21"/>
      <w:szCs w:val="21"/>
      <w:u w:val="none"/>
    </w:rPr>
  </w:style>
  <w:style w:type="character" w:customStyle="1" w:styleId="37">
    <w:name w:val="font41"/>
    <w:basedOn w:val="18"/>
    <w:qFormat/>
    <w:uiPriority w:val="0"/>
    <w:rPr>
      <w:rFonts w:hint="default" w:ascii="Times New Roman" w:hAnsi="Times New Roman" w:cs="Times New Roman"/>
      <w:color w:val="000000"/>
      <w:sz w:val="21"/>
      <w:szCs w:val="21"/>
      <w:u w:val="none"/>
    </w:rPr>
  </w:style>
  <w:style w:type="paragraph" w:customStyle="1" w:styleId="38">
    <w:name w:val="样式 样式11 + 黑色"/>
    <w:basedOn w:val="1"/>
    <w:qFormat/>
    <w:uiPriority w:val="0"/>
    <w:pPr>
      <w:keepNext/>
      <w:keepLines/>
      <w:tabs>
        <w:tab w:val="left" w:pos="360"/>
      </w:tabs>
      <w:spacing w:before="120" w:after="120" w:line="480" w:lineRule="atLeast"/>
      <w:jc w:val="left"/>
      <w:outlineLvl w:val="2"/>
    </w:pPr>
    <w:rPr>
      <w:rFonts w:ascii="Times New Roman" w:hAnsi="Times New Roman" w:eastAsia="黑体" w:cs="Times New Roman"/>
      <w:color w:val="000000"/>
      <w:sz w:val="24"/>
      <w:szCs w:val="20"/>
    </w:rPr>
  </w:style>
  <w:style w:type="character" w:customStyle="1" w:styleId="39">
    <w:name w:val="纯文本 Char"/>
    <w:basedOn w:val="18"/>
    <w:link w:val="9"/>
    <w:qFormat/>
    <w:uiPriority w:val="0"/>
    <w:rPr>
      <w:rFonts w:ascii="宋体" w:hAnsi="Courier New" w:eastAsia="宋体" w:cs="黑体"/>
      <w:szCs w:val="20"/>
    </w:rPr>
  </w:style>
  <w:style w:type="character" w:customStyle="1" w:styleId="40">
    <w:name w:val="font9155501"/>
    <w:basedOn w:val="18"/>
    <w:qFormat/>
    <w:uiPriority w:val="0"/>
    <w:rPr>
      <w:rFonts w:hint="eastAsia" w:ascii="宋体" w:hAnsi="宋体" w:eastAsia="宋体" w:cs="宋体"/>
      <w:color w:val="000000"/>
      <w:sz w:val="21"/>
      <w:szCs w:val="21"/>
      <w:u w:val="none"/>
    </w:rPr>
  </w:style>
  <w:style w:type="character" w:customStyle="1" w:styleId="41">
    <w:name w:val="font6155501"/>
    <w:basedOn w:val="18"/>
    <w:qFormat/>
    <w:uiPriority w:val="0"/>
    <w:rPr>
      <w:rFonts w:hint="default" w:ascii="Times New Roman" w:hAnsi="Times New Roman" w:cs="Times New Roman"/>
      <w:color w:val="000000"/>
      <w:sz w:val="21"/>
      <w:szCs w:val="21"/>
      <w:u w:val="none"/>
    </w:rPr>
  </w:style>
  <w:style w:type="character" w:customStyle="1" w:styleId="42">
    <w:name w:val="font10155501"/>
    <w:basedOn w:val="18"/>
    <w:qFormat/>
    <w:uiPriority w:val="0"/>
    <w:rPr>
      <w:rFonts w:hint="eastAsia" w:ascii="宋体" w:hAnsi="宋体" w:eastAsia="宋体" w:cs="宋体"/>
      <w:color w:val="000000"/>
      <w:sz w:val="22"/>
      <w:szCs w:val="22"/>
      <w:u w:val="none"/>
    </w:rPr>
  </w:style>
  <w:style w:type="character" w:customStyle="1" w:styleId="43">
    <w:name w:val="font5155501"/>
    <w:basedOn w:val="18"/>
    <w:qFormat/>
    <w:uiPriority w:val="0"/>
    <w:rPr>
      <w:rFonts w:hint="default" w:ascii="Times New Roman" w:hAnsi="Times New Roman" w:cs="Times New Roman"/>
      <w:color w:val="000000"/>
      <w:sz w:val="22"/>
      <w:szCs w:val="22"/>
      <w:u w:val="none"/>
    </w:rPr>
  </w:style>
  <w:style w:type="character" w:customStyle="1" w:styleId="44">
    <w:name w:val="font6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11404</Words>
  <Characters>15727</Characters>
  <Lines>56</Lines>
  <Paragraphs>15</Paragraphs>
  <TotalTime>0</TotalTime>
  <ScaleCrop>false</ScaleCrop>
  <LinksUpToDate>false</LinksUpToDate>
  <CharactersWithSpaces>16311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2018-10-24T09:11:00Z</dcterms:created>
  <dc:creator>dell</dc:creator>
  <cp:lastModifiedBy>琦</cp:lastModifiedBy>
  <cp:lastPrinted>2019-06-30T04:22:00Z</cp:lastPrinted>
  <dcterms:modified xsi:type="dcterms:W3CDTF">2022-11-15T06:20:13Z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8530C7A40B3F4C54A28413A41CBFECEE</vt:lpwstr>
  </property>
</Properties>
</file>