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Lines="50" w:line="360" w:lineRule="auto"/>
        <w:jc w:val="center"/>
        <w:rPr>
          <w:rFonts w:hint="eastAsia" w:ascii="Times New Roman" w:hAnsi="Times New Roman" w:eastAsia="宋体" w:cs="Times New Roman"/>
          <w:b/>
          <w:spacing w:val="20"/>
          <w:sz w:val="44"/>
          <w:szCs w:val="44"/>
        </w:rPr>
      </w:pPr>
    </w:p>
    <w:p>
      <w:pPr>
        <w:snapToGrid w:val="0"/>
        <w:spacing w:beforeLines="50" w:line="360" w:lineRule="auto"/>
        <w:jc w:val="center"/>
        <w:rPr>
          <w:rFonts w:hint="eastAsia" w:ascii="Times New Roman" w:hAnsi="Times New Roman" w:eastAsia="宋体" w:cs="Times New Roman"/>
          <w:b/>
          <w:spacing w:val="20"/>
          <w:sz w:val="36"/>
          <w:szCs w:val="36"/>
          <w:lang w:eastAsia="zh-CN"/>
        </w:rPr>
      </w:pPr>
    </w:p>
    <w:p>
      <w:pPr>
        <w:snapToGrid w:val="0"/>
        <w:spacing w:beforeLines="50" w:line="360" w:lineRule="auto"/>
        <w:jc w:val="center"/>
        <w:rPr>
          <w:rFonts w:hint="eastAsia" w:ascii="Times New Roman" w:hAnsi="Times New Roman" w:eastAsia="宋体" w:cs="Times New Roman"/>
          <w:b/>
          <w:spacing w:val="20"/>
          <w:sz w:val="36"/>
          <w:szCs w:val="36"/>
          <w:lang w:eastAsia="zh-CN"/>
        </w:rPr>
      </w:pPr>
    </w:p>
    <w:p>
      <w:pPr>
        <w:snapToGrid w:val="0"/>
        <w:spacing w:beforeLines="50" w:line="360" w:lineRule="auto"/>
        <w:jc w:val="center"/>
        <w:rPr>
          <w:rFonts w:hint="eastAsia" w:ascii="Times New Roman" w:hAnsi="Times New Roman" w:eastAsia="宋体" w:cs="Times New Roman"/>
          <w:b/>
          <w:spacing w:val="20"/>
          <w:sz w:val="36"/>
          <w:szCs w:val="36"/>
          <w:lang w:eastAsia="zh-CN"/>
        </w:rPr>
      </w:pPr>
      <w:r>
        <w:rPr>
          <w:rFonts w:hint="eastAsia" w:ascii="Times New Roman" w:hAnsi="Times New Roman" w:eastAsia="宋体" w:cs="Times New Roman"/>
          <w:b/>
          <w:spacing w:val="20"/>
          <w:sz w:val="36"/>
          <w:szCs w:val="36"/>
          <w:lang w:eastAsia="zh-CN"/>
        </w:rPr>
        <w:t>桐柏润祥工贸有限公司</w:t>
      </w:r>
    </w:p>
    <w:p>
      <w:pPr>
        <w:snapToGrid w:val="0"/>
        <w:spacing w:beforeLines="50" w:line="360" w:lineRule="auto"/>
        <w:jc w:val="center"/>
        <w:rPr>
          <w:rFonts w:hint="eastAsia" w:ascii="Times New Roman" w:hAnsi="Times New Roman" w:eastAsia="宋体" w:cs="Times New Roman"/>
          <w:b/>
          <w:spacing w:val="20"/>
          <w:sz w:val="36"/>
          <w:szCs w:val="36"/>
        </w:rPr>
      </w:pPr>
      <w:r>
        <w:rPr>
          <w:rFonts w:hint="eastAsia" w:ascii="Times New Roman" w:hAnsi="Times New Roman" w:eastAsia="宋体" w:cs="Times New Roman"/>
          <w:b/>
          <w:spacing w:val="20"/>
          <w:sz w:val="36"/>
          <w:szCs w:val="36"/>
        </w:rPr>
        <w:t>土壤及地下</w:t>
      </w:r>
      <w:r>
        <w:rPr>
          <w:rFonts w:hint="eastAsia" w:ascii="Times New Roman" w:hAnsi="Times New Roman" w:eastAsia="宋体" w:cs="Times New Roman"/>
          <w:b/>
          <w:spacing w:val="20"/>
          <w:sz w:val="36"/>
          <w:szCs w:val="36"/>
          <w:lang w:val="en-US" w:eastAsia="zh-CN"/>
        </w:rPr>
        <w:t>水</w:t>
      </w:r>
      <w:r>
        <w:rPr>
          <w:rFonts w:hint="eastAsia" w:ascii="Times New Roman" w:hAnsi="Times New Roman" w:eastAsia="宋体" w:cs="Times New Roman"/>
          <w:b/>
          <w:spacing w:val="20"/>
          <w:sz w:val="36"/>
          <w:szCs w:val="36"/>
        </w:rPr>
        <w:t>自行监测方案</w:t>
      </w:r>
    </w:p>
    <w:p>
      <w:pPr>
        <w:widowControl/>
        <w:spacing w:line="900" w:lineRule="atLeast"/>
        <w:jc w:val="center"/>
        <w:rPr>
          <w:rFonts w:ascii="Times New Roman" w:hAnsi="Times New Roman" w:eastAsia="宋体" w:cs="Times New Roman"/>
          <w:sz w:val="36"/>
          <w:szCs w:val="36"/>
        </w:rPr>
      </w:pPr>
    </w:p>
    <w:p>
      <w:pPr>
        <w:widowControl/>
        <w:spacing w:line="400" w:lineRule="atLeast"/>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pStyle w:val="26"/>
        <w:spacing w:line="360" w:lineRule="auto"/>
        <w:ind w:firstLine="1810" w:firstLineChars="578"/>
        <w:jc w:val="both"/>
        <w:rPr>
          <w:rFonts w:hint="eastAsia" w:ascii="Times New Roman" w:hAnsi="Times New Roman" w:eastAsia="宋体" w:cs="Times New Roman"/>
          <w:b/>
          <w:sz w:val="30"/>
          <w:szCs w:val="30"/>
        </w:rPr>
      </w:pPr>
    </w:p>
    <w:p>
      <w:pPr>
        <w:pStyle w:val="26"/>
        <w:spacing w:line="360" w:lineRule="auto"/>
        <w:ind w:firstLine="1810" w:firstLineChars="578"/>
        <w:jc w:val="both"/>
        <w:rPr>
          <w:rFonts w:hint="eastAsia" w:ascii="Times New Roman" w:hAnsi="Times New Roman" w:eastAsia="宋体" w:cs="Times New Roman"/>
          <w:b/>
          <w:sz w:val="30"/>
          <w:szCs w:val="30"/>
        </w:rPr>
      </w:pPr>
    </w:p>
    <w:p>
      <w:pPr>
        <w:pStyle w:val="26"/>
        <w:spacing w:line="360" w:lineRule="auto"/>
        <w:ind w:firstLine="1810" w:firstLineChars="578"/>
        <w:jc w:val="both"/>
        <w:rPr>
          <w:rFonts w:hint="eastAsia" w:ascii="Times New Roman" w:hAnsi="Times New Roman" w:eastAsia="宋体" w:cs="Times New Roman"/>
          <w:b/>
          <w:sz w:val="30"/>
          <w:szCs w:val="30"/>
        </w:rPr>
      </w:pPr>
    </w:p>
    <w:p>
      <w:pPr>
        <w:pStyle w:val="26"/>
        <w:spacing w:line="360" w:lineRule="auto"/>
        <w:ind w:firstLine="1810" w:firstLineChars="578"/>
        <w:jc w:val="both"/>
        <w:rPr>
          <w:rFonts w:hint="eastAsia" w:ascii="Times New Roman" w:hAnsi="Times New Roman" w:eastAsia="宋体" w:cs="Times New Roman"/>
          <w:b/>
          <w:sz w:val="30"/>
          <w:szCs w:val="30"/>
        </w:rPr>
      </w:pPr>
    </w:p>
    <w:p>
      <w:pPr>
        <w:pStyle w:val="26"/>
        <w:spacing w:line="360" w:lineRule="auto"/>
        <w:ind w:firstLine="1810" w:firstLineChars="578"/>
        <w:jc w:val="both"/>
        <w:rPr>
          <w:rFonts w:hint="eastAsia" w:ascii="Times New Roman" w:hAnsi="Times New Roman" w:eastAsia="宋体" w:cs="Times New Roman"/>
          <w:b/>
          <w:sz w:val="30"/>
          <w:szCs w:val="30"/>
        </w:rPr>
      </w:pPr>
    </w:p>
    <w:p>
      <w:pPr>
        <w:jc w:val="center"/>
        <w:rPr>
          <w:rFonts w:hint="eastAsia" w:ascii="Times New Roman" w:hAnsi="Times New Roman" w:cs="Times New Roman"/>
          <w:b/>
          <w:sz w:val="30"/>
          <w:szCs w:val="30"/>
          <w:lang w:eastAsia="zh-CN"/>
        </w:rPr>
      </w:pPr>
    </w:p>
    <w:p>
      <w:pPr>
        <w:jc w:val="center"/>
        <w:rPr>
          <w:rFonts w:hint="eastAsia" w:ascii="Times New Roman" w:hAnsi="Times New Roman" w:cs="Times New Roman"/>
          <w:b/>
          <w:sz w:val="30"/>
          <w:szCs w:val="30"/>
          <w:lang w:eastAsia="zh-CN"/>
        </w:rPr>
      </w:pPr>
      <w:r>
        <w:rPr>
          <w:rFonts w:hint="eastAsia" w:ascii="Times New Roman" w:hAnsi="Times New Roman" w:cs="Times New Roman"/>
          <w:b/>
          <w:sz w:val="30"/>
          <w:szCs w:val="30"/>
          <w:lang w:eastAsia="zh-CN"/>
        </w:rPr>
        <w:t>桐柏润祥工贸有限公司</w:t>
      </w:r>
    </w:p>
    <w:p>
      <w:pPr>
        <w:jc w:val="center"/>
        <w:rPr>
          <w:rFonts w:ascii="Times New Roman" w:hAnsi="Times New Roman" w:eastAsia="宋体" w:cs="Times New Roman"/>
          <w:b/>
          <w:sz w:val="30"/>
          <w:szCs w:val="30"/>
        </w:rPr>
      </w:pPr>
      <w:r>
        <w:rPr>
          <w:rFonts w:ascii="Times New Roman" w:hAnsi="Times New Roman" w:eastAsia="宋体" w:cs="Times New Roman"/>
          <w:b/>
          <w:sz w:val="30"/>
          <w:szCs w:val="30"/>
        </w:rPr>
        <w:t>二〇</w:t>
      </w:r>
      <w:r>
        <w:rPr>
          <w:rFonts w:hint="eastAsia" w:ascii="Times New Roman" w:hAnsi="Times New Roman" w:eastAsia="宋体" w:cs="Times New Roman"/>
          <w:b/>
          <w:sz w:val="30"/>
          <w:szCs w:val="30"/>
          <w:lang w:val="en-US" w:eastAsia="zh-CN"/>
        </w:rPr>
        <w:t>二二</w:t>
      </w:r>
      <w:r>
        <w:rPr>
          <w:rFonts w:ascii="Times New Roman" w:hAnsi="Times New Roman" w:eastAsia="宋体" w:cs="Times New Roman"/>
          <w:b/>
          <w:sz w:val="30"/>
          <w:szCs w:val="30"/>
        </w:rPr>
        <w:t>年</w:t>
      </w:r>
      <w:r>
        <w:rPr>
          <w:rFonts w:hint="eastAsia" w:ascii="Times New Roman" w:hAnsi="Times New Roman" w:eastAsia="宋体" w:cs="Times New Roman"/>
          <w:b/>
          <w:sz w:val="30"/>
          <w:szCs w:val="30"/>
          <w:lang w:val="en-US" w:eastAsia="zh-CN"/>
        </w:rPr>
        <w:t>七</w:t>
      </w:r>
      <w:r>
        <w:rPr>
          <w:rFonts w:ascii="Times New Roman" w:hAnsi="Times New Roman" w:eastAsia="宋体" w:cs="Times New Roman"/>
          <w:b/>
          <w:sz w:val="30"/>
          <w:szCs w:val="30"/>
        </w:rPr>
        <w:t>月</w:t>
      </w:r>
    </w:p>
    <w:p>
      <w:pPr>
        <w:pStyle w:val="27"/>
        <w:jc w:val="both"/>
        <w:rPr>
          <w:rFonts w:ascii="Times New Roman" w:hAnsi="Times New Roman" w:eastAsia="宋体" w:cs="Times New Roman"/>
          <w:color w:val="auto"/>
          <w:sz w:val="32"/>
          <w:szCs w:val="32"/>
          <w:lang w:val="zh-CN"/>
        </w:rPr>
        <w:sectPr>
          <w:headerReference r:id="rId3" w:type="default"/>
          <w:pgSz w:w="11906" w:h="16838"/>
          <w:pgMar w:top="1440" w:right="1463" w:bottom="1440" w:left="1463" w:header="851" w:footer="992" w:gutter="0"/>
          <w:pgNumType w:fmt="upperRoman" w:start="1"/>
          <w:cols w:space="720" w:num="1"/>
          <w:docGrid w:type="lines" w:linePitch="320" w:charSpace="0"/>
        </w:sectPr>
      </w:pPr>
      <w:bookmarkStart w:id="0" w:name="_Toc4838"/>
      <w:bookmarkStart w:id="1" w:name="_Toc25439"/>
      <w:bookmarkStart w:id="2" w:name="_Toc18836"/>
    </w:p>
    <w:p>
      <w:pPr>
        <w:pStyle w:val="27"/>
        <w:jc w:val="center"/>
        <w:rPr>
          <w:rFonts w:ascii="Times New Roman" w:hAnsi="Times New Roman" w:eastAsia="宋体" w:cs="Times New Roman"/>
          <w:color w:val="auto"/>
          <w:sz w:val="32"/>
          <w:szCs w:val="32"/>
        </w:rPr>
      </w:pPr>
      <w:bookmarkStart w:id="3" w:name="_Toc25080"/>
      <w:r>
        <w:rPr>
          <w:rFonts w:ascii="Times New Roman" w:hAnsi="Times New Roman" w:eastAsia="宋体" w:cs="Times New Roman"/>
          <w:color w:val="auto"/>
          <w:sz w:val="32"/>
          <w:szCs w:val="32"/>
          <w:lang w:val="zh-CN"/>
        </w:rPr>
        <w:t>目  录</w:t>
      </w:r>
      <w:bookmarkEnd w:id="0"/>
      <w:bookmarkEnd w:id="1"/>
      <w:bookmarkEnd w:id="2"/>
      <w:bookmarkEnd w:id="3"/>
    </w:p>
    <w:p>
      <w:pPr>
        <w:pStyle w:val="14"/>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TOC \o "1-2" \h \z \u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_Toc28436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rPr>
        <w:t>一、前言</w:t>
      </w:r>
      <w:r>
        <w:rPr>
          <w:sz w:val="24"/>
          <w:szCs w:val="24"/>
        </w:rPr>
        <w:tab/>
      </w:r>
      <w:r>
        <w:rPr>
          <w:sz w:val="24"/>
          <w:szCs w:val="24"/>
        </w:rPr>
        <w:fldChar w:fldCharType="begin"/>
      </w:r>
      <w:r>
        <w:rPr>
          <w:sz w:val="24"/>
          <w:szCs w:val="24"/>
        </w:rPr>
        <w:instrText xml:space="preserve"> PAGEREF _Toc28436 \h </w:instrText>
      </w:r>
      <w:r>
        <w:rPr>
          <w:sz w:val="24"/>
          <w:szCs w:val="24"/>
        </w:rPr>
        <w:fldChar w:fldCharType="separate"/>
      </w:r>
      <w:r>
        <w:rPr>
          <w:sz w:val="24"/>
          <w:szCs w:val="24"/>
        </w:rPr>
        <w:t>1</w:t>
      </w:r>
      <w:r>
        <w:rPr>
          <w:sz w:val="24"/>
          <w:szCs w:val="24"/>
        </w:rPr>
        <w:fldChar w:fldCharType="end"/>
      </w:r>
      <w:r>
        <w:rPr>
          <w:rFonts w:ascii="Times New Roman" w:hAnsi="Times New Roman" w:eastAsia="宋体" w:cs="Times New Roman"/>
          <w:sz w:val="24"/>
          <w:szCs w:val="24"/>
        </w:rPr>
        <w:fldChar w:fldCharType="end"/>
      </w:r>
    </w:p>
    <w:p>
      <w:pPr>
        <w:pStyle w:val="14"/>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_Toc28863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rPr>
        <w:t>二、编制依据</w:t>
      </w:r>
      <w:r>
        <w:rPr>
          <w:sz w:val="24"/>
          <w:szCs w:val="24"/>
        </w:rPr>
        <w:tab/>
      </w:r>
      <w:r>
        <w:rPr>
          <w:sz w:val="24"/>
          <w:szCs w:val="24"/>
        </w:rPr>
        <w:fldChar w:fldCharType="begin"/>
      </w:r>
      <w:r>
        <w:rPr>
          <w:sz w:val="24"/>
          <w:szCs w:val="24"/>
        </w:rPr>
        <w:instrText xml:space="preserve"> PAGEREF _Toc28863 \h </w:instrText>
      </w:r>
      <w:r>
        <w:rPr>
          <w:sz w:val="24"/>
          <w:szCs w:val="24"/>
        </w:rPr>
        <w:fldChar w:fldCharType="separate"/>
      </w:r>
      <w:r>
        <w:rPr>
          <w:sz w:val="24"/>
          <w:szCs w:val="24"/>
        </w:rPr>
        <w:t>1</w:t>
      </w:r>
      <w:r>
        <w:rPr>
          <w:sz w:val="24"/>
          <w:szCs w:val="24"/>
        </w:rPr>
        <w:fldChar w:fldCharType="end"/>
      </w:r>
      <w:r>
        <w:rPr>
          <w:rFonts w:ascii="Times New Roman" w:hAnsi="Times New Roman" w:eastAsia="宋体" w:cs="Times New Roman"/>
          <w:sz w:val="24"/>
          <w:szCs w:val="24"/>
        </w:rPr>
        <w:fldChar w:fldCharType="end"/>
      </w:r>
    </w:p>
    <w:p>
      <w:pPr>
        <w:pStyle w:val="15"/>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_Toc16638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2.1法律法规</w:t>
      </w:r>
      <w:r>
        <w:rPr>
          <w:sz w:val="24"/>
          <w:szCs w:val="24"/>
        </w:rPr>
        <w:tab/>
      </w:r>
      <w:r>
        <w:rPr>
          <w:sz w:val="24"/>
          <w:szCs w:val="24"/>
        </w:rPr>
        <w:fldChar w:fldCharType="begin"/>
      </w:r>
      <w:r>
        <w:rPr>
          <w:sz w:val="24"/>
          <w:szCs w:val="24"/>
        </w:rPr>
        <w:instrText xml:space="preserve"> PAGEREF _Toc16638 \h </w:instrText>
      </w:r>
      <w:r>
        <w:rPr>
          <w:sz w:val="24"/>
          <w:szCs w:val="24"/>
        </w:rPr>
        <w:fldChar w:fldCharType="separate"/>
      </w:r>
      <w:r>
        <w:rPr>
          <w:sz w:val="24"/>
          <w:szCs w:val="24"/>
        </w:rPr>
        <w:t>1</w:t>
      </w:r>
      <w:r>
        <w:rPr>
          <w:sz w:val="24"/>
          <w:szCs w:val="24"/>
        </w:rPr>
        <w:fldChar w:fldCharType="end"/>
      </w:r>
      <w:r>
        <w:rPr>
          <w:rFonts w:ascii="Times New Roman" w:hAnsi="Times New Roman" w:eastAsia="宋体" w:cs="Times New Roman"/>
          <w:sz w:val="24"/>
          <w:szCs w:val="24"/>
        </w:rPr>
        <w:fldChar w:fldCharType="end"/>
      </w:r>
    </w:p>
    <w:p>
      <w:pPr>
        <w:pStyle w:val="15"/>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_Toc558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2.2</w:t>
      </w:r>
      <w:r>
        <w:rPr>
          <w:rFonts w:ascii="Times New Roman" w:hAnsi="Times New Roman" w:eastAsia="宋体" w:cs="Times New Roman"/>
          <w:sz w:val="24"/>
          <w:szCs w:val="24"/>
        </w:rPr>
        <w:t>导则、规范</w:t>
      </w:r>
      <w:r>
        <w:rPr>
          <w:rFonts w:hint="eastAsia" w:ascii="Times New Roman" w:hAnsi="Times New Roman" w:eastAsia="宋体" w:cs="Times New Roman"/>
          <w:sz w:val="24"/>
          <w:szCs w:val="24"/>
        </w:rPr>
        <w:t>及标准</w:t>
      </w:r>
      <w:r>
        <w:rPr>
          <w:sz w:val="24"/>
          <w:szCs w:val="24"/>
        </w:rPr>
        <w:tab/>
      </w:r>
      <w:r>
        <w:rPr>
          <w:sz w:val="24"/>
          <w:szCs w:val="24"/>
        </w:rPr>
        <w:fldChar w:fldCharType="begin"/>
      </w:r>
      <w:r>
        <w:rPr>
          <w:sz w:val="24"/>
          <w:szCs w:val="24"/>
        </w:rPr>
        <w:instrText xml:space="preserve"> PAGEREF _Toc558 \h </w:instrText>
      </w:r>
      <w:r>
        <w:rPr>
          <w:sz w:val="24"/>
          <w:szCs w:val="24"/>
        </w:rPr>
        <w:fldChar w:fldCharType="separate"/>
      </w:r>
      <w:r>
        <w:rPr>
          <w:sz w:val="24"/>
          <w:szCs w:val="24"/>
        </w:rPr>
        <w:t>1</w:t>
      </w:r>
      <w:r>
        <w:rPr>
          <w:sz w:val="24"/>
          <w:szCs w:val="24"/>
        </w:rPr>
        <w:fldChar w:fldCharType="end"/>
      </w:r>
      <w:r>
        <w:rPr>
          <w:rFonts w:ascii="Times New Roman" w:hAnsi="Times New Roman" w:eastAsia="宋体" w:cs="Times New Roman"/>
          <w:sz w:val="24"/>
          <w:szCs w:val="24"/>
        </w:rPr>
        <w:fldChar w:fldCharType="end"/>
      </w:r>
    </w:p>
    <w:p>
      <w:pPr>
        <w:pStyle w:val="14"/>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_Toc21444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rPr>
        <w:t>三、场地自然概况</w:t>
      </w:r>
      <w:r>
        <w:rPr>
          <w:sz w:val="24"/>
          <w:szCs w:val="24"/>
        </w:rPr>
        <w:tab/>
      </w:r>
      <w:r>
        <w:rPr>
          <w:sz w:val="24"/>
          <w:szCs w:val="24"/>
        </w:rPr>
        <w:fldChar w:fldCharType="begin"/>
      </w:r>
      <w:r>
        <w:rPr>
          <w:sz w:val="24"/>
          <w:szCs w:val="24"/>
        </w:rPr>
        <w:instrText xml:space="preserve"> PAGEREF _Toc21444 \h </w:instrText>
      </w:r>
      <w:r>
        <w:rPr>
          <w:sz w:val="24"/>
          <w:szCs w:val="24"/>
        </w:rPr>
        <w:fldChar w:fldCharType="separate"/>
      </w:r>
      <w:r>
        <w:rPr>
          <w:sz w:val="24"/>
          <w:szCs w:val="24"/>
        </w:rPr>
        <w:t>1</w:t>
      </w:r>
      <w:r>
        <w:rPr>
          <w:sz w:val="24"/>
          <w:szCs w:val="24"/>
        </w:rPr>
        <w:fldChar w:fldCharType="end"/>
      </w:r>
      <w:r>
        <w:rPr>
          <w:rFonts w:ascii="Times New Roman" w:hAnsi="Times New Roman" w:eastAsia="宋体" w:cs="Times New Roman"/>
          <w:sz w:val="24"/>
          <w:szCs w:val="24"/>
        </w:rPr>
        <w:fldChar w:fldCharType="end"/>
      </w:r>
    </w:p>
    <w:p>
      <w:pPr>
        <w:pStyle w:val="15"/>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_Toc24257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3.1地理位置</w:t>
      </w:r>
      <w:r>
        <w:rPr>
          <w:sz w:val="24"/>
          <w:szCs w:val="24"/>
        </w:rPr>
        <w:tab/>
      </w:r>
      <w:r>
        <w:rPr>
          <w:sz w:val="24"/>
          <w:szCs w:val="24"/>
        </w:rPr>
        <w:fldChar w:fldCharType="begin"/>
      </w:r>
      <w:r>
        <w:rPr>
          <w:sz w:val="24"/>
          <w:szCs w:val="24"/>
        </w:rPr>
        <w:instrText xml:space="preserve"> PAGEREF _Toc24257 \h </w:instrText>
      </w:r>
      <w:r>
        <w:rPr>
          <w:sz w:val="24"/>
          <w:szCs w:val="24"/>
        </w:rPr>
        <w:fldChar w:fldCharType="separate"/>
      </w:r>
      <w:r>
        <w:rPr>
          <w:sz w:val="24"/>
          <w:szCs w:val="24"/>
        </w:rPr>
        <w:t>1</w:t>
      </w:r>
      <w:r>
        <w:rPr>
          <w:sz w:val="24"/>
          <w:szCs w:val="24"/>
        </w:rPr>
        <w:fldChar w:fldCharType="end"/>
      </w:r>
      <w:r>
        <w:rPr>
          <w:rFonts w:ascii="Times New Roman" w:hAnsi="Times New Roman" w:eastAsia="宋体" w:cs="Times New Roman"/>
          <w:sz w:val="24"/>
          <w:szCs w:val="24"/>
        </w:rPr>
        <w:fldChar w:fldCharType="end"/>
      </w:r>
    </w:p>
    <w:p>
      <w:pPr>
        <w:pStyle w:val="15"/>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_Toc16641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3.2地形地貌</w:t>
      </w:r>
      <w:r>
        <w:rPr>
          <w:sz w:val="24"/>
          <w:szCs w:val="24"/>
        </w:rPr>
        <w:tab/>
      </w:r>
      <w:r>
        <w:rPr>
          <w:sz w:val="24"/>
          <w:szCs w:val="24"/>
        </w:rPr>
        <w:fldChar w:fldCharType="begin"/>
      </w:r>
      <w:r>
        <w:rPr>
          <w:sz w:val="24"/>
          <w:szCs w:val="24"/>
        </w:rPr>
        <w:instrText xml:space="preserve"> PAGEREF _Toc16641 \h </w:instrText>
      </w:r>
      <w:r>
        <w:rPr>
          <w:sz w:val="24"/>
          <w:szCs w:val="24"/>
        </w:rPr>
        <w:fldChar w:fldCharType="separate"/>
      </w:r>
      <w:r>
        <w:rPr>
          <w:sz w:val="24"/>
          <w:szCs w:val="24"/>
        </w:rPr>
        <w:t>2</w:t>
      </w:r>
      <w:r>
        <w:rPr>
          <w:sz w:val="24"/>
          <w:szCs w:val="24"/>
        </w:rPr>
        <w:fldChar w:fldCharType="end"/>
      </w:r>
      <w:r>
        <w:rPr>
          <w:rFonts w:ascii="Times New Roman" w:hAnsi="Times New Roman" w:eastAsia="宋体" w:cs="Times New Roman"/>
          <w:sz w:val="24"/>
          <w:szCs w:val="24"/>
        </w:rPr>
        <w:fldChar w:fldCharType="end"/>
      </w:r>
    </w:p>
    <w:p>
      <w:pPr>
        <w:pStyle w:val="15"/>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_Toc18764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3.3气候气象</w:t>
      </w:r>
      <w:r>
        <w:rPr>
          <w:sz w:val="24"/>
          <w:szCs w:val="24"/>
        </w:rPr>
        <w:tab/>
      </w:r>
      <w:r>
        <w:rPr>
          <w:sz w:val="24"/>
          <w:szCs w:val="24"/>
        </w:rPr>
        <w:fldChar w:fldCharType="begin"/>
      </w:r>
      <w:r>
        <w:rPr>
          <w:sz w:val="24"/>
          <w:szCs w:val="24"/>
        </w:rPr>
        <w:instrText xml:space="preserve"> PAGEREF _Toc18764 \h </w:instrText>
      </w:r>
      <w:r>
        <w:rPr>
          <w:sz w:val="24"/>
          <w:szCs w:val="24"/>
        </w:rPr>
        <w:fldChar w:fldCharType="separate"/>
      </w:r>
      <w:r>
        <w:rPr>
          <w:sz w:val="24"/>
          <w:szCs w:val="24"/>
        </w:rPr>
        <w:t>3</w:t>
      </w:r>
      <w:r>
        <w:rPr>
          <w:sz w:val="24"/>
          <w:szCs w:val="24"/>
        </w:rPr>
        <w:fldChar w:fldCharType="end"/>
      </w:r>
      <w:r>
        <w:rPr>
          <w:rFonts w:ascii="Times New Roman" w:hAnsi="Times New Roman" w:eastAsia="宋体" w:cs="Times New Roman"/>
          <w:sz w:val="24"/>
          <w:szCs w:val="24"/>
        </w:rPr>
        <w:fldChar w:fldCharType="end"/>
      </w:r>
    </w:p>
    <w:p>
      <w:pPr>
        <w:pStyle w:val="15"/>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_Toc14644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3.4地表水</w:t>
      </w:r>
      <w:r>
        <w:rPr>
          <w:sz w:val="24"/>
          <w:szCs w:val="24"/>
        </w:rPr>
        <w:tab/>
      </w:r>
      <w:r>
        <w:rPr>
          <w:sz w:val="24"/>
          <w:szCs w:val="24"/>
        </w:rPr>
        <w:fldChar w:fldCharType="begin"/>
      </w:r>
      <w:r>
        <w:rPr>
          <w:sz w:val="24"/>
          <w:szCs w:val="24"/>
        </w:rPr>
        <w:instrText xml:space="preserve"> PAGEREF _Toc14644 \h </w:instrText>
      </w:r>
      <w:r>
        <w:rPr>
          <w:sz w:val="24"/>
          <w:szCs w:val="24"/>
        </w:rPr>
        <w:fldChar w:fldCharType="separate"/>
      </w:r>
      <w:r>
        <w:rPr>
          <w:sz w:val="24"/>
          <w:szCs w:val="24"/>
        </w:rPr>
        <w:t>3</w:t>
      </w:r>
      <w:r>
        <w:rPr>
          <w:sz w:val="24"/>
          <w:szCs w:val="24"/>
        </w:rPr>
        <w:fldChar w:fldCharType="end"/>
      </w:r>
      <w:r>
        <w:rPr>
          <w:rFonts w:ascii="Times New Roman" w:hAnsi="Times New Roman" w:eastAsia="宋体" w:cs="Times New Roman"/>
          <w:sz w:val="24"/>
          <w:szCs w:val="24"/>
        </w:rPr>
        <w:fldChar w:fldCharType="end"/>
      </w:r>
    </w:p>
    <w:p>
      <w:pPr>
        <w:pStyle w:val="14"/>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_Toc19790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rPr>
        <w:t>四、企业基本情况</w:t>
      </w:r>
      <w:r>
        <w:rPr>
          <w:sz w:val="24"/>
          <w:szCs w:val="24"/>
        </w:rPr>
        <w:tab/>
      </w:r>
      <w:r>
        <w:rPr>
          <w:sz w:val="24"/>
          <w:szCs w:val="24"/>
        </w:rPr>
        <w:fldChar w:fldCharType="begin"/>
      </w:r>
      <w:r>
        <w:rPr>
          <w:sz w:val="24"/>
          <w:szCs w:val="24"/>
        </w:rPr>
        <w:instrText xml:space="preserve"> PAGEREF _Toc19790 \h </w:instrText>
      </w:r>
      <w:r>
        <w:rPr>
          <w:sz w:val="24"/>
          <w:szCs w:val="24"/>
        </w:rPr>
        <w:fldChar w:fldCharType="separate"/>
      </w:r>
      <w:r>
        <w:rPr>
          <w:sz w:val="24"/>
          <w:szCs w:val="24"/>
        </w:rPr>
        <w:t>3</w:t>
      </w:r>
      <w:r>
        <w:rPr>
          <w:sz w:val="24"/>
          <w:szCs w:val="24"/>
        </w:rPr>
        <w:fldChar w:fldCharType="end"/>
      </w:r>
      <w:r>
        <w:rPr>
          <w:rFonts w:ascii="Times New Roman" w:hAnsi="Times New Roman" w:eastAsia="宋体" w:cs="Times New Roman"/>
          <w:sz w:val="24"/>
          <w:szCs w:val="24"/>
        </w:rPr>
        <w:fldChar w:fldCharType="end"/>
      </w:r>
    </w:p>
    <w:p>
      <w:pPr>
        <w:pStyle w:val="14"/>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_Toc11001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rPr>
        <w:t>五、重点区域划分</w:t>
      </w:r>
      <w:r>
        <w:rPr>
          <w:sz w:val="24"/>
          <w:szCs w:val="24"/>
        </w:rPr>
        <w:tab/>
      </w:r>
      <w:r>
        <w:rPr>
          <w:sz w:val="24"/>
          <w:szCs w:val="24"/>
        </w:rPr>
        <w:fldChar w:fldCharType="begin"/>
      </w:r>
      <w:r>
        <w:rPr>
          <w:sz w:val="24"/>
          <w:szCs w:val="24"/>
        </w:rPr>
        <w:instrText xml:space="preserve"> PAGEREF _Toc11001 \h </w:instrText>
      </w:r>
      <w:r>
        <w:rPr>
          <w:sz w:val="24"/>
          <w:szCs w:val="24"/>
        </w:rPr>
        <w:fldChar w:fldCharType="separate"/>
      </w:r>
      <w:r>
        <w:rPr>
          <w:sz w:val="24"/>
          <w:szCs w:val="24"/>
        </w:rPr>
        <w:t>5</w:t>
      </w:r>
      <w:r>
        <w:rPr>
          <w:sz w:val="24"/>
          <w:szCs w:val="24"/>
        </w:rPr>
        <w:fldChar w:fldCharType="end"/>
      </w:r>
      <w:r>
        <w:rPr>
          <w:rFonts w:ascii="Times New Roman" w:hAnsi="Times New Roman" w:eastAsia="宋体" w:cs="Times New Roman"/>
          <w:sz w:val="24"/>
          <w:szCs w:val="24"/>
        </w:rPr>
        <w:fldChar w:fldCharType="end"/>
      </w:r>
    </w:p>
    <w:p>
      <w:pPr>
        <w:pStyle w:val="14"/>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_Toc13249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rPr>
        <w:t>六、监测内容</w:t>
      </w:r>
      <w:r>
        <w:rPr>
          <w:sz w:val="24"/>
          <w:szCs w:val="24"/>
        </w:rPr>
        <w:tab/>
      </w:r>
      <w:r>
        <w:rPr>
          <w:sz w:val="24"/>
          <w:szCs w:val="24"/>
        </w:rPr>
        <w:fldChar w:fldCharType="begin"/>
      </w:r>
      <w:r>
        <w:rPr>
          <w:sz w:val="24"/>
          <w:szCs w:val="24"/>
        </w:rPr>
        <w:instrText xml:space="preserve"> PAGEREF _Toc13249 \h </w:instrText>
      </w:r>
      <w:r>
        <w:rPr>
          <w:sz w:val="24"/>
          <w:szCs w:val="24"/>
        </w:rPr>
        <w:fldChar w:fldCharType="separate"/>
      </w:r>
      <w:r>
        <w:rPr>
          <w:sz w:val="24"/>
          <w:szCs w:val="24"/>
        </w:rPr>
        <w:t>6</w:t>
      </w:r>
      <w:r>
        <w:rPr>
          <w:sz w:val="24"/>
          <w:szCs w:val="24"/>
        </w:rPr>
        <w:fldChar w:fldCharType="end"/>
      </w:r>
      <w:r>
        <w:rPr>
          <w:rFonts w:ascii="Times New Roman" w:hAnsi="Times New Roman" w:eastAsia="宋体" w:cs="Times New Roman"/>
          <w:sz w:val="24"/>
          <w:szCs w:val="24"/>
        </w:rPr>
        <w:fldChar w:fldCharType="end"/>
      </w:r>
    </w:p>
    <w:p>
      <w:pPr>
        <w:pStyle w:val="14"/>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_Toc9474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lang w:eastAsia="zh-CN"/>
        </w:rPr>
        <w:t>七</w:t>
      </w:r>
      <w:r>
        <w:rPr>
          <w:rFonts w:hint="eastAsia" w:ascii="Times New Roman" w:hAnsi="Times New Roman" w:eastAsia="宋体" w:cs="Times New Roman"/>
          <w:bCs/>
          <w:sz w:val="24"/>
          <w:szCs w:val="24"/>
        </w:rPr>
        <w:t>、质量控制和质量保证</w:t>
      </w:r>
      <w:r>
        <w:rPr>
          <w:sz w:val="24"/>
          <w:szCs w:val="24"/>
        </w:rPr>
        <w:tab/>
      </w:r>
      <w:r>
        <w:rPr>
          <w:sz w:val="24"/>
          <w:szCs w:val="24"/>
        </w:rPr>
        <w:fldChar w:fldCharType="begin"/>
      </w:r>
      <w:r>
        <w:rPr>
          <w:sz w:val="24"/>
          <w:szCs w:val="24"/>
        </w:rPr>
        <w:instrText xml:space="preserve"> PAGEREF _Toc9474 \h </w:instrText>
      </w:r>
      <w:r>
        <w:rPr>
          <w:sz w:val="24"/>
          <w:szCs w:val="24"/>
        </w:rPr>
        <w:fldChar w:fldCharType="separate"/>
      </w:r>
      <w:r>
        <w:rPr>
          <w:sz w:val="24"/>
          <w:szCs w:val="24"/>
        </w:rPr>
        <w:t>15</w:t>
      </w:r>
      <w:r>
        <w:rPr>
          <w:sz w:val="24"/>
          <w:szCs w:val="24"/>
        </w:rPr>
        <w:fldChar w:fldCharType="end"/>
      </w:r>
      <w:r>
        <w:rPr>
          <w:rFonts w:ascii="Times New Roman" w:hAnsi="Times New Roman" w:eastAsia="宋体" w:cs="Times New Roman"/>
          <w:sz w:val="24"/>
          <w:szCs w:val="24"/>
        </w:rPr>
        <w:fldChar w:fldCharType="end"/>
      </w:r>
    </w:p>
    <w:p>
      <w:pPr>
        <w:pStyle w:val="14"/>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_Toc7074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lang w:eastAsia="zh-CN"/>
        </w:rPr>
        <w:t>八、</w:t>
      </w:r>
      <w:r>
        <w:rPr>
          <w:rFonts w:hint="eastAsia" w:ascii="Times New Roman" w:hAnsi="Times New Roman" w:eastAsia="宋体" w:cs="Times New Roman"/>
          <w:bCs/>
          <w:sz w:val="24"/>
          <w:szCs w:val="24"/>
          <w:lang w:val="en-US" w:eastAsia="zh-CN"/>
        </w:rPr>
        <w:t>监测点位图</w:t>
      </w:r>
      <w:r>
        <w:rPr>
          <w:sz w:val="24"/>
          <w:szCs w:val="24"/>
        </w:rPr>
        <w:tab/>
      </w:r>
      <w:r>
        <w:rPr>
          <w:sz w:val="24"/>
          <w:szCs w:val="24"/>
        </w:rPr>
        <w:fldChar w:fldCharType="begin"/>
      </w:r>
      <w:r>
        <w:rPr>
          <w:sz w:val="24"/>
          <w:szCs w:val="24"/>
        </w:rPr>
        <w:instrText xml:space="preserve"> PAGEREF _Toc7074 \h </w:instrText>
      </w:r>
      <w:r>
        <w:rPr>
          <w:sz w:val="24"/>
          <w:szCs w:val="24"/>
        </w:rPr>
        <w:fldChar w:fldCharType="separate"/>
      </w:r>
      <w:r>
        <w:rPr>
          <w:sz w:val="24"/>
          <w:szCs w:val="24"/>
        </w:rPr>
        <w:t>16</w:t>
      </w:r>
      <w:r>
        <w:rPr>
          <w:sz w:val="24"/>
          <w:szCs w:val="24"/>
        </w:rPr>
        <w:fldChar w:fldCharType="end"/>
      </w:r>
      <w:r>
        <w:rPr>
          <w:rFonts w:ascii="Times New Roman" w:hAnsi="Times New Roman" w:eastAsia="宋体" w:cs="Times New Roman"/>
          <w:sz w:val="24"/>
          <w:szCs w:val="24"/>
        </w:rPr>
        <w:fldChar w:fldCharType="end"/>
      </w:r>
    </w:p>
    <w:p>
      <w:pPr>
        <w:pStyle w:val="14"/>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_Toc20744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lang w:eastAsia="zh-CN"/>
        </w:rPr>
        <w:t>九、</w:t>
      </w:r>
      <w:r>
        <w:rPr>
          <w:rFonts w:hint="eastAsia" w:ascii="Times New Roman" w:hAnsi="Times New Roman" w:eastAsia="宋体" w:cs="Times New Roman"/>
          <w:bCs/>
          <w:sz w:val="24"/>
          <w:szCs w:val="24"/>
          <w:lang w:val="en-US" w:eastAsia="zh-CN"/>
        </w:rPr>
        <w:t>监测数据分析</w:t>
      </w:r>
      <w:r>
        <w:rPr>
          <w:sz w:val="24"/>
          <w:szCs w:val="24"/>
        </w:rPr>
        <w:tab/>
      </w:r>
      <w:r>
        <w:rPr>
          <w:sz w:val="24"/>
          <w:szCs w:val="24"/>
        </w:rPr>
        <w:fldChar w:fldCharType="begin"/>
      </w:r>
      <w:r>
        <w:rPr>
          <w:sz w:val="24"/>
          <w:szCs w:val="24"/>
        </w:rPr>
        <w:instrText xml:space="preserve"> PAGEREF _Toc20744 \h </w:instrText>
      </w:r>
      <w:r>
        <w:rPr>
          <w:sz w:val="24"/>
          <w:szCs w:val="24"/>
        </w:rPr>
        <w:fldChar w:fldCharType="separate"/>
      </w:r>
      <w:r>
        <w:rPr>
          <w:sz w:val="24"/>
          <w:szCs w:val="24"/>
        </w:rPr>
        <w:t>17</w:t>
      </w:r>
      <w:r>
        <w:rPr>
          <w:sz w:val="24"/>
          <w:szCs w:val="24"/>
        </w:rPr>
        <w:fldChar w:fldCharType="end"/>
      </w:r>
      <w:r>
        <w:rPr>
          <w:rFonts w:ascii="Times New Roman" w:hAnsi="Times New Roman" w:eastAsia="宋体" w:cs="Times New Roman"/>
          <w:sz w:val="24"/>
          <w:szCs w:val="24"/>
        </w:rPr>
        <w:fldChar w:fldCharType="end"/>
      </w:r>
    </w:p>
    <w:p>
      <w:pPr>
        <w:pStyle w:val="14"/>
        <w:tabs>
          <w:tab w:val="right" w:leader="dot" w:pos="8980"/>
        </w:tabs>
        <w:spacing w:line="360" w:lineRule="auto"/>
        <w:rPr>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HYPERLINK \l _Toc15284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bCs/>
          <w:sz w:val="24"/>
          <w:szCs w:val="24"/>
          <w:lang w:eastAsia="zh-CN"/>
        </w:rPr>
        <w:t>十、</w:t>
      </w:r>
      <w:r>
        <w:rPr>
          <w:rFonts w:hint="eastAsia" w:ascii="Times New Roman" w:hAnsi="Times New Roman" w:eastAsia="宋体" w:cs="Times New Roman"/>
          <w:bCs/>
          <w:sz w:val="24"/>
          <w:szCs w:val="24"/>
          <w:lang w:val="en-US" w:eastAsia="zh-CN"/>
        </w:rPr>
        <w:t>结论</w:t>
      </w:r>
      <w:r>
        <w:rPr>
          <w:sz w:val="24"/>
          <w:szCs w:val="24"/>
        </w:rPr>
        <w:tab/>
      </w:r>
      <w:r>
        <w:rPr>
          <w:sz w:val="24"/>
          <w:szCs w:val="24"/>
        </w:rPr>
        <w:fldChar w:fldCharType="begin"/>
      </w:r>
      <w:r>
        <w:rPr>
          <w:sz w:val="24"/>
          <w:szCs w:val="24"/>
        </w:rPr>
        <w:instrText xml:space="preserve"> PAGEREF _Toc15284 \h </w:instrText>
      </w:r>
      <w:r>
        <w:rPr>
          <w:sz w:val="24"/>
          <w:szCs w:val="24"/>
        </w:rPr>
        <w:fldChar w:fldCharType="separate"/>
      </w:r>
      <w:r>
        <w:rPr>
          <w:sz w:val="24"/>
          <w:szCs w:val="24"/>
        </w:rPr>
        <w:t>23</w:t>
      </w:r>
      <w:r>
        <w:rPr>
          <w:sz w:val="24"/>
          <w:szCs w:val="24"/>
        </w:rPr>
        <w:fldChar w:fldCharType="end"/>
      </w:r>
      <w:r>
        <w:rPr>
          <w:rFonts w:ascii="Times New Roman" w:hAnsi="Times New Roman" w:eastAsia="宋体" w:cs="Times New Roman"/>
          <w:sz w:val="24"/>
          <w:szCs w:val="24"/>
        </w:rPr>
        <w:fldChar w:fldCharType="end"/>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imes New Roman" w:hAnsi="Times New Roman" w:eastAsia="宋体" w:cs="Times New Roman"/>
          <w:sz w:val="24"/>
          <w:szCs w:val="24"/>
        </w:rPr>
      </w:pPr>
      <w:r>
        <w:rPr>
          <w:rFonts w:ascii="Times New Roman" w:hAnsi="Times New Roman" w:eastAsia="宋体" w:cs="Times New Roman"/>
          <w:sz w:val="24"/>
          <w:szCs w:val="24"/>
        </w:rPr>
        <w:fldChar w:fldCharType="end"/>
      </w:r>
    </w:p>
    <w:p>
      <w:pPr>
        <w:widowControl/>
        <w:spacing w:line="360" w:lineRule="auto"/>
        <w:jc w:val="left"/>
        <w:rPr>
          <w:rFonts w:ascii="Times New Roman" w:hAnsi="Times New Roman" w:eastAsia="宋体" w:cs="Times New Roman"/>
          <w:sz w:val="24"/>
          <w:szCs w:val="24"/>
        </w:rPr>
      </w:pPr>
    </w:p>
    <w:p>
      <w:pPr>
        <w:spacing w:line="400" w:lineRule="exact"/>
        <w:rPr>
          <w:rFonts w:ascii="Times New Roman" w:hAnsi="Times New Roman" w:eastAsia="宋体" w:cs="Times New Roman"/>
          <w:b/>
          <w:sz w:val="24"/>
          <w:szCs w:val="24"/>
        </w:rPr>
        <w:sectPr>
          <w:pgSz w:w="11906" w:h="16838"/>
          <w:pgMar w:top="1440" w:right="1463" w:bottom="1440" w:left="1463" w:header="851" w:footer="992" w:gutter="0"/>
          <w:pgNumType w:fmt="upperRoman" w:start="1"/>
          <w:cols w:space="720" w:num="1"/>
          <w:docGrid w:type="lines" w:linePitch="320" w:charSpace="0"/>
        </w:sectPr>
      </w:pPr>
    </w:p>
    <w:p>
      <w:pPr>
        <w:pStyle w:val="30"/>
        <w:tabs>
          <w:tab w:val="clear" w:pos="0"/>
        </w:tabs>
        <w:adjustRightInd/>
        <w:snapToGrid/>
        <w:spacing w:before="0" w:after="0" w:line="360" w:lineRule="auto"/>
        <w:rPr>
          <w:rFonts w:ascii="Times New Roman" w:hAnsi="Times New Roman" w:eastAsia="宋体" w:cs="Times New Roman"/>
          <w:b/>
          <w:bCs/>
          <w:color w:val="auto"/>
        </w:rPr>
      </w:pPr>
      <w:bookmarkStart w:id="4" w:name="_Toc28436"/>
      <w:r>
        <w:rPr>
          <w:rFonts w:hint="eastAsia" w:ascii="Times New Roman" w:hAnsi="Times New Roman" w:eastAsia="宋体" w:cs="Times New Roman"/>
          <w:b/>
          <w:bCs/>
          <w:color w:val="auto"/>
        </w:rPr>
        <w:t>一、前言</w:t>
      </w:r>
      <w:bookmarkEnd w:id="4"/>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桐柏润祥工贸有限公司位于河南省桐柏县埠江镇工业园区，占地面积9957.5m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，行业类别为危险废物治理，于2018年11月8日由河南省环境保护厅颁发了危险废物经营许可证，编号为：豫环许可危废字33号，项目生产规模为年处理9000t含油污泥。</w:t>
      </w:r>
    </w:p>
    <w:p>
      <w:pPr>
        <w:pStyle w:val="30"/>
        <w:tabs>
          <w:tab w:val="clear" w:pos="0"/>
        </w:tabs>
        <w:adjustRightInd/>
        <w:snapToGrid/>
        <w:spacing w:before="0" w:after="0" w:line="360" w:lineRule="auto"/>
        <w:rPr>
          <w:rFonts w:ascii="Times New Roman" w:hAnsi="Times New Roman" w:eastAsia="宋体" w:cs="Times New Roman"/>
          <w:b/>
          <w:bCs/>
          <w:color w:val="auto"/>
        </w:rPr>
      </w:pPr>
      <w:bookmarkStart w:id="5" w:name="_Toc28863"/>
      <w:r>
        <w:rPr>
          <w:rFonts w:hint="eastAsia" w:ascii="Times New Roman" w:hAnsi="Times New Roman" w:eastAsia="宋体" w:cs="Times New Roman"/>
          <w:b/>
          <w:bCs/>
          <w:color w:val="auto"/>
        </w:rPr>
        <w:t>二、编制依据</w:t>
      </w:r>
      <w:bookmarkEnd w:id="5"/>
    </w:p>
    <w:p>
      <w:pPr>
        <w:pStyle w:val="4"/>
        <w:spacing w:before="0" w:after="0" w:line="360" w:lineRule="auto"/>
        <w:rPr>
          <w:rFonts w:ascii="Times New Roman" w:hAnsi="Times New Roman" w:eastAsia="宋体" w:cs="Times New Roman"/>
          <w:b/>
        </w:rPr>
      </w:pPr>
      <w:bookmarkStart w:id="6" w:name="_Toc528246144"/>
      <w:bookmarkStart w:id="7" w:name="_Toc16638"/>
      <w:r>
        <w:rPr>
          <w:rFonts w:hint="eastAsia" w:ascii="Times New Roman" w:hAnsi="Times New Roman" w:eastAsia="宋体" w:cs="Times New Roman"/>
          <w:b/>
        </w:rPr>
        <w:t>2.1法律法规</w:t>
      </w:r>
      <w:bookmarkEnd w:id="6"/>
      <w:bookmarkEnd w:id="7"/>
    </w:p>
    <w:p>
      <w:pPr>
        <w:tabs>
          <w:tab w:val="left" w:pos="420"/>
        </w:tabs>
        <w:spacing w:line="360" w:lineRule="auto"/>
        <w:ind w:left="480"/>
        <w:rPr>
          <w:rFonts w:ascii="Times New Roman" w:hAnsi="Times New Roman" w:eastAsia="宋体" w:cs="Times New Roman"/>
          <w:sz w:val="24"/>
          <w:szCs w:val="24"/>
        </w:rPr>
      </w:pPr>
      <w:bookmarkStart w:id="8" w:name="_Toc528246145"/>
      <w:r>
        <w:rPr>
          <w:rFonts w:ascii="Times New Roman" w:hAnsi="Times New Roman" w:eastAsia="宋体" w:cs="Times New Roman"/>
          <w:sz w:val="24"/>
          <w:szCs w:val="24"/>
        </w:rPr>
        <w:t>（1）《中华人民共和国环境保护法》（2015.1.1）；</w:t>
      </w:r>
    </w:p>
    <w:p>
      <w:pPr>
        <w:tabs>
          <w:tab w:val="left" w:pos="420"/>
        </w:tabs>
        <w:spacing w:line="360" w:lineRule="auto"/>
        <w:ind w:left="480"/>
        <w:rPr>
          <w:rFonts w:ascii="Times New Roman" w:hAnsi="Times New Roman" w:eastAsia="宋体" w:cs="Times New Roman"/>
          <w:sz w:val="24"/>
          <w:szCs w:val="24"/>
        </w:rPr>
      </w:pPr>
      <w:r>
        <w:rPr>
          <w:rFonts w:ascii="Times New Roman" w:hAnsi="Times New Roman" w:eastAsia="宋体" w:cs="Times New Roman"/>
          <w:sz w:val="24"/>
          <w:szCs w:val="24"/>
        </w:rPr>
        <w:t>（2）《中华人民共和国固体废物污染环境防治法》（2016.11.7）；</w:t>
      </w:r>
    </w:p>
    <w:p>
      <w:pPr>
        <w:tabs>
          <w:tab w:val="left" w:pos="420"/>
        </w:tabs>
        <w:spacing w:line="360" w:lineRule="auto"/>
        <w:ind w:left="480"/>
        <w:rPr>
          <w:rFonts w:ascii="Times New Roman" w:hAnsi="Times New Roman" w:eastAsia="宋体" w:cs="Times New Roman"/>
          <w:sz w:val="24"/>
          <w:szCs w:val="24"/>
        </w:rPr>
      </w:pPr>
      <w:r>
        <w:rPr>
          <w:rFonts w:ascii="Times New Roman" w:hAnsi="Times New Roman" w:eastAsia="宋体" w:cs="Times New Roman"/>
          <w:sz w:val="24"/>
          <w:szCs w:val="24"/>
        </w:rPr>
        <w:t>（3）《中华人民共和国土壤污染防治法》（2019.1.1）；</w:t>
      </w:r>
    </w:p>
    <w:p>
      <w:pPr>
        <w:tabs>
          <w:tab w:val="left" w:pos="420"/>
        </w:tabs>
        <w:spacing w:line="360" w:lineRule="auto"/>
        <w:ind w:left="480"/>
        <w:rPr>
          <w:rFonts w:ascii="Times New Roman" w:hAnsi="Times New Roman" w:eastAsia="宋体" w:cs="Times New Roman"/>
          <w:sz w:val="24"/>
          <w:szCs w:val="24"/>
        </w:rPr>
      </w:pPr>
      <w:r>
        <w:rPr>
          <w:rFonts w:ascii="Times New Roman" w:hAnsi="Times New Roman" w:eastAsia="宋体" w:cs="Times New Roman"/>
          <w:sz w:val="24"/>
          <w:szCs w:val="24"/>
        </w:rPr>
        <w:t>（4）《中华人民共和国土地管理法》（2004.8.28）。</w:t>
      </w:r>
    </w:p>
    <w:p>
      <w:pPr>
        <w:pStyle w:val="4"/>
        <w:spacing w:before="0" w:after="0" w:line="360" w:lineRule="auto"/>
        <w:rPr>
          <w:rFonts w:ascii="Times New Roman" w:hAnsi="Times New Roman" w:eastAsia="宋体" w:cs="Times New Roman"/>
          <w:b/>
        </w:rPr>
      </w:pPr>
      <w:bookmarkStart w:id="9" w:name="_Toc558"/>
      <w:r>
        <w:rPr>
          <w:rFonts w:hint="eastAsia" w:ascii="Times New Roman" w:hAnsi="Times New Roman" w:eastAsia="宋体" w:cs="Times New Roman"/>
          <w:b/>
        </w:rPr>
        <w:t>2.2</w:t>
      </w:r>
      <w:r>
        <w:rPr>
          <w:rFonts w:ascii="Times New Roman" w:hAnsi="Times New Roman" w:eastAsia="宋体" w:cs="Times New Roman"/>
          <w:b/>
        </w:rPr>
        <w:t>导则、规范</w:t>
      </w:r>
      <w:r>
        <w:rPr>
          <w:rFonts w:hint="eastAsia" w:ascii="Times New Roman" w:hAnsi="Times New Roman" w:eastAsia="宋体" w:cs="Times New Roman"/>
          <w:b/>
        </w:rPr>
        <w:t>及标准</w:t>
      </w:r>
      <w:bookmarkEnd w:id="8"/>
      <w:bookmarkEnd w:id="9"/>
    </w:p>
    <w:p>
      <w:pPr>
        <w:tabs>
          <w:tab w:val="left" w:pos="420"/>
        </w:tabs>
        <w:spacing w:line="360" w:lineRule="auto"/>
        <w:ind w:left="480"/>
        <w:rPr>
          <w:rFonts w:hint="eastAsia" w:ascii="Times New Roman" w:hAnsi="Times New Roman" w:eastAsia="宋体" w:cs="Times New Roman"/>
          <w:sz w:val="24"/>
          <w:szCs w:val="24"/>
          <w:lang w:eastAsia="zh-CN"/>
        </w:rPr>
      </w:pPr>
      <w:bookmarkStart w:id="10" w:name="_Toc528246146"/>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《国家重点监控企业自行监测及信息公开办法（试行）》</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《排污单位自行监测技术指南总则》（HJ819-2017）</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lang w:val="en-GB"/>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GB"/>
        </w:rPr>
        <w:t>《</w:t>
      </w:r>
      <w:r>
        <w:rPr>
          <w:rFonts w:hint="eastAsia" w:ascii="Times New Roman" w:hAnsi="Times New Roman" w:eastAsia="宋体" w:cs="Times New Roman"/>
          <w:sz w:val="24"/>
          <w:szCs w:val="24"/>
          <w:lang w:eastAsia="zh-CN"/>
        </w:rPr>
        <w:t>工业企业土壤和地下水自行监测技术指南》（试行）（</w:t>
      </w:r>
      <w:r>
        <w:rPr>
          <w:rFonts w:hint="eastAsia" w:ascii="Times New Roman" w:hAnsi="Times New Roman" w:eastAsia="宋体" w:cs="Times New Roman"/>
          <w:sz w:val="24"/>
          <w:szCs w:val="24"/>
          <w:lang w:val="en-US" w:eastAsia="zh-CN"/>
        </w:rPr>
        <w:t>HJ 1209-2021</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4、《重点监管单位土壤污染隐患排查指南（试行）》；</w:t>
      </w:r>
    </w:p>
    <w:p>
      <w:pPr>
        <w:tabs>
          <w:tab w:val="left" w:pos="420"/>
        </w:tabs>
        <w:spacing w:line="360" w:lineRule="auto"/>
        <w:ind w:left="48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土壤环境质量建设用地土壤污染风险管控标准（试行）</w:t>
      </w:r>
      <w:r>
        <w:rPr>
          <w:rFonts w:hint="eastAsia" w:ascii="Times New Roman" w:hAnsi="Times New Roman" w:eastAsia="宋体" w:cs="Times New Roman"/>
          <w:sz w:val="24"/>
          <w:szCs w:val="24"/>
        </w:rPr>
        <w:t>》（GB</w:t>
      </w:r>
      <w:r>
        <w:rPr>
          <w:rFonts w:hint="eastAsia" w:ascii="Times New Roman" w:hAnsi="Times New Roman" w:eastAsia="宋体" w:cs="Times New Roman"/>
          <w:sz w:val="24"/>
          <w:szCs w:val="24"/>
          <w:lang w:val="en-US" w:eastAsia="zh-CN"/>
        </w:rPr>
        <w:t>36600</w:t>
      </w:r>
      <w:r>
        <w:rPr>
          <w:rFonts w:hint="eastAsia"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8）</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地下水质量标准</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GB/T 14848</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7、《建设用地土壤污染风险管控和修复监测技术导则》（HJ 25.2-2019）；</w:t>
      </w:r>
    </w:p>
    <w:p>
      <w:pPr>
        <w:tabs>
          <w:tab w:val="left" w:pos="420"/>
        </w:tabs>
        <w:spacing w:line="360" w:lineRule="auto"/>
        <w:ind w:left="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8、《土壤环境监测技术规范》（HJ/T 166-2004）；</w:t>
      </w:r>
    </w:p>
    <w:p>
      <w:pPr>
        <w:tabs>
          <w:tab w:val="left" w:pos="420"/>
        </w:tabs>
        <w:spacing w:line="360" w:lineRule="auto"/>
        <w:ind w:left="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9、《地下水环境监测技术规范》（HJ 164-2020）；</w:t>
      </w:r>
    </w:p>
    <w:p>
      <w:pPr>
        <w:tabs>
          <w:tab w:val="left" w:pos="420"/>
        </w:tabs>
        <w:spacing w:line="360" w:lineRule="auto"/>
        <w:ind w:left="48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10、《地块土壤和地下水中挥发性有机物采样技术导则》（</w:t>
      </w:r>
      <w:r>
        <w:rPr>
          <w:rFonts w:hint="default" w:ascii="Times New Roman" w:hAnsi="Times New Roman" w:eastAsia="宋体" w:cs="Times New Roman"/>
          <w:sz w:val="24"/>
          <w:szCs w:val="24"/>
          <w:lang w:val="en-US" w:eastAsia="zh-CN"/>
        </w:rPr>
        <w:t>HJ 1019</w:t>
      </w:r>
      <w:r>
        <w:rPr>
          <w:rFonts w:hint="eastAsia" w:ascii="Times New Roman" w:hAnsi="Times New Roman" w:eastAsia="宋体" w:cs="Times New Roman"/>
          <w:sz w:val="24"/>
          <w:szCs w:val="24"/>
          <w:lang w:val="en-US" w:eastAsia="zh-CN"/>
        </w:rPr>
        <w:t>）。</w:t>
      </w:r>
    </w:p>
    <w:bookmarkEnd w:id="10"/>
    <w:p>
      <w:pPr>
        <w:pStyle w:val="30"/>
        <w:tabs>
          <w:tab w:val="clear" w:pos="0"/>
        </w:tabs>
        <w:adjustRightInd/>
        <w:snapToGrid/>
        <w:spacing w:before="0" w:after="0" w:line="360" w:lineRule="auto"/>
        <w:rPr>
          <w:rFonts w:ascii="Times New Roman" w:hAnsi="Times New Roman" w:eastAsia="宋体" w:cs="Times New Roman"/>
          <w:b/>
          <w:bCs/>
          <w:color w:val="auto"/>
        </w:rPr>
      </w:pPr>
      <w:bookmarkStart w:id="11" w:name="_Toc21444"/>
      <w:r>
        <w:rPr>
          <w:rFonts w:hint="eastAsia" w:ascii="Times New Roman" w:hAnsi="Times New Roman" w:eastAsia="宋体" w:cs="Times New Roman"/>
          <w:b/>
          <w:bCs/>
          <w:color w:val="auto"/>
        </w:rPr>
        <w:t>三、场地自然概况</w:t>
      </w:r>
      <w:bookmarkEnd w:id="11"/>
    </w:p>
    <w:p>
      <w:pPr>
        <w:pStyle w:val="4"/>
        <w:spacing w:before="0" w:after="0" w:afterAutospacing="0" w:line="360" w:lineRule="auto"/>
        <w:rPr>
          <w:rFonts w:ascii="Times New Roman" w:hAnsi="Times New Roman" w:eastAsia="宋体" w:cs="Times New Roman"/>
          <w:b/>
        </w:rPr>
      </w:pPr>
      <w:bookmarkStart w:id="12" w:name="_Toc528246148"/>
      <w:bookmarkStart w:id="13" w:name="_Toc24257"/>
      <w:r>
        <w:rPr>
          <w:rFonts w:hint="eastAsia" w:ascii="Times New Roman" w:hAnsi="Times New Roman" w:eastAsia="宋体" w:cs="Times New Roman"/>
          <w:b/>
        </w:rPr>
        <w:t>3.1地理位置</w:t>
      </w:r>
      <w:bookmarkEnd w:id="12"/>
      <w:bookmarkEnd w:id="13"/>
    </w:p>
    <w:p>
      <w:pPr>
        <w:spacing w:line="360" w:lineRule="auto"/>
        <w:ind w:firstLine="480" w:firstLineChars="200"/>
        <w:rPr>
          <w:sz w:val="24"/>
        </w:rPr>
      </w:pPr>
      <w:r>
        <w:rPr>
          <w:rFonts w:hint="eastAsia"/>
          <w:sz w:val="24"/>
        </w:rPr>
        <w:t>桐柏县隶属于南阳市，位于河南省南部，南阳盆地东源，桐柏山腹地，豫鄂交界处。桐柏县东邻信阳，南与湖北省随州、枣阳两市接壤，北毗泌阳、确山二县，西接唐河县，全境东西长76.1km，南北宽49.3km，地理坐标在东经113°00′～113°49′和北纬32°17′～32°43′之间。桐柏县城距离南阳市区约125km，距信阳市约80km，距武汉约270km。</w:t>
      </w:r>
    </w:p>
    <w:p>
      <w:pPr>
        <w:spacing w:line="360" w:lineRule="auto"/>
        <w:ind w:firstLine="480" w:firstLineChars="200"/>
        <w:rPr>
          <w:rFonts w:ascii="Times New Roman" w:hAnsi="Times New Roman" w:eastAsia="宋体" w:cs="Times New Roman"/>
          <w:color w:val="0000FF"/>
          <w:sz w:val="24"/>
          <w:szCs w:val="24"/>
        </w:rPr>
      </w:pPr>
      <w:r>
        <w:rPr>
          <w:rFonts w:hint="eastAsia" w:ascii="Times New Roman" w:hAnsi="Times New Roman" w:eastAsia="宋体" w:cs="Times New Roman"/>
          <w:sz w:val="24"/>
          <w:szCs w:val="24"/>
          <w:lang w:val="en-US" w:eastAsia="zh-CN"/>
        </w:rPr>
        <w:t>桐柏润祥工贸有限公司位于桐柏县埠江镇工业园区，占地面积为9957.5m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厂区</w:t>
      </w:r>
      <w:r>
        <w:rPr>
          <w:rFonts w:hint="eastAsia" w:ascii="Times New Roman" w:hAnsi="Times New Roman" w:eastAsia="宋体" w:cs="Times New Roman"/>
          <w:color w:val="auto"/>
          <w:sz w:val="24"/>
          <w:szCs w:val="24"/>
        </w:rPr>
        <w:t>地理位置见图3-1。</w:t>
      </w:r>
    </w:p>
    <w:p>
      <w:pPr>
        <w:spacing w:line="360" w:lineRule="auto"/>
        <w:ind w:left="0" w:leftChars="0" w:firstLine="0" w:firstLineChars="0"/>
        <w:jc w:val="center"/>
        <w:rPr>
          <w:rFonts w:hint="eastAsia" w:ascii="Times New Roman" w:hAnsi="Times New Roman" w:eastAsia="宋体" w:cs="Times New Roman"/>
          <w:color w:val="0000FF"/>
          <w:sz w:val="24"/>
          <w:szCs w:val="24"/>
          <w:lang w:val="en-US" w:eastAsia="zh-CN"/>
        </w:rPr>
      </w:pPr>
      <w:r>
        <w:drawing>
          <wp:inline distT="0" distB="0" distL="114300" distR="114300">
            <wp:extent cx="5273040" cy="350139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040" cy="3501390"/>
                    </a:xfrm>
                    <a:prstGeom prst="rect">
                      <a:avLst/>
                    </a:prstGeom>
                    <a:noFill/>
                    <a:ln>
                      <a:noFill/>
                    </a:ln>
                  </pic:spPr>
                </pic:pic>
              </a:graphicData>
            </a:graphic>
          </wp:inline>
        </w:drawing>
      </w:r>
    </w:p>
    <w:p>
      <w:pPr>
        <w:spacing w:line="360" w:lineRule="auto"/>
        <w:jc w:val="center"/>
        <w:rPr>
          <w:rFonts w:hint="eastAsia" w:ascii="Times New Roman" w:hAnsi="Times New Roman" w:eastAsia="宋体" w:cs="Times New Roman"/>
          <w:b/>
        </w:rPr>
      </w:pPr>
      <w:r>
        <w:rPr>
          <w:rFonts w:hint="eastAsia" w:ascii="Times New Roman" w:hAnsi="Times New Roman" w:eastAsia="宋体" w:cs="Times New Roman"/>
          <w:b/>
          <w:color w:val="auto"/>
          <w:sz w:val="24"/>
          <w:szCs w:val="24"/>
        </w:rPr>
        <w:t xml:space="preserve">图3-1 </w:t>
      </w:r>
      <w:r>
        <w:rPr>
          <w:rFonts w:hint="eastAsia" w:ascii="Times New Roman" w:hAnsi="Times New Roman" w:eastAsia="宋体" w:cs="Times New Roman"/>
          <w:b/>
          <w:color w:val="auto"/>
          <w:sz w:val="24"/>
          <w:szCs w:val="24"/>
          <w:lang w:eastAsia="zh-CN"/>
        </w:rPr>
        <w:t>厂区</w:t>
      </w:r>
      <w:r>
        <w:rPr>
          <w:rFonts w:hint="eastAsia" w:ascii="Times New Roman" w:hAnsi="Times New Roman" w:eastAsia="宋体" w:cs="Times New Roman"/>
          <w:b/>
          <w:color w:val="auto"/>
          <w:sz w:val="24"/>
          <w:szCs w:val="24"/>
        </w:rPr>
        <w:t>地理位置图</w:t>
      </w:r>
      <w:bookmarkStart w:id="14" w:name="_Toc528246149"/>
    </w:p>
    <w:p>
      <w:pPr>
        <w:pStyle w:val="4"/>
        <w:spacing w:before="0" w:after="0" w:line="360" w:lineRule="auto"/>
        <w:rPr>
          <w:rFonts w:hint="eastAsia" w:ascii="Times New Roman" w:hAnsi="Times New Roman" w:eastAsia="宋体" w:cs="Times New Roman"/>
          <w:b/>
        </w:rPr>
      </w:pPr>
      <w:bookmarkStart w:id="15" w:name="_Toc16641"/>
      <w:r>
        <w:rPr>
          <w:rFonts w:hint="eastAsia" w:ascii="Times New Roman" w:hAnsi="Times New Roman" w:eastAsia="宋体" w:cs="Times New Roman"/>
          <w:b/>
        </w:rPr>
        <w:t>3.2地形地貌</w:t>
      </w:r>
      <w:bookmarkEnd w:id="14"/>
      <w:bookmarkEnd w:id="15"/>
    </w:p>
    <w:p>
      <w:pPr>
        <w:spacing w:line="360" w:lineRule="auto"/>
        <w:ind w:firstLine="480" w:firstLineChars="200"/>
        <w:rPr>
          <w:color w:val="000000"/>
          <w:sz w:val="24"/>
        </w:rPr>
      </w:pPr>
      <w:bookmarkStart w:id="16" w:name="_Toc528246150"/>
      <w:r>
        <w:rPr>
          <w:rFonts w:hint="eastAsia"/>
          <w:color w:val="000000"/>
          <w:sz w:val="24"/>
        </w:rPr>
        <w:t>桐柏县位于秦岭一昆仑东西复杂构造带东段的南亚带，淮阳山字形构造西翼和新华夏系第二沉降一特舞阳一桐柏隆起区的复合地带。境内以浅山、丘陵为主，斜贯县境的桐柏山构成地貌骨架。桐柏山主脉由西向东，蜿蜒于县境南侧，为河南、湖北两省天然分界线。余脉延伸至中部、北部和东北部，形成大面积浅山和丘陵。共有山峰800多个，岗丘700余条。地势以南侧边缘最高，东北部顶端次之，南侧中部突起，东西两端渐低，北侧则由西向东呈总体渐次升高状。主峰太白顶海拔1140米，为县境最高点。根据统计，桐柏县平原面积占20.6％，山地面积占24.7％，丘陵面积占49.17％，水域面积占5.4％。</w:t>
      </w:r>
    </w:p>
    <w:p>
      <w:pPr>
        <w:spacing w:line="360" w:lineRule="auto"/>
        <w:ind w:firstLine="480" w:firstLineChars="200"/>
        <w:rPr>
          <w:color w:val="000000"/>
          <w:sz w:val="24"/>
        </w:rPr>
      </w:pPr>
      <w:r>
        <w:rPr>
          <w:rFonts w:hint="eastAsia"/>
          <w:color w:val="000000"/>
          <w:sz w:val="24"/>
        </w:rPr>
        <w:t>桐柏县境内地层横跨华北地层区北秦岭分区和扬子地层区南秦岭分区。区内出露华北地层区的地层有：元古界石槽沟组、长城系、毛集群、青白口系，古生界二郎坪群、歪头山组、二叠系一中生界三叠系蔡家凹组，新生界古近系、新近系及第四系；出露扬子地层区的地层有太古界桐柏岩群，元古界红安岩群，古生界周进沟组、泥盆系南湾组。局部地区分布有规模不同的岩浆岩体。</w:t>
      </w:r>
    </w:p>
    <w:p>
      <w:pPr>
        <w:pStyle w:val="4"/>
        <w:spacing w:before="0" w:after="0" w:line="360" w:lineRule="auto"/>
        <w:rPr>
          <w:rFonts w:hint="eastAsia" w:ascii="Times New Roman" w:hAnsi="Times New Roman" w:eastAsia="宋体" w:cs="Times New Roman"/>
          <w:b/>
        </w:rPr>
      </w:pPr>
      <w:bookmarkStart w:id="17" w:name="_Toc18764"/>
      <w:r>
        <w:rPr>
          <w:rFonts w:hint="eastAsia" w:ascii="Times New Roman" w:hAnsi="Times New Roman" w:eastAsia="宋体" w:cs="Times New Roman"/>
          <w:b/>
        </w:rPr>
        <w:t>3.3气候气象</w:t>
      </w:r>
      <w:bookmarkEnd w:id="16"/>
      <w:bookmarkEnd w:id="17"/>
    </w:p>
    <w:p>
      <w:pPr>
        <w:spacing w:line="520" w:lineRule="exact"/>
        <w:ind w:firstLine="480" w:firstLineChars="200"/>
        <w:jc w:val="both"/>
        <w:rPr>
          <w:rFonts w:hint="eastAsia" w:ascii="Times New Roman" w:hAnsi="Times New Roman" w:eastAsia="宋体" w:cs="Times New Roman"/>
          <w:sz w:val="24"/>
          <w:szCs w:val="24"/>
        </w:rPr>
      </w:pPr>
      <w:bookmarkStart w:id="18" w:name="_Toc528246151"/>
      <w:r>
        <w:rPr>
          <w:rFonts w:hint="eastAsia" w:ascii="Times New Roman" w:hAnsi="Times New Roman" w:eastAsia="宋体" w:cs="Times New Roman"/>
          <w:sz w:val="24"/>
          <w:szCs w:val="24"/>
        </w:rPr>
        <w:t>桐柏县地处北亚热带与暖温带的过渡地带，属北亚热带大陆性季风气候区，兼有南北气候特点。境内四季分明，气候温和湿润，雨量充沛，光热水资源丰富，适合多种生物生存、生长。根据多年气象统计资料，桐柏县多年平均日照时数1984.2h，年日照百分率为46％，日照数为5.64h，年太阳总辐射量平均112.06kal/c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年平均降雨量1131.3mm，最多年为1542.9mm，最少年为628.9ram，水量年内分布不均，以夏季居多，占年降水量的44％，春季降雨量占27％，秋季降雨量占20％，冬季降雨量最少占9％。年均无霜期231.5天，全年主导风向范围为北（N）一西北偏北（NNW）一东北（NE），年平均风速1.9m/s。年平均温度15.2℃，一月平均气温2℃，7月平均气温28℃，极端最高气温38℃，极端最低气温-10℃。</w:t>
      </w:r>
    </w:p>
    <w:p>
      <w:pPr>
        <w:pStyle w:val="4"/>
        <w:spacing w:before="0" w:after="0" w:line="360" w:lineRule="auto"/>
        <w:rPr>
          <w:rFonts w:hint="eastAsia" w:ascii="Times New Roman" w:hAnsi="Times New Roman" w:eastAsia="宋体" w:cs="Times New Roman"/>
          <w:b/>
        </w:rPr>
      </w:pPr>
      <w:bookmarkStart w:id="19" w:name="_Toc14644"/>
      <w:r>
        <w:rPr>
          <w:rFonts w:hint="eastAsia" w:ascii="Times New Roman" w:hAnsi="Times New Roman" w:eastAsia="宋体" w:cs="Times New Roman"/>
          <w:b/>
        </w:rPr>
        <w:t>3.4地表水</w:t>
      </w:r>
      <w:bookmarkEnd w:id="18"/>
      <w:bookmarkEnd w:id="19"/>
    </w:p>
    <w:p>
      <w:pPr>
        <w:spacing w:line="360" w:lineRule="auto"/>
        <w:ind w:firstLine="480" w:firstLineChars="200"/>
        <w:rPr>
          <w:rFonts w:hAnsi="宋体"/>
          <w:color w:val="000000"/>
          <w:sz w:val="24"/>
        </w:rPr>
      </w:pPr>
      <w:bookmarkStart w:id="20" w:name="_Toc738"/>
      <w:bookmarkStart w:id="21" w:name="_Toc528246152"/>
      <w:r>
        <w:rPr>
          <w:rFonts w:hint="eastAsia" w:hAnsi="宋体"/>
          <w:color w:val="000000"/>
          <w:sz w:val="24"/>
        </w:rPr>
        <w:t>桐柏县水资源丰富，水质好，全县有中小型水库</w:t>
      </w:r>
      <w:r>
        <w:rPr>
          <w:rFonts w:hint="eastAsia"/>
          <w:color w:val="000000"/>
          <w:sz w:val="24"/>
        </w:rPr>
        <w:t>79</w:t>
      </w:r>
      <w:r>
        <w:rPr>
          <w:rFonts w:hint="eastAsia" w:hAnsi="宋体"/>
          <w:color w:val="000000"/>
          <w:sz w:val="24"/>
        </w:rPr>
        <w:t>座，堰塘坝</w:t>
      </w:r>
      <w:r>
        <w:rPr>
          <w:rFonts w:hint="eastAsia"/>
          <w:color w:val="000000"/>
          <w:sz w:val="24"/>
        </w:rPr>
        <w:t>11471</w:t>
      </w:r>
      <w:r>
        <w:rPr>
          <w:rFonts w:hint="eastAsia" w:hAnsi="宋体"/>
          <w:color w:val="000000"/>
          <w:sz w:val="24"/>
        </w:rPr>
        <w:t>个，自然水面</w:t>
      </w:r>
      <w:r>
        <w:rPr>
          <w:rFonts w:hint="eastAsia"/>
          <w:color w:val="000000"/>
          <w:sz w:val="24"/>
        </w:rPr>
        <w:t>18700hm</w:t>
      </w:r>
      <w:r>
        <w:rPr>
          <w:rFonts w:hint="eastAsia"/>
          <w:color w:val="000000"/>
          <w:sz w:val="24"/>
          <w:vertAlign w:val="superscript"/>
        </w:rPr>
        <w:t>2</w:t>
      </w:r>
      <w:r>
        <w:rPr>
          <w:rFonts w:hint="eastAsia" w:hAnsi="宋体"/>
          <w:color w:val="000000"/>
          <w:sz w:val="24"/>
        </w:rPr>
        <w:t>，地表水总流量</w:t>
      </w:r>
      <w:r>
        <w:rPr>
          <w:rFonts w:hint="eastAsia"/>
          <w:color w:val="000000"/>
          <w:sz w:val="24"/>
        </w:rPr>
        <w:t>7</w:t>
      </w:r>
      <w:r>
        <w:rPr>
          <w:rFonts w:hint="eastAsia" w:hAnsi="宋体"/>
          <w:color w:val="000000"/>
          <w:sz w:val="24"/>
        </w:rPr>
        <w:t>亿</w:t>
      </w:r>
      <w:r>
        <w:rPr>
          <w:rFonts w:hint="eastAsia"/>
          <w:color w:val="000000"/>
          <w:sz w:val="24"/>
        </w:rPr>
        <w:t>m</w:t>
      </w:r>
      <w:r>
        <w:rPr>
          <w:rFonts w:hint="eastAsia"/>
          <w:color w:val="000000"/>
          <w:sz w:val="24"/>
          <w:vertAlign w:val="superscript"/>
        </w:rPr>
        <w:t>3</w:t>
      </w:r>
      <w:r>
        <w:rPr>
          <w:rFonts w:hint="eastAsia" w:hAnsi="宋体"/>
          <w:color w:val="000000"/>
          <w:sz w:val="24"/>
        </w:rPr>
        <w:t>。桐柏县是淮河发源地，境内水系分属淮河、长江两大流域，以淮源镇固庙村西岭和大河镇土门村的新坡岭为分水岭，东属淮河流域。</w:t>
      </w:r>
    </w:p>
    <w:p>
      <w:pPr>
        <w:spacing w:line="360" w:lineRule="auto"/>
        <w:ind w:firstLine="480" w:firstLineChars="200"/>
        <w:rPr>
          <w:rFonts w:hAnsi="宋体"/>
          <w:color w:val="000000"/>
          <w:sz w:val="24"/>
        </w:rPr>
      </w:pPr>
      <w:r>
        <w:rPr>
          <w:rFonts w:hint="eastAsia" w:hAnsi="宋体"/>
          <w:color w:val="000000"/>
          <w:sz w:val="24"/>
        </w:rPr>
        <w:t>全县境内大小河流</w:t>
      </w:r>
      <w:r>
        <w:rPr>
          <w:rFonts w:hint="eastAsia"/>
          <w:color w:val="000000"/>
          <w:sz w:val="24"/>
        </w:rPr>
        <w:t>58</w:t>
      </w:r>
      <w:r>
        <w:rPr>
          <w:rFonts w:hint="eastAsia" w:hAnsi="宋体"/>
          <w:color w:val="000000"/>
          <w:sz w:val="24"/>
        </w:rPr>
        <w:t>条，主要河流</w:t>
      </w:r>
      <w:r>
        <w:rPr>
          <w:rFonts w:hint="eastAsia"/>
          <w:color w:val="000000"/>
          <w:sz w:val="24"/>
        </w:rPr>
        <w:t>34</w:t>
      </w:r>
      <w:r>
        <w:rPr>
          <w:rFonts w:hint="eastAsia" w:hAnsi="宋体"/>
          <w:color w:val="000000"/>
          <w:sz w:val="24"/>
        </w:rPr>
        <w:t>条，其中流域面积大于</w:t>
      </w:r>
      <w:r>
        <w:rPr>
          <w:rFonts w:hint="eastAsia"/>
          <w:color w:val="000000"/>
          <w:sz w:val="24"/>
        </w:rPr>
        <w:t>100km</w:t>
      </w:r>
      <w:r>
        <w:rPr>
          <w:rFonts w:hint="eastAsia"/>
          <w:color w:val="000000"/>
          <w:sz w:val="24"/>
          <w:vertAlign w:val="superscript"/>
        </w:rPr>
        <w:t>2</w:t>
      </w:r>
      <w:r>
        <w:rPr>
          <w:rFonts w:hint="eastAsia" w:hAnsi="宋体"/>
          <w:color w:val="000000"/>
          <w:sz w:val="24"/>
        </w:rPr>
        <w:t>的有</w:t>
      </w:r>
      <w:r>
        <w:rPr>
          <w:rFonts w:hint="eastAsia"/>
          <w:color w:val="000000"/>
          <w:sz w:val="24"/>
        </w:rPr>
        <w:t>10</w:t>
      </w:r>
      <w:r>
        <w:rPr>
          <w:rFonts w:hint="eastAsia" w:hAnsi="宋体"/>
          <w:color w:val="000000"/>
          <w:sz w:val="24"/>
        </w:rPr>
        <w:t>条。县境内淮河水系主要支流有响水河、红石崖河、干河、北杨庄河、水濂洞河、龙潭河、月河、陈留店河、五里河、毛集河、毛楼河、四十里冲河、白水崖河等；长江水系的支流在桐柏县主要为三夹河，三夹河主要支流有鸿仪河、鸿鸭河、姚河、栗子园河、江河等。</w:t>
      </w:r>
    </w:p>
    <w:bookmarkEnd w:id="20"/>
    <w:bookmarkEnd w:id="21"/>
    <w:p>
      <w:pPr>
        <w:pStyle w:val="30"/>
        <w:tabs>
          <w:tab w:val="clear" w:pos="0"/>
        </w:tabs>
        <w:adjustRightInd/>
        <w:snapToGrid/>
        <w:spacing w:before="0" w:after="0" w:line="360" w:lineRule="auto"/>
        <w:rPr>
          <w:rFonts w:ascii="Times New Roman" w:hAnsi="Times New Roman" w:eastAsia="宋体" w:cs="Times New Roman"/>
          <w:b/>
          <w:bCs/>
          <w:color w:val="auto"/>
        </w:rPr>
      </w:pPr>
      <w:bookmarkStart w:id="22" w:name="_Toc19790"/>
      <w:r>
        <w:rPr>
          <w:rFonts w:hint="eastAsia" w:ascii="Times New Roman" w:hAnsi="Times New Roman" w:eastAsia="宋体" w:cs="Times New Roman"/>
          <w:b/>
          <w:bCs/>
          <w:color w:val="auto"/>
        </w:rPr>
        <w:t>四、企业基本情况</w:t>
      </w:r>
      <w:bookmarkEnd w:id="22"/>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）生产工艺</w:t>
      </w:r>
    </w:p>
    <w:p>
      <w:pPr>
        <w:spacing w:line="360" w:lineRule="auto"/>
        <w:ind w:firstLine="480" w:firstLineChars="200"/>
        <w:jc w:val="left"/>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用泵将含油污泥从油泥储槽送入搅拌罐，加入适量的水（来源：压滤来水、反应槽上部清液、外加井水）及分离剂A，通入蒸汽加热并启动搅拌至温度达到80℃；搅拌均匀后直接进入分离槽，在分离槽内加入分离剂B和分离剂C，从下部通入空气气浮，分离出的原油经上部汇入集油槽，进一步分离出水分后由泵送入粗油储罐外售。下部废渣经泵送至压滤机过滤，滤液用泵返、回搅拌罐，滤渣外售制砖。</w:t>
      </w:r>
      <w:r>
        <w:rPr>
          <w:rFonts w:hint="eastAsia" w:ascii="Times New Roman" w:hAnsi="Times New Roman" w:eastAsia="宋体" w:cs="Times New Roman"/>
          <w:sz w:val="24"/>
          <w:szCs w:val="24"/>
        </w:rPr>
        <w:t>工艺流程见下图4-1。</w:t>
      </w:r>
    </w:p>
    <w:p>
      <w:pPr>
        <w:spacing w:line="360" w:lineRule="auto"/>
        <w:jc w:val="center"/>
        <w:rPr>
          <w:rFonts w:ascii="Times New Roman" w:hAnsi="Times New Roman" w:eastAsia="宋体" w:cs="Times New Roman"/>
        </w:rPr>
      </w:pPr>
      <w:r>
        <w:drawing>
          <wp:inline distT="0" distB="0" distL="114300" distR="114300">
            <wp:extent cx="4580890" cy="2315845"/>
            <wp:effectExtent l="0" t="0" r="1016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580890" cy="2315845"/>
                    </a:xfrm>
                    <a:prstGeom prst="rect">
                      <a:avLst/>
                    </a:prstGeom>
                    <a:noFill/>
                    <a:ln>
                      <a:noFill/>
                    </a:ln>
                  </pic:spPr>
                </pic:pic>
              </a:graphicData>
            </a:graphic>
          </wp:inline>
        </w:drawing>
      </w:r>
      <w:r>
        <w:rPr>
          <w:rFonts w:ascii="Times New Roman" w:hAnsi="Times New Roman"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7480300</wp:posOffset>
                </wp:positionH>
                <wp:positionV relativeFrom="paragraph">
                  <wp:posOffset>3406775</wp:posOffset>
                </wp:positionV>
                <wp:extent cx="1134110" cy="277495"/>
                <wp:effectExtent l="4445" t="4445" r="23495" b="22860"/>
                <wp:wrapNone/>
                <wp:docPr id="8" name="矩形 16"/>
                <wp:cNvGraphicFramePr/>
                <a:graphic xmlns:a="http://schemas.openxmlformats.org/drawingml/2006/main">
                  <a:graphicData uri="http://schemas.microsoft.com/office/word/2010/wordprocessingShape">
                    <wps:wsp>
                      <wps:cNvSpPr/>
                      <wps:spPr>
                        <a:xfrm>
                          <a:off x="0" y="0"/>
                          <a:ext cx="1134110"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排放刁河</w:t>
                            </w:r>
                          </w:p>
                        </w:txbxContent>
                      </wps:txbx>
                      <wps:bodyPr upright="1"/>
                    </wps:wsp>
                  </a:graphicData>
                </a:graphic>
              </wp:anchor>
            </w:drawing>
          </mc:Choice>
          <mc:Fallback>
            <w:pict>
              <v:rect id="矩形 16" o:spid="_x0000_s1026" o:spt="1" style="position:absolute;left:0pt;margin-left:589pt;margin-top:268.25pt;height:21.85pt;width:89.3pt;z-index:251660288;mso-width-relative:page;mso-height-relative:page;" fillcolor="#FFFFFF" filled="t" stroked="t" coordsize="21600,21600" o:gfxdata="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M/zK2gAAAA0BAAAPAAAAAAAAAAEAIAAAACIAAABkcnMv&#10;ZG93bnJldi54bWxQSwECFAAUAAAACACHTuJA3INfbwECAAAqBAAADgAAAAAAAAABACAAAAApAQAA&#10;ZHJzL2Uyb0RvYy54bWxQSwUGAAAAAAYABgBZAQAAnAUAAAAA&#10;">
                <v:fill on="t" focussize="0,0"/>
                <v:stroke color="#000000" joinstyle="miter"/>
                <v:imagedata o:title=""/>
                <o:lock v:ext="edit" aspectratio="f"/>
                <v:textbox>
                  <w:txbxContent>
                    <w:p>
                      <w:pPr>
                        <w:rPr>
                          <w:rFonts w:hint="default" w:eastAsiaTheme="minorEastAsia"/>
                          <w:lang w:val="en-US" w:eastAsia="zh-CN"/>
                        </w:rPr>
                      </w:pPr>
                      <w:r>
                        <w:rPr>
                          <w:rFonts w:hint="eastAsia"/>
                          <w:lang w:val="en-US" w:eastAsia="zh-CN"/>
                        </w:rPr>
                        <w:t>排放刁河</w:t>
                      </w:r>
                    </w:p>
                  </w:txbxContent>
                </v:textbox>
              </v:rect>
            </w:pict>
          </mc:Fallback>
        </mc:AlternateContent>
      </w:r>
    </w:p>
    <w:p>
      <w:pPr>
        <w:spacing w:line="360" w:lineRule="auto"/>
        <w:ind w:firstLine="420" w:firstLineChars="200"/>
        <w:jc w:val="center"/>
        <w:rPr>
          <w:rFonts w:ascii="Times New Roman" w:hAnsi="Times New Roman" w:eastAsia="宋体" w:cs="Times New Roman"/>
          <w:b/>
        </w:rPr>
      </w:pPr>
      <w:r>
        <w:rPr>
          <w:rFonts w:hint="eastAsia" w:ascii="Times New Roman" w:hAnsi="Times New Roman" w:eastAsia="宋体" w:cs="Times New Roman"/>
          <w:b/>
        </w:rPr>
        <w:t>图4-1 工艺流程图</w:t>
      </w:r>
    </w:p>
    <w:p>
      <w:pPr>
        <w:spacing w:line="360" w:lineRule="auto"/>
        <w:ind w:firstLine="420" w:firstLineChars="200"/>
        <w:rPr>
          <w:rFonts w:ascii="Times New Roman" w:hAnsi="Times New Roman" w:eastAsia="宋体" w:cs="Times New Roman"/>
        </w:rPr>
        <w:sectPr>
          <w:footerReference r:id="rId4" w:type="default"/>
          <w:pgSz w:w="11906" w:h="16838"/>
          <w:pgMar w:top="1440" w:right="1797" w:bottom="1440" w:left="1797" w:header="851" w:footer="992" w:gutter="0"/>
          <w:pgNumType w:fmt="decimal" w:start="1"/>
          <w:cols w:space="425" w:num="1"/>
          <w:docGrid w:type="linesAndChars" w:linePitch="312" w:charSpace="0"/>
        </w:sectPr>
      </w:pP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）平面布置</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项目区主要</w:t>
      </w:r>
      <w:r>
        <w:rPr>
          <w:rFonts w:hint="eastAsia" w:ascii="Times New Roman" w:hAnsi="Times New Roman" w:eastAsia="宋体" w:cs="Times New Roman"/>
          <w:sz w:val="24"/>
          <w:szCs w:val="24"/>
        </w:rPr>
        <w:t>包括</w:t>
      </w:r>
      <w:r>
        <w:rPr>
          <w:rFonts w:hint="eastAsia" w:ascii="Times New Roman" w:hAnsi="Times New Roman" w:eastAsia="宋体" w:cs="Times New Roman"/>
          <w:sz w:val="24"/>
          <w:szCs w:val="24"/>
          <w:lang w:eastAsia="zh-CN"/>
        </w:rPr>
        <w:t>原料区、搅拌分离车间、压滤车间</w:t>
      </w:r>
      <w:r>
        <w:rPr>
          <w:rFonts w:hint="eastAsia" w:ascii="Times New Roman" w:hAnsi="Times New Roman" w:eastAsia="宋体" w:cs="Times New Roman"/>
          <w:sz w:val="24"/>
          <w:szCs w:val="24"/>
          <w:lang w:val="en-US" w:eastAsia="zh-CN"/>
        </w:rPr>
        <w:t>及配套仓库、锅炉等及辅助工程</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平布置情况见下图</w:t>
      </w:r>
      <w:r>
        <w:rPr>
          <w:rFonts w:hint="eastAsia" w:ascii="Times New Roman" w:hAnsi="Times New Roman" w:eastAsia="宋体" w:cs="Times New Roman"/>
          <w:sz w:val="24"/>
          <w:szCs w:val="24"/>
          <w:lang w:val="en-US" w:eastAsia="zh-CN"/>
        </w:rPr>
        <w:t>4-2</w:t>
      </w:r>
      <w:r>
        <w:rPr>
          <w:rFonts w:hint="eastAsia" w:ascii="Times New Roman" w:hAnsi="Times New Roman" w:eastAsia="宋体" w:cs="Times New Roman"/>
          <w:sz w:val="24"/>
          <w:szCs w:val="24"/>
        </w:rPr>
        <w:t>。</w:t>
      </w:r>
    </w:p>
    <w:p>
      <w:pPr>
        <w:spacing w:line="360" w:lineRule="auto"/>
        <w:ind w:left="0" w:leftChars="0" w:firstLine="0" w:firstLineChars="0"/>
        <w:jc w:val="center"/>
        <w:rPr>
          <w:rFonts w:hint="eastAsia" w:ascii="Times New Roman" w:hAnsi="Times New Roman" w:eastAsia="宋体" w:cs="Times New Roman"/>
          <w:sz w:val="24"/>
          <w:szCs w:val="24"/>
          <w:lang w:eastAsia="zh-CN"/>
        </w:rPr>
      </w:pPr>
      <w:r>
        <w:drawing>
          <wp:inline distT="0" distB="0" distL="114300" distR="114300">
            <wp:extent cx="5269230" cy="3696335"/>
            <wp:effectExtent l="0" t="0" r="762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9230" cy="3696335"/>
                    </a:xfrm>
                    <a:prstGeom prst="rect">
                      <a:avLst/>
                    </a:prstGeom>
                    <a:noFill/>
                    <a:ln>
                      <a:noFill/>
                    </a:ln>
                  </pic:spPr>
                </pic:pic>
              </a:graphicData>
            </a:graphic>
          </wp:inline>
        </w:drawing>
      </w:r>
    </w:p>
    <w:p>
      <w:pPr>
        <w:spacing w:line="360" w:lineRule="auto"/>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图4-2</w:t>
      </w:r>
      <w:r>
        <w:rPr>
          <w:rFonts w:hint="eastAsia" w:ascii="Times New Roman" w:hAnsi="Times New Roman" w:eastAsia="宋体" w:cs="Times New Roman"/>
          <w:b/>
          <w:sz w:val="24"/>
          <w:szCs w:val="24"/>
          <w:lang w:eastAsia="zh-CN"/>
        </w:rPr>
        <w:t>厂区</w:t>
      </w:r>
      <w:r>
        <w:rPr>
          <w:rFonts w:hint="eastAsia" w:ascii="Times New Roman" w:hAnsi="Times New Roman" w:eastAsia="宋体" w:cs="Times New Roman"/>
          <w:b/>
          <w:sz w:val="24"/>
          <w:szCs w:val="24"/>
        </w:rPr>
        <w:t>平面布置图</w:t>
      </w:r>
    </w:p>
    <w:p>
      <w:pPr>
        <w:pStyle w:val="30"/>
        <w:tabs>
          <w:tab w:val="clear" w:pos="0"/>
        </w:tabs>
        <w:adjustRightInd/>
        <w:snapToGrid/>
        <w:spacing w:before="0" w:after="0" w:line="360" w:lineRule="auto"/>
        <w:rPr>
          <w:rFonts w:ascii="Times New Roman" w:hAnsi="Times New Roman" w:eastAsia="宋体" w:cs="Times New Roman"/>
          <w:b/>
          <w:bCs/>
          <w:color w:val="auto"/>
        </w:rPr>
      </w:pPr>
      <w:bookmarkStart w:id="23" w:name="_Toc11001"/>
      <w:r>
        <w:rPr>
          <w:rFonts w:hint="eastAsia" w:ascii="Times New Roman" w:hAnsi="Times New Roman" w:eastAsia="宋体" w:cs="Times New Roman"/>
          <w:b/>
          <w:bCs/>
          <w:color w:val="auto"/>
        </w:rPr>
        <w:t>五、重点区域划分</w:t>
      </w:r>
      <w:bookmarkEnd w:id="23"/>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（1）划分原则</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根据各设施信息、污染物迁移途径等，识别企业内部存在土壤或地下水污染隐患的重点设施。存在土壤或地下水污染隐患的重点设施一般包括但不仅限于：</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a）涉及有毒有害物质的生产区或生产设施；</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b）涉及有毒有害物质的原辅材料、产品、固体废物等的贮存或堆放区；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c）涉及有毒有害物质的原辅材料、产品、固体废物等的转运、传送或装卸区；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d）贮存或运输有毒有害物质的各类罐槽或管线；</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e）三废（废气、废水、固体废物）处理处置或排放区。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（2）划分结果</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本场地的办公区不存污染物质，潜在污染源主要为</w:t>
      </w:r>
      <w:r>
        <w:rPr>
          <w:rFonts w:hint="eastAsia" w:ascii="Times New Roman" w:hAnsi="Times New Roman" w:eastAsia="宋体" w:cs="Times New Roman"/>
          <w:sz w:val="24"/>
          <w:szCs w:val="24"/>
          <w:lang w:eastAsia="zh-CN"/>
        </w:rPr>
        <w:t>生产区域</w:t>
      </w:r>
      <w:r>
        <w:rPr>
          <w:rFonts w:hint="eastAsia" w:ascii="Times New Roman" w:hAnsi="Times New Roman" w:eastAsia="宋体" w:cs="Times New Roman"/>
          <w:sz w:val="24"/>
          <w:szCs w:val="24"/>
        </w:rPr>
        <w:t>和三废物处理处置。</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重点区的划分考虑</w:t>
      </w:r>
      <w:r>
        <w:rPr>
          <w:rFonts w:hint="eastAsia" w:ascii="Times New Roman" w:hAnsi="Times New Roman" w:eastAsia="宋体" w:cs="Times New Roman"/>
          <w:sz w:val="24"/>
          <w:szCs w:val="24"/>
          <w:lang w:eastAsia="zh-CN"/>
        </w:rPr>
        <w:t>生产车间</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油泥原料库房、粗油储罐</w:t>
      </w:r>
      <w:r>
        <w:rPr>
          <w:rFonts w:hint="eastAsia" w:ascii="Times New Roman" w:hAnsi="Times New Roman" w:eastAsia="宋体" w:cs="Times New Roman"/>
          <w:sz w:val="24"/>
          <w:szCs w:val="24"/>
        </w:rPr>
        <w:t>所在区域。</w:t>
      </w:r>
    </w:p>
    <w:p>
      <w:pPr>
        <w:pStyle w:val="30"/>
        <w:tabs>
          <w:tab w:val="clear" w:pos="0"/>
        </w:tabs>
        <w:adjustRightInd/>
        <w:snapToGrid/>
        <w:spacing w:before="0" w:after="0" w:line="360" w:lineRule="auto"/>
        <w:rPr>
          <w:rFonts w:ascii="Times New Roman" w:hAnsi="Times New Roman" w:eastAsia="宋体" w:cs="Times New Roman"/>
          <w:b/>
          <w:bCs/>
          <w:color w:val="auto"/>
        </w:rPr>
      </w:pPr>
      <w:bookmarkStart w:id="24" w:name="_Toc13249"/>
      <w:r>
        <w:rPr>
          <w:rFonts w:hint="eastAsia" w:ascii="Times New Roman" w:hAnsi="Times New Roman" w:eastAsia="宋体" w:cs="Times New Roman"/>
          <w:b/>
          <w:bCs/>
          <w:color w:val="auto"/>
        </w:rPr>
        <w:t>六、监测内容</w:t>
      </w:r>
      <w:bookmarkEnd w:id="24"/>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（1）监测对象</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自行监测企业应针对识别出的重点设施及重点区域，开展土壤及地下水监测工作。</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（2）监测点位</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土壤：1#油泥库房西侧深</w:t>
      </w:r>
      <w:r>
        <w:rPr>
          <w:rFonts w:hint="default" w:ascii="Times New Roman" w:hAnsi="Times New Roman" w:eastAsia="宋体" w:cs="Times New Roman"/>
          <w:sz w:val="24"/>
          <w:szCs w:val="24"/>
          <w:lang w:val="en-US" w:eastAsia="zh-CN"/>
        </w:rPr>
        <w:t>层样、</w:t>
      </w:r>
      <w:r>
        <w:rPr>
          <w:rFonts w:hint="eastAsia" w:ascii="Times New Roman" w:hAnsi="Times New Roman" w:eastAsia="宋体" w:cs="Times New Roman"/>
          <w:sz w:val="24"/>
          <w:szCs w:val="24"/>
          <w:lang w:val="en-US" w:eastAsia="zh-CN"/>
        </w:rPr>
        <w:t>2#生产车间南侧</w:t>
      </w:r>
      <w:r>
        <w:rPr>
          <w:rFonts w:hint="default" w:ascii="Times New Roman" w:hAnsi="Times New Roman" w:eastAsia="宋体" w:cs="Times New Roman"/>
          <w:sz w:val="24"/>
          <w:szCs w:val="24"/>
          <w:lang w:val="en-US" w:eastAsia="zh-CN"/>
        </w:rPr>
        <w:t>表层样</w:t>
      </w:r>
      <w:r>
        <w:rPr>
          <w:rFonts w:hint="eastAsia" w:ascii="Times New Roman" w:hAnsi="Times New Roman" w:eastAsia="宋体" w:cs="Times New Roman"/>
          <w:sz w:val="24"/>
          <w:szCs w:val="24"/>
          <w:lang w:val="en-US" w:eastAsia="zh-CN"/>
        </w:rPr>
        <w:t>、3#储罐区北侧深层样、4#厂界北侧表层样、5#厂界南侧表层样各设置1个检测点位，共</w:t>
      </w:r>
      <w:r>
        <w:rPr>
          <w:rFonts w:hint="default" w:ascii="Times New Roman" w:hAnsi="Times New Roman" w:eastAsia="宋体" w:cs="Times New Roman"/>
          <w:sz w:val="24"/>
          <w:szCs w:val="24"/>
          <w:lang w:val="en-US" w:eastAsia="zh-CN"/>
        </w:rPr>
        <w:t>设</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个检测点位</w:t>
      </w:r>
      <w:r>
        <w:rPr>
          <w:rFonts w:hint="eastAsia" w:ascii="Times New Roman" w:hAnsi="Times New Roman" w:eastAsia="宋体" w:cs="Times New Roman"/>
          <w:sz w:val="24"/>
          <w:szCs w:val="24"/>
          <w:lang w:val="en-US"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地</w:t>
      </w:r>
      <w:r>
        <w:rPr>
          <w:rFonts w:hint="eastAsia" w:ascii="Times New Roman" w:hAnsi="Times New Roman" w:eastAsia="宋体" w:cs="Times New Roman"/>
          <w:sz w:val="24"/>
          <w:szCs w:val="24"/>
          <w:lang w:val="en-US" w:eastAsia="zh-CN"/>
        </w:rPr>
        <w:t>下水：1#厂区北侧水井；2#厂区南侧水井；3#坟台村白加文家水井各设置1个检测点位，共</w:t>
      </w:r>
      <w:r>
        <w:rPr>
          <w:rFonts w:hint="default" w:ascii="Times New Roman" w:hAnsi="Times New Roman" w:eastAsia="宋体" w:cs="Times New Roman"/>
          <w:sz w:val="24"/>
          <w:szCs w:val="24"/>
          <w:lang w:val="en-US" w:eastAsia="zh-CN"/>
        </w:rPr>
        <w:t>设</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个检测点位</w:t>
      </w:r>
      <w:r>
        <w:rPr>
          <w:rFonts w:hint="eastAsia" w:ascii="Times New Roman" w:hAnsi="Times New Roman" w:eastAsia="宋体" w:cs="Times New Roman"/>
          <w:sz w:val="24"/>
          <w:szCs w:val="24"/>
          <w:lang w:val="en-US" w:eastAsia="zh-CN"/>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（3）监测因子</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土壤：砷、镉、六价铬、铜、铅、汞、镍、硝基苯、苯胺（4-氯苯胺、2-硝基苯胺、3-硝基苯胺、4-硝基苯胺）、2-氯酚、苯并(a)蒽、苯并(a)芘、苯并(b)荧蒽、苯并(k)荧蒽、䓛、二苯并(a，h)蒽、茚并(1,2,3-cd)芘、萘、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石油烃。</w:t>
      </w:r>
    </w:p>
    <w:p>
      <w:pPr>
        <w:spacing w:line="360" w:lineRule="auto"/>
        <w:ind w:firstLine="480" w:firstLineChars="200"/>
        <w:rPr>
          <w:rFonts w:hint="eastAsia"/>
          <w:sz w:val="24"/>
          <w:szCs w:val="24"/>
          <w:lang w:val="en-US" w:eastAsia="zh-CN"/>
        </w:rPr>
      </w:pPr>
      <w:r>
        <w:rPr>
          <w:rFonts w:hint="eastAsia"/>
          <w:sz w:val="24"/>
          <w:szCs w:val="24"/>
          <w:lang w:val="en-US" w:eastAsia="zh-CN"/>
        </w:rPr>
        <w:t>地下</w:t>
      </w:r>
      <w:r>
        <w:rPr>
          <w:rFonts w:hint="eastAsia" w:ascii="Times New Roman" w:hAnsi="Times New Roman" w:eastAsia="宋体" w:cs="Times New Roman"/>
          <w:sz w:val="24"/>
          <w:szCs w:val="24"/>
          <w:lang w:val="en-US" w:eastAsia="zh-CN"/>
        </w:rPr>
        <w:t>水：pH、色度、臭和味、浊度、肉眼可见物、总硬度、溶解性总固体、硫酸盐、氯化物、铁、锰、铜、锌、铝、挥发酚、阴离子表面活性剂、耗氧量、氨氮、硫化物、钠、亚硝酸盐氮、硝酸盐氮、氰化物、氟化物、碘化物、汞、砷、硒、镉、六价铬、铅、三氯甲烷、四氯化碳、苯、甲苯、石油类。</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（4）监测频次</w:t>
      </w:r>
    </w:p>
    <w:p>
      <w:pPr>
        <w:spacing w:line="360" w:lineRule="auto"/>
        <w:ind w:firstLine="480" w:firstLineChars="200"/>
        <w:rPr>
          <w:rFonts w:hint="eastAsia"/>
          <w:sz w:val="24"/>
          <w:szCs w:val="24"/>
          <w:lang w:val="en-US" w:eastAsia="zh-CN"/>
        </w:rPr>
      </w:pPr>
      <w:r>
        <w:rPr>
          <w:rFonts w:hint="eastAsia"/>
          <w:sz w:val="24"/>
          <w:szCs w:val="24"/>
          <w:lang w:val="en-US" w:eastAsia="zh-CN"/>
        </w:rPr>
        <w:t>土壤：表层样1次/年、1天/1次，1频次/1次；深层样1次/3年、1天/1次，1频次/1次。</w:t>
      </w:r>
    </w:p>
    <w:p>
      <w:pPr>
        <w:spacing w:line="360" w:lineRule="auto"/>
        <w:ind w:firstLine="480" w:firstLineChars="200"/>
        <w:rPr>
          <w:rFonts w:hint="eastAsia"/>
          <w:sz w:val="24"/>
          <w:szCs w:val="24"/>
          <w:lang w:val="en-US" w:eastAsia="zh-CN"/>
        </w:rPr>
      </w:pPr>
      <w:r>
        <w:rPr>
          <w:rFonts w:hint="eastAsia"/>
          <w:sz w:val="24"/>
          <w:szCs w:val="24"/>
          <w:lang w:val="en-US" w:eastAsia="zh-CN"/>
        </w:rPr>
        <w:t>地下水：1次/半年、1天/1次，1频次/1次。</w:t>
      </w:r>
    </w:p>
    <w:p>
      <w:pPr>
        <w:spacing w:line="360" w:lineRule="auto"/>
        <w:ind w:firstLine="480" w:firstLineChars="200"/>
        <w:rPr>
          <w:rFonts w:hint="eastAsia"/>
          <w:sz w:val="24"/>
          <w:szCs w:val="24"/>
          <w:lang w:val="en-US" w:eastAsia="zh-CN"/>
        </w:rPr>
      </w:pPr>
      <w:r>
        <w:rPr>
          <w:rFonts w:hint="eastAsia"/>
          <w:sz w:val="24"/>
          <w:szCs w:val="24"/>
          <w:lang w:val="en-US" w:eastAsia="zh-CN"/>
        </w:rPr>
        <w:t>（5）样品采集、保存、流转、制备</w:t>
      </w:r>
    </w:p>
    <w:p>
      <w:pPr>
        <w:spacing w:line="360" w:lineRule="auto"/>
        <w:ind w:firstLine="480" w:firstLineChars="200"/>
        <w:rPr>
          <w:rFonts w:hint="eastAsia"/>
          <w:sz w:val="24"/>
          <w:szCs w:val="24"/>
          <w:lang w:val="en-US" w:eastAsia="zh-CN"/>
        </w:rPr>
      </w:pPr>
      <w:r>
        <w:rPr>
          <w:rFonts w:hint="eastAsia"/>
          <w:sz w:val="24"/>
          <w:szCs w:val="24"/>
          <w:lang w:val="en-US" w:eastAsia="zh-CN"/>
        </w:rPr>
        <w:t>1、样品采集、保存</w:t>
      </w:r>
    </w:p>
    <w:p>
      <w:pPr>
        <w:bidi w:val="0"/>
        <w:ind w:firstLine="480" w:firstLineChars="200"/>
        <w:rPr>
          <w:rFonts w:hint="eastAsia"/>
          <w:sz w:val="24"/>
          <w:szCs w:val="28"/>
          <w:lang w:val="en-US" w:eastAsia="zh-CN"/>
        </w:rPr>
      </w:pPr>
      <w:r>
        <w:rPr>
          <w:rFonts w:hint="eastAsia"/>
          <w:sz w:val="24"/>
          <w:szCs w:val="24"/>
          <w:lang w:val="en-US" w:eastAsia="zh-CN"/>
        </w:rPr>
        <w:t>土壤</w:t>
      </w:r>
    </w:p>
    <w:p>
      <w:pPr>
        <w:spacing w:line="360" w:lineRule="auto"/>
        <w:ind w:firstLine="480" w:firstLineChars="200"/>
        <w:rPr>
          <w:rFonts w:hint="eastAsia"/>
          <w:sz w:val="24"/>
          <w:szCs w:val="24"/>
          <w:lang w:val="en-US" w:eastAsia="zh-CN"/>
        </w:rPr>
      </w:pPr>
      <w:r>
        <w:rPr>
          <w:rFonts w:hint="eastAsia"/>
          <w:sz w:val="24"/>
          <w:szCs w:val="24"/>
          <w:lang w:val="en-US" w:eastAsia="zh-CN"/>
        </w:rPr>
        <w:t>土壤样品的采集按照《土壤环境监测技术规范》（HJ/T 166-2004）、《建设用地土壤污染风险管控和修复监测技术导则》（HJ 25.2-2019）、《重点行业企业用地调查样品采集保存和流转技术规定》（试行）等的相关要求执行。</w:t>
      </w:r>
    </w:p>
    <w:p>
      <w:pPr>
        <w:spacing w:line="360" w:lineRule="auto"/>
        <w:ind w:firstLine="480" w:firstLineChars="200"/>
        <w:rPr>
          <w:rFonts w:hint="eastAsia"/>
          <w:sz w:val="24"/>
          <w:szCs w:val="24"/>
          <w:lang w:val="en-US" w:eastAsia="zh-CN"/>
        </w:rPr>
      </w:pPr>
      <w:r>
        <w:rPr>
          <w:rFonts w:hint="eastAsia"/>
          <w:sz w:val="24"/>
          <w:szCs w:val="24"/>
          <w:lang w:val="en-US" w:eastAsia="zh-CN"/>
        </w:rPr>
        <w:t>采样人员均经过土壤环境监测技术培训，掌握土壤采样技术，熟悉采样器具的使用和样品固定、保存、运输条件：</w:t>
      </w:r>
    </w:p>
    <w:p>
      <w:pPr>
        <w:spacing w:line="360" w:lineRule="auto"/>
        <w:ind w:firstLine="480" w:firstLineChars="200"/>
        <w:rPr>
          <w:rFonts w:hint="eastAsia"/>
          <w:sz w:val="24"/>
          <w:szCs w:val="24"/>
          <w:lang w:val="en-US" w:eastAsia="zh-CN"/>
        </w:rPr>
      </w:pPr>
      <w:r>
        <w:rPr>
          <w:rFonts w:hint="eastAsia"/>
          <w:sz w:val="24"/>
          <w:szCs w:val="24"/>
          <w:lang w:val="en-US" w:eastAsia="zh-CN"/>
        </w:rPr>
        <w:t>①采集挥发性有机物（VOCs）样品时，用刮刀剔除约至少1-2cm表层土壤，在新的土壤切面处快速采集样品。所有（VOCs）样品用非扰动采样器采集不少于5g的土壤样品，推入加有10ml甲醇（色谱级或农残级）保护剂的40ml棕色样品瓶内，推入时将样品瓶略微倾斜，防止将保护剂溅出，转至土壤样品瓶后应快速清除掉瓶口螺纹处黏附的土壤，拧紧瓶盖，清除土壤样品瓶外表面上黏附的土壤。用于测定高含量样品中的挥发性有机物，土壤样品应采集双份，一份用于检测，一份留作备份。</w:t>
      </w:r>
    </w:p>
    <w:p>
      <w:pPr>
        <w:spacing w:line="360" w:lineRule="auto"/>
        <w:ind w:firstLine="480" w:firstLineChars="200"/>
        <w:rPr>
          <w:rFonts w:hint="eastAsia"/>
          <w:sz w:val="24"/>
          <w:szCs w:val="24"/>
          <w:lang w:val="en-US" w:eastAsia="zh-CN"/>
        </w:rPr>
      </w:pPr>
      <w:r>
        <w:rPr>
          <w:rFonts w:hint="eastAsia"/>
          <w:sz w:val="24"/>
          <w:szCs w:val="24"/>
          <w:lang w:val="en-US" w:eastAsia="zh-CN"/>
        </w:rPr>
        <w:t>②采集半挥发性有机污染物（SVOCs）样品时，使用小铁勺将样品迅速采集到250ml棕色玻璃瓶中并装满填实，快速清除样品瓶螺纹及外表面粘附的样品，并及时密封样品瓶，采样过程剔除石块等杂质，保持采样瓶口螺纹清洁以防止密封不严。土壤采样完成后，随即放入现场带有冷冻蓝冰的保温箱内临时保存。</w:t>
      </w:r>
    </w:p>
    <w:p>
      <w:pPr>
        <w:spacing w:line="360" w:lineRule="auto"/>
        <w:ind w:firstLine="480" w:firstLineChars="200"/>
        <w:rPr>
          <w:rFonts w:hint="eastAsia"/>
          <w:sz w:val="24"/>
          <w:szCs w:val="24"/>
          <w:lang w:val="en-US" w:eastAsia="zh-CN"/>
        </w:rPr>
      </w:pPr>
      <w:r>
        <w:rPr>
          <w:rFonts w:hint="eastAsia"/>
          <w:sz w:val="24"/>
          <w:szCs w:val="24"/>
          <w:lang w:val="en-US" w:eastAsia="zh-CN"/>
        </w:rPr>
        <w:t>③采集重金属及其他样品时，用竹刀去除与金属采样器接触的部分土壤，并清理土壤表面石块、杂物，每层样品用竹刀采集1kg左右，装入玻璃瓶内。</w:t>
      </w:r>
    </w:p>
    <w:p>
      <w:pPr>
        <w:spacing w:line="360" w:lineRule="auto"/>
        <w:ind w:firstLine="480" w:firstLineChars="200"/>
        <w:rPr>
          <w:rFonts w:hint="eastAsia"/>
          <w:sz w:val="24"/>
          <w:szCs w:val="24"/>
          <w:lang w:val="en-US" w:eastAsia="zh-CN"/>
        </w:rPr>
      </w:pPr>
      <w:r>
        <w:rPr>
          <w:rFonts w:hint="eastAsia"/>
          <w:sz w:val="24"/>
          <w:szCs w:val="24"/>
          <w:lang w:val="en-US" w:eastAsia="zh-CN"/>
        </w:rPr>
        <w:t>上述样品采集完成后，在样品瓶上记录编号、检测因子等采样信息，并做好现场记录。有机样品采集后立即放入装有冷冻蓝冰的保温箱中，保证保温箱内样品的温度0-4℃，并及时将样品送回实验室，其他检测因子样品按上述标准要求保存样品。</w:t>
      </w:r>
    </w:p>
    <w:p>
      <w:pPr>
        <w:spacing w:line="360" w:lineRule="auto"/>
        <w:ind w:firstLine="480" w:firstLineChars="200"/>
        <w:rPr>
          <w:rFonts w:hint="eastAsia"/>
          <w:sz w:val="24"/>
          <w:szCs w:val="24"/>
          <w:lang w:val="en-US" w:eastAsia="zh-CN"/>
        </w:rPr>
      </w:pPr>
      <w:r>
        <w:rPr>
          <w:rFonts w:hint="eastAsia"/>
          <w:sz w:val="24"/>
          <w:szCs w:val="24"/>
          <w:lang w:val="en-US" w:eastAsia="zh-CN"/>
        </w:rPr>
        <w:t>地下水</w:t>
      </w:r>
    </w:p>
    <w:p>
      <w:pPr>
        <w:spacing w:line="360" w:lineRule="auto"/>
        <w:ind w:firstLine="480" w:firstLineChars="200"/>
        <w:rPr>
          <w:rFonts w:hint="eastAsia"/>
          <w:sz w:val="24"/>
          <w:szCs w:val="24"/>
          <w:lang w:val="en-US" w:eastAsia="zh-CN"/>
        </w:rPr>
      </w:pPr>
      <w:r>
        <w:rPr>
          <w:rFonts w:hint="eastAsia"/>
          <w:sz w:val="24"/>
          <w:szCs w:val="24"/>
          <w:lang w:val="en-US" w:eastAsia="zh-CN"/>
        </w:rPr>
        <w:t>采样严格按照《地下水环境监测技术规范》（HJ 164-2020）、《地下水质量标准》（GB/T 14848-2017）进行样品的采集，用于采集水样样品的设备在采样前已进行清洗。采样人员均经过地下水环境监测技术培训，掌握地下水采样技术，熟悉采样器具的使用和样品固定、保存、运输条件。</w:t>
      </w:r>
    </w:p>
    <w:p>
      <w:pPr>
        <w:spacing w:line="360" w:lineRule="auto"/>
        <w:ind w:firstLine="480" w:firstLineChars="200"/>
        <w:rPr>
          <w:rFonts w:hint="eastAsia"/>
          <w:sz w:val="24"/>
          <w:szCs w:val="24"/>
          <w:lang w:val="en-US" w:eastAsia="zh-CN"/>
        </w:rPr>
      </w:pPr>
      <w:r>
        <w:rPr>
          <w:rFonts w:hint="eastAsia"/>
          <w:sz w:val="24"/>
          <w:szCs w:val="24"/>
          <w:lang w:val="en-US" w:eastAsia="zh-CN"/>
        </w:rPr>
        <w:t>地下水采样选用合适的水样容器，在样品瓶上记录编号等采样信息，并做好现场记录。地下水样品采集采用瞬时采样法，采样时尽量轻扰动水体。水样采集和保管按照《地下水环境监测技术规范》（HJ 164-2020）、《水质采样 样品的保存和管理技术规定》（HJ 493-2009）及各因子分析方法的相关要求进行。用于采集水样样品的设备在采样前已进行清洗。需要冷藏保存的样品，在样品采集后立即放入装有冰袋的保温箱中，保证保温箱内样品的温度0-4℃，需要添加固定剂的按要求添加固定剂，采样结束后及时送回实验室</w:t>
      </w:r>
    </w:p>
    <w:p>
      <w:pPr>
        <w:spacing w:line="360" w:lineRule="auto"/>
        <w:ind w:firstLine="480" w:firstLineChars="200"/>
        <w:rPr>
          <w:rFonts w:hint="eastAsia"/>
          <w:sz w:val="24"/>
          <w:szCs w:val="24"/>
          <w:lang w:val="en-US" w:eastAsia="zh-CN"/>
        </w:rPr>
      </w:pPr>
      <w:r>
        <w:rPr>
          <w:rFonts w:hint="eastAsia"/>
          <w:sz w:val="24"/>
          <w:szCs w:val="24"/>
          <w:lang w:val="en-US" w:eastAsia="zh-CN"/>
        </w:rPr>
        <w:t>2、样品流转</w:t>
      </w:r>
    </w:p>
    <w:p>
      <w:pPr>
        <w:spacing w:line="360" w:lineRule="auto"/>
        <w:ind w:firstLine="480" w:firstLineChars="200"/>
        <w:rPr>
          <w:rFonts w:hint="eastAsia"/>
          <w:sz w:val="24"/>
          <w:szCs w:val="24"/>
          <w:lang w:val="en-US" w:eastAsia="zh-CN"/>
        </w:rPr>
      </w:pPr>
      <w:r>
        <w:rPr>
          <w:rFonts w:hint="eastAsia"/>
          <w:sz w:val="24"/>
          <w:szCs w:val="24"/>
          <w:lang w:val="en-US" w:eastAsia="zh-CN"/>
        </w:rPr>
        <w:t>a、装运前核对在采样现场样品必须逐件与样品登记表、样品标签和采样记录进行核对，核对无误后分类装箱。</w:t>
      </w:r>
    </w:p>
    <w:p>
      <w:pPr>
        <w:spacing w:line="360" w:lineRule="auto"/>
        <w:ind w:firstLine="480" w:firstLineChars="200"/>
        <w:rPr>
          <w:rFonts w:hint="eastAsia"/>
          <w:sz w:val="24"/>
          <w:szCs w:val="24"/>
          <w:lang w:val="en-US" w:eastAsia="zh-CN"/>
        </w:rPr>
      </w:pPr>
      <w:r>
        <w:rPr>
          <w:rFonts w:hint="eastAsia"/>
          <w:sz w:val="24"/>
          <w:szCs w:val="24"/>
          <w:lang w:val="en-US" w:eastAsia="zh-CN"/>
        </w:rPr>
        <w:t>b、运输过程中严防样品的损失、混淆和沾污。对光敏感的样品应有避光外包装。</w:t>
      </w:r>
    </w:p>
    <w:p>
      <w:pPr>
        <w:spacing w:line="360" w:lineRule="auto"/>
        <w:ind w:firstLine="480" w:firstLineChars="200"/>
        <w:rPr>
          <w:rFonts w:hint="eastAsia"/>
          <w:sz w:val="24"/>
          <w:szCs w:val="24"/>
          <w:lang w:val="en-US" w:eastAsia="zh-CN"/>
        </w:rPr>
      </w:pPr>
      <w:r>
        <w:rPr>
          <w:rFonts w:hint="eastAsia"/>
          <w:sz w:val="24"/>
          <w:szCs w:val="24"/>
          <w:lang w:val="en-US" w:eastAsia="zh-CN"/>
        </w:rPr>
        <w:t>c、由送样人将土壤样品送到实验室，送样者和接样者双方同时清点核实样品，并在样品交接单上签字确认,样品交接单由双方各存一份备查。</w:t>
      </w:r>
    </w:p>
    <w:p>
      <w:pPr>
        <w:spacing w:line="360" w:lineRule="auto"/>
        <w:ind w:firstLine="480" w:firstLineChars="200"/>
        <w:rPr>
          <w:rFonts w:hint="eastAsia"/>
          <w:sz w:val="24"/>
          <w:szCs w:val="24"/>
          <w:lang w:val="en-US" w:eastAsia="zh-CN"/>
        </w:rPr>
      </w:pPr>
      <w:r>
        <w:rPr>
          <w:rFonts w:hint="eastAsia"/>
          <w:sz w:val="24"/>
          <w:szCs w:val="24"/>
          <w:lang w:val="en-US" w:eastAsia="zh-CN"/>
        </w:rPr>
        <w:t>3、样品制备</w:t>
      </w:r>
    </w:p>
    <w:p>
      <w:pPr>
        <w:spacing w:line="360" w:lineRule="auto"/>
        <w:ind w:firstLine="480" w:firstLineChars="200"/>
        <w:rPr>
          <w:rFonts w:hint="eastAsia"/>
          <w:sz w:val="24"/>
          <w:szCs w:val="24"/>
          <w:lang w:val="en-US" w:eastAsia="zh-CN"/>
        </w:rPr>
      </w:pPr>
      <w:r>
        <w:rPr>
          <w:rFonts w:hint="eastAsia"/>
          <w:sz w:val="24"/>
          <w:szCs w:val="24"/>
          <w:lang w:val="en-US" w:eastAsia="zh-CN"/>
        </w:rPr>
        <w:t>在风干室将土样放置于风干盘中，摊成2～3 cm 的薄层，适时地压碎、翻动，拣出碎石、砂砾、植物残体，在磨样室将风干的样品倒在有机玻璃板上，用木锤敲打，用木滚、木棒、有机玻璃棒再次压碎，拣出杂质，混匀，并用四分法取压碎样，过孔径0.25mm(20目)尼龙筛。过筛后的样品全部置无色聚乙烯薄膜上，并充分搅拌混匀，再采用四分法取其两份，一份交样品库存放，另一份作样品的细磨用。用于细磨的样品再用四分法分成两份，一份研磨到全部过孔径0.25mm（60 目）筛，用于农药或土壤有机质、土壤全氮量等项目分析；另一份研磨到全部过孔径0.15mm（100目）筛，用于土壤元素全量分析。</w:t>
      </w:r>
    </w:p>
    <w:p>
      <w:pPr>
        <w:spacing w:line="360" w:lineRule="auto"/>
        <w:ind w:firstLine="480" w:firstLineChars="200"/>
        <w:rPr>
          <w:rFonts w:hint="eastAsia"/>
          <w:sz w:val="24"/>
          <w:szCs w:val="24"/>
          <w:lang w:val="en-US" w:eastAsia="zh-CN"/>
        </w:rPr>
      </w:pPr>
      <w:r>
        <w:rPr>
          <w:rFonts w:hint="eastAsia"/>
          <w:sz w:val="24"/>
          <w:szCs w:val="24"/>
          <w:lang w:val="en-US" w:eastAsia="zh-CN"/>
        </w:rPr>
        <w:t>（6）检测分析方法</w:t>
      </w:r>
    </w:p>
    <w:p>
      <w:pPr>
        <w:spacing w:line="360" w:lineRule="auto"/>
        <w:ind w:firstLine="480" w:firstLineChars="200"/>
        <w:rPr>
          <w:rFonts w:hint="eastAsia"/>
          <w:sz w:val="24"/>
          <w:szCs w:val="24"/>
          <w:lang w:val="en-US" w:eastAsia="zh-CN"/>
        </w:rPr>
      </w:pPr>
      <w:r>
        <w:rPr>
          <w:rFonts w:hint="eastAsia"/>
          <w:sz w:val="24"/>
          <w:szCs w:val="24"/>
          <w:lang w:val="en-US" w:eastAsia="zh-CN"/>
        </w:rPr>
        <w:t>污染物手工监测方法、使用仪器及检出限见表1</w:t>
      </w:r>
    </w:p>
    <w:p>
      <w:pPr>
        <w:spacing w:line="360" w:lineRule="auto"/>
        <w:jc w:val="center"/>
        <w:rPr>
          <w:rFonts w:hint="eastAsia"/>
          <w:sz w:val="24"/>
          <w:szCs w:val="24"/>
          <w:lang w:val="en-US" w:eastAsia="zh-CN"/>
        </w:rPr>
      </w:pPr>
      <w:r>
        <w:rPr>
          <w:rFonts w:hint="eastAsia"/>
          <w:sz w:val="24"/>
          <w:szCs w:val="24"/>
          <w:lang w:val="en-US" w:eastAsia="zh-CN"/>
        </w:rPr>
        <w:t>表1 污染物手工监测方法、使用仪器及检出限一览表</w:t>
      </w:r>
    </w:p>
    <w:tbl>
      <w:tblPr>
        <w:tblStyle w:val="17"/>
        <w:tblW w:w="8733"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3960"/>
        <w:gridCol w:w="1680"/>
        <w:gridCol w:w="174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344" w:type="dxa"/>
            <w:tcBorders>
              <w:tl2br w:val="nil"/>
              <w:tr2bl w:val="nil"/>
            </w:tcBorders>
            <w:noWrap w:val="0"/>
            <w:vAlign w:val="center"/>
          </w:tcPr>
          <w:p>
            <w:pPr>
              <w:jc w:val="center"/>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监测</w:t>
            </w:r>
          </w:p>
          <w:p>
            <w:pPr>
              <w:jc w:val="center"/>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项目</w:t>
            </w:r>
          </w:p>
        </w:tc>
        <w:tc>
          <w:tcPr>
            <w:tcW w:w="3960" w:type="dxa"/>
            <w:tcBorders>
              <w:tl2br w:val="nil"/>
              <w:tr2bl w:val="nil"/>
            </w:tcBorders>
            <w:noWrap w:val="0"/>
            <w:vAlign w:val="center"/>
          </w:tcPr>
          <w:p>
            <w:pPr>
              <w:jc w:val="center"/>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监测方法</w:t>
            </w:r>
          </w:p>
        </w:tc>
        <w:tc>
          <w:tcPr>
            <w:tcW w:w="1680" w:type="dxa"/>
            <w:tcBorders>
              <w:tl2br w:val="nil"/>
              <w:tr2bl w:val="nil"/>
            </w:tcBorders>
            <w:noWrap w:val="0"/>
            <w:vAlign w:val="center"/>
          </w:tcPr>
          <w:p>
            <w:pPr>
              <w:jc w:val="center"/>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使用仪器</w:t>
            </w:r>
          </w:p>
        </w:tc>
        <w:tc>
          <w:tcPr>
            <w:tcW w:w="1749" w:type="dxa"/>
            <w:tcBorders>
              <w:tl2br w:val="nil"/>
              <w:tr2bl w:val="nil"/>
            </w:tcBorders>
            <w:noWrap w:val="0"/>
            <w:vAlign w:val="center"/>
          </w:tcPr>
          <w:p>
            <w:pPr>
              <w:jc w:val="center"/>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3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一、</w:t>
            </w:r>
            <w:r>
              <w:rPr>
                <w:rFonts w:hint="eastAsia" w:ascii="宋体" w:hAnsi="宋体" w:eastAsia="宋体" w:cs="宋体"/>
                <w:b w:val="0"/>
                <w:bCs w:val="0"/>
                <w:color w:val="000000"/>
                <w:sz w:val="24"/>
                <w:szCs w:val="24"/>
                <w:highlight w:val="none"/>
                <w:lang w:eastAsia="zh-CN"/>
              </w:rPr>
              <w:t>地下水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auto"/>
                <w:sz w:val="24"/>
                <w:szCs w:val="24"/>
                <w:highlight w:val="none"/>
              </w:rPr>
              <w:t>色度</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水质 色度的测定（1.1铂钴比色法）</w:t>
            </w:r>
          </w:p>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i w:val="0"/>
                <w:color w:val="auto"/>
                <w:kern w:val="0"/>
                <w:sz w:val="24"/>
                <w:szCs w:val="24"/>
                <w:u w:val="none"/>
                <w:lang w:val="en-US" w:eastAsia="zh-CN" w:bidi="ar"/>
              </w:rPr>
              <w:t xml:space="preserve"> GB/T 11903-1989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sz w:val="24"/>
                <w:szCs w:val="24"/>
                <w:lang w:val="en-US" w:eastAsia="zh-CN"/>
              </w:rPr>
              <w:t>具塞比色管</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i w:val="0"/>
                <w:color w:val="auto"/>
                <w:kern w:val="0"/>
                <w:sz w:val="24"/>
                <w:szCs w:val="24"/>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auto"/>
                <w:sz w:val="24"/>
                <w:szCs w:val="24"/>
                <w:highlight w:val="none"/>
                <w:lang w:eastAsia="zh-CN"/>
              </w:rPr>
              <w:t>臭</w:t>
            </w:r>
            <w:r>
              <w:rPr>
                <w:rFonts w:hint="eastAsia" w:ascii="宋体" w:hAnsi="宋体" w:eastAsia="宋体" w:cs="宋体"/>
                <w:b w:val="0"/>
                <w:bCs w:val="0"/>
                <w:color w:val="auto"/>
                <w:sz w:val="24"/>
                <w:szCs w:val="24"/>
                <w:highlight w:val="none"/>
              </w:rPr>
              <w:t>和味</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i w:val="0"/>
                <w:color w:val="auto"/>
                <w:kern w:val="0"/>
                <w:sz w:val="24"/>
                <w:szCs w:val="24"/>
                <w:u w:val="none"/>
                <w:lang w:val="en-US" w:eastAsia="zh-CN" w:bidi="ar"/>
              </w:rPr>
              <w:t>生活饮用水标准检验法  感官性状和物理指标（3.1 臭和味  嗅气和尝味法）GB/T 5750.4-2006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sz w:val="24"/>
                <w:szCs w:val="24"/>
                <w:lang w:val="en-US" w:eastAsia="zh-CN"/>
              </w:rPr>
              <w:t>250ml锥形瓶</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i w:val="0"/>
                <w:color w:val="auto"/>
                <w:kern w:val="0"/>
                <w:sz w:val="24"/>
                <w:szCs w:val="24"/>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000000"/>
                <w:kern w:val="2"/>
                <w:sz w:val="24"/>
                <w:szCs w:val="24"/>
                <w:u w:val="none"/>
                <w:lang w:val="en-US" w:eastAsia="zh-CN" w:bidi="ar-SA"/>
              </w:rPr>
            </w:pPr>
            <w:r>
              <w:rPr>
                <w:rFonts w:hint="eastAsia" w:ascii="宋体" w:hAnsi="宋体" w:eastAsia="宋体" w:cs="宋体"/>
                <w:b w:val="0"/>
                <w:bCs w:val="0"/>
                <w:color w:val="auto"/>
                <w:sz w:val="24"/>
                <w:szCs w:val="24"/>
                <w:highlight w:val="none"/>
                <w:lang w:eastAsia="zh-CN"/>
              </w:rPr>
              <w:t>浊度</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000000"/>
                <w:kern w:val="2"/>
                <w:sz w:val="24"/>
                <w:szCs w:val="24"/>
                <w:u w:val="none"/>
                <w:lang w:val="en-US" w:eastAsia="zh-CN" w:bidi="ar-SA"/>
              </w:rPr>
            </w:pPr>
            <w:r>
              <w:rPr>
                <w:rFonts w:hint="eastAsia" w:ascii="宋体" w:hAnsi="宋体" w:eastAsia="宋体" w:cs="宋体"/>
                <w:i w:val="0"/>
                <w:color w:val="auto"/>
                <w:kern w:val="0"/>
                <w:sz w:val="24"/>
                <w:szCs w:val="24"/>
                <w:u w:val="none"/>
                <w:lang w:val="en-US" w:eastAsia="zh-CN" w:bidi="ar"/>
              </w:rPr>
              <w:t>水质 浊度的测定 GB/T 13200-1991</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000000"/>
                <w:kern w:val="2"/>
                <w:sz w:val="24"/>
                <w:szCs w:val="24"/>
                <w:u w:val="none"/>
                <w:lang w:val="en-US" w:eastAsia="zh-CN" w:bidi="ar-SA"/>
              </w:rPr>
            </w:pPr>
            <w:r>
              <w:rPr>
                <w:rFonts w:hint="eastAsia" w:ascii="宋体" w:hAnsi="宋体" w:eastAsia="宋体" w:cs="宋体"/>
                <w:sz w:val="24"/>
                <w:szCs w:val="24"/>
                <w:lang w:val="en-US" w:eastAsia="zh-CN"/>
              </w:rPr>
              <w:t>/</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000000"/>
                <w:kern w:val="2"/>
                <w:sz w:val="24"/>
                <w:szCs w:val="24"/>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目视法：1度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000000"/>
                <w:kern w:val="2"/>
                <w:sz w:val="24"/>
                <w:szCs w:val="24"/>
                <w:u w:val="none"/>
                <w:lang w:val="en-US" w:eastAsia="zh-CN" w:bidi="ar-SA"/>
              </w:rPr>
            </w:pPr>
            <w:r>
              <w:rPr>
                <w:rFonts w:hint="eastAsia" w:ascii="宋体" w:hAnsi="宋体" w:eastAsia="宋体" w:cs="宋体"/>
                <w:b w:val="0"/>
                <w:bCs w:val="0"/>
                <w:color w:val="auto"/>
                <w:sz w:val="24"/>
                <w:szCs w:val="24"/>
                <w:highlight w:val="none"/>
              </w:rPr>
              <w:t>肉眼可见物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000000"/>
                <w:kern w:val="2"/>
                <w:sz w:val="24"/>
                <w:szCs w:val="24"/>
                <w:u w:val="none"/>
                <w:lang w:val="en-US" w:eastAsia="zh-CN" w:bidi="ar-SA"/>
              </w:rPr>
            </w:pPr>
            <w:r>
              <w:rPr>
                <w:rStyle w:val="41"/>
                <w:rFonts w:hint="eastAsia" w:ascii="宋体" w:hAnsi="宋体" w:eastAsia="宋体" w:cs="宋体"/>
                <w:sz w:val="24"/>
                <w:szCs w:val="24"/>
              </w:rPr>
              <w:t>生活饮用水标准检验方法</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感官性状和物理指标（</w:t>
            </w:r>
            <w:r>
              <w:rPr>
                <w:rStyle w:val="42"/>
                <w:rFonts w:hint="eastAsia" w:ascii="宋体" w:hAnsi="宋体" w:eastAsia="宋体" w:cs="宋体"/>
                <w:sz w:val="24"/>
                <w:szCs w:val="24"/>
              </w:rPr>
              <w:t>4.1</w:t>
            </w:r>
            <w:r>
              <w:rPr>
                <w:rStyle w:val="41"/>
                <w:rFonts w:hint="eastAsia" w:ascii="宋体" w:hAnsi="宋体" w:eastAsia="宋体" w:cs="宋体"/>
                <w:sz w:val="24"/>
                <w:szCs w:val="24"/>
              </w:rPr>
              <w:t>直接观察法）</w:t>
            </w:r>
            <w:r>
              <w:rPr>
                <w:rStyle w:val="42"/>
                <w:rFonts w:hint="eastAsia" w:ascii="宋体" w:hAnsi="宋体" w:eastAsia="宋体" w:cs="宋体"/>
                <w:sz w:val="24"/>
                <w:szCs w:val="24"/>
              </w:rPr>
              <w:t>GB/T5750.4-2006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i w:val="0"/>
                <w:color w:val="000000"/>
                <w:kern w:val="0"/>
                <w:sz w:val="24"/>
                <w:szCs w:val="24"/>
                <w:u w:val="none"/>
                <w:lang w:val="en-US" w:eastAsia="zh-CN" w:bidi="ar"/>
              </w:rPr>
            </w:pPr>
            <w:r>
              <w:rPr>
                <w:rFonts w:hint="eastAsia" w:ascii="宋体" w:hAnsi="宋体" w:eastAsia="宋体" w:cs="宋体"/>
                <w:sz w:val="24"/>
                <w:szCs w:val="24"/>
                <w:lang w:val="en-US" w:eastAsia="zh-CN"/>
              </w:rPr>
              <w:t>/</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000000"/>
                <w:kern w:val="2"/>
                <w:sz w:val="24"/>
                <w:szCs w:val="24"/>
                <w:u w:val="none"/>
                <w:lang w:val="en-US" w:eastAsia="zh-CN" w:bidi="ar-SA"/>
              </w:rPr>
            </w:pPr>
            <w:r>
              <w:rPr>
                <w:rStyle w:val="43"/>
                <w:rFonts w:hint="eastAsia" w:ascii="宋体" w:hAnsi="宋体" w:eastAsia="宋体" w:cs="宋体"/>
                <w:sz w:val="24"/>
                <w:szCs w:val="24"/>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spacing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sz w:val="24"/>
                <w:szCs w:val="24"/>
                <w:lang w:eastAsia="zh-CN"/>
              </w:rPr>
              <w:t>pH</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Fonts w:hint="eastAsia" w:ascii="宋体" w:hAnsi="宋体" w:eastAsia="宋体" w:cs="宋体"/>
                <w:i w:val="0"/>
                <w:color w:val="auto"/>
                <w:kern w:val="0"/>
                <w:sz w:val="24"/>
                <w:szCs w:val="24"/>
                <w:u w:val="none"/>
                <w:lang w:val="en-US" w:eastAsia="zh-CN" w:bidi="ar"/>
              </w:rPr>
              <w:t>水质 pH值的测定 电极法 HJ1147-2020</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便携式pH计</w:t>
            </w:r>
          </w:p>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PHBJ-260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GZYQ151/161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总硬度</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Fonts w:hint="eastAsia" w:ascii="宋体" w:hAnsi="宋体" w:eastAsia="宋体" w:cs="宋体"/>
                <w:i w:val="0"/>
                <w:color w:val="auto"/>
                <w:kern w:val="0"/>
                <w:sz w:val="24"/>
                <w:szCs w:val="24"/>
                <w:u w:val="none"/>
                <w:lang w:val="en-US" w:eastAsia="zh-CN" w:bidi="ar"/>
              </w:rPr>
              <w:t xml:space="preserve">水质 钙和镁总量的测定 EDTA滴定法  GB/T7477-1987 </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i w:val="0"/>
                <w:color w:val="auto"/>
                <w:kern w:val="0"/>
                <w:sz w:val="24"/>
                <w:szCs w:val="24"/>
                <w:u w:val="none"/>
                <w:lang w:val="en-US" w:eastAsia="zh-CN" w:bidi="ar"/>
              </w:rPr>
              <w:t>滴定管</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0.05mmol/L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溶解性总固体</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Fonts w:hint="eastAsia" w:ascii="宋体" w:hAnsi="宋体" w:eastAsia="宋体" w:cs="宋体"/>
                <w:i w:val="0"/>
                <w:color w:val="auto"/>
                <w:kern w:val="0"/>
                <w:sz w:val="24"/>
                <w:szCs w:val="24"/>
                <w:u w:val="none"/>
                <w:lang w:val="en-US" w:eastAsia="zh-CN" w:bidi="ar"/>
              </w:rPr>
              <w:t>重量法  《水和废水监测分析方法》（第四版增补版）第三篇 第一章 第七节 （二）</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电子天平FR224CN</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GZYQ07</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硫酸盐</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无机阴离子（</w:t>
            </w:r>
            <w:r>
              <w:rPr>
                <w:rStyle w:val="42"/>
                <w:rFonts w:hint="eastAsia" w:ascii="宋体" w:hAnsi="宋体" w:eastAsia="宋体" w:cs="宋体"/>
                <w:sz w:val="24"/>
                <w:szCs w:val="24"/>
              </w:rPr>
              <w:t>F</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Cl</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NO</w:t>
            </w:r>
            <w:r>
              <w:rPr>
                <w:rStyle w:val="42"/>
                <w:rFonts w:hint="eastAsia" w:ascii="宋体" w:hAnsi="宋体" w:eastAsia="宋体" w:cs="宋体"/>
                <w:sz w:val="24"/>
                <w:szCs w:val="24"/>
                <w:vertAlign w:val="subscript"/>
              </w:rPr>
              <w:t>2</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Br</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NO</w:t>
            </w:r>
            <w:r>
              <w:rPr>
                <w:rStyle w:val="42"/>
                <w:rFonts w:hint="eastAsia" w:ascii="宋体" w:hAnsi="宋体" w:eastAsia="宋体" w:cs="宋体"/>
                <w:sz w:val="24"/>
                <w:szCs w:val="24"/>
                <w:vertAlign w:val="subscript"/>
              </w:rPr>
              <w:t>3</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PO</w:t>
            </w:r>
            <w:r>
              <w:rPr>
                <w:rStyle w:val="42"/>
                <w:rFonts w:hint="eastAsia" w:ascii="宋体" w:hAnsi="宋体" w:eastAsia="宋体" w:cs="宋体"/>
                <w:sz w:val="24"/>
                <w:szCs w:val="24"/>
                <w:vertAlign w:val="subscript"/>
              </w:rPr>
              <w:t>4</w:t>
            </w:r>
            <w:r>
              <w:rPr>
                <w:rStyle w:val="42"/>
                <w:rFonts w:hint="eastAsia" w:ascii="宋体" w:hAnsi="宋体" w:eastAsia="宋体" w:cs="宋体"/>
                <w:sz w:val="24"/>
                <w:szCs w:val="24"/>
                <w:vertAlign w:val="superscript"/>
              </w:rPr>
              <w:t>3-</w:t>
            </w:r>
            <w:r>
              <w:rPr>
                <w:rStyle w:val="41"/>
                <w:rFonts w:hint="eastAsia" w:ascii="宋体" w:hAnsi="宋体" w:eastAsia="宋体" w:cs="宋体"/>
                <w:sz w:val="24"/>
                <w:szCs w:val="24"/>
              </w:rPr>
              <w:t>、</w:t>
            </w:r>
            <w:r>
              <w:rPr>
                <w:rStyle w:val="42"/>
                <w:rFonts w:hint="eastAsia" w:ascii="宋体" w:hAnsi="宋体" w:eastAsia="宋体" w:cs="宋体"/>
                <w:sz w:val="24"/>
                <w:szCs w:val="24"/>
              </w:rPr>
              <w:t>SO</w:t>
            </w:r>
            <w:r>
              <w:rPr>
                <w:rStyle w:val="42"/>
                <w:rFonts w:hint="eastAsia" w:ascii="宋体" w:hAnsi="宋体" w:eastAsia="宋体" w:cs="宋体"/>
                <w:sz w:val="24"/>
                <w:szCs w:val="24"/>
                <w:vertAlign w:val="subscript"/>
              </w:rPr>
              <w:t>3</w:t>
            </w:r>
            <w:r>
              <w:rPr>
                <w:rStyle w:val="42"/>
                <w:rFonts w:hint="eastAsia" w:ascii="宋体" w:hAnsi="宋体" w:eastAsia="宋体" w:cs="宋体"/>
                <w:sz w:val="24"/>
                <w:szCs w:val="24"/>
                <w:vertAlign w:val="superscript"/>
              </w:rPr>
              <w:t>2-</w:t>
            </w:r>
            <w:r>
              <w:rPr>
                <w:rStyle w:val="41"/>
                <w:rFonts w:hint="eastAsia" w:ascii="宋体" w:hAnsi="宋体" w:eastAsia="宋体" w:cs="宋体"/>
                <w:sz w:val="24"/>
                <w:szCs w:val="24"/>
              </w:rPr>
              <w:t>、</w:t>
            </w:r>
            <w:r>
              <w:rPr>
                <w:rStyle w:val="42"/>
                <w:rFonts w:hint="eastAsia" w:ascii="宋体" w:hAnsi="宋体" w:eastAsia="宋体" w:cs="宋体"/>
                <w:sz w:val="24"/>
                <w:szCs w:val="24"/>
              </w:rPr>
              <w:t>SO</w:t>
            </w:r>
            <w:r>
              <w:rPr>
                <w:rStyle w:val="42"/>
                <w:rFonts w:hint="eastAsia" w:ascii="宋体" w:hAnsi="宋体" w:eastAsia="宋体" w:cs="宋体"/>
                <w:sz w:val="24"/>
                <w:szCs w:val="24"/>
                <w:vertAlign w:val="subscript"/>
              </w:rPr>
              <w:t>4</w:t>
            </w:r>
            <w:r>
              <w:rPr>
                <w:rStyle w:val="42"/>
                <w:rFonts w:hint="eastAsia" w:ascii="宋体" w:hAnsi="宋体" w:eastAsia="宋体" w:cs="宋体"/>
                <w:sz w:val="24"/>
                <w:szCs w:val="24"/>
                <w:vertAlign w:val="superscript"/>
              </w:rPr>
              <w:t>2-</w:t>
            </w:r>
            <w:r>
              <w:rPr>
                <w:rStyle w:val="41"/>
                <w:rFonts w:hint="eastAsia" w:ascii="宋体" w:hAnsi="宋体" w:eastAsia="宋体" w:cs="宋体"/>
                <w:sz w:val="24"/>
                <w:szCs w:val="24"/>
              </w:rPr>
              <w:t>）的测定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离子色谱法</w:t>
            </w:r>
            <w:r>
              <w:rPr>
                <w:rStyle w:val="42"/>
                <w:rFonts w:hint="eastAsia" w:ascii="宋体" w:hAnsi="宋体" w:eastAsia="宋体" w:cs="宋体"/>
                <w:sz w:val="24"/>
                <w:szCs w:val="24"/>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GZYQ108</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0.018mg/L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lang w:eastAsia="zh-CN"/>
              </w:rPr>
              <w:t>氯化物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无机阴离子（</w:t>
            </w:r>
            <w:r>
              <w:rPr>
                <w:rStyle w:val="42"/>
                <w:rFonts w:hint="eastAsia" w:ascii="宋体" w:hAnsi="宋体" w:eastAsia="宋体" w:cs="宋体"/>
                <w:sz w:val="24"/>
                <w:szCs w:val="24"/>
              </w:rPr>
              <w:t>F</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Cl</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NO</w:t>
            </w:r>
            <w:r>
              <w:rPr>
                <w:rStyle w:val="42"/>
                <w:rFonts w:hint="eastAsia" w:ascii="宋体" w:hAnsi="宋体" w:eastAsia="宋体" w:cs="宋体"/>
                <w:sz w:val="24"/>
                <w:szCs w:val="24"/>
                <w:vertAlign w:val="subscript"/>
              </w:rPr>
              <w:t>2</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Br</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NO</w:t>
            </w:r>
            <w:r>
              <w:rPr>
                <w:rStyle w:val="42"/>
                <w:rFonts w:hint="eastAsia" w:ascii="宋体" w:hAnsi="宋体" w:eastAsia="宋体" w:cs="宋体"/>
                <w:sz w:val="24"/>
                <w:szCs w:val="24"/>
                <w:vertAlign w:val="subscript"/>
              </w:rPr>
              <w:t>3</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PO</w:t>
            </w:r>
            <w:r>
              <w:rPr>
                <w:rStyle w:val="42"/>
                <w:rFonts w:hint="eastAsia" w:ascii="宋体" w:hAnsi="宋体" w:eastAsia="宋体" w:cs="宋体"/>
                <w:sz w:val="24"/>
                <w:szCs w:val="24"/>
                <w:vertAlign w:val="subscript"/>
              </w:rPr>
              <w:t>4</w:t>
            </w:r>
            <w:r>
              <w:rPr>
                <w:rStyle w:val="42"/>
                <w:rFonts w:hint="eastAsia" w:ascii="宋体" w:hAnsi="宋体" w:eastAsia="宋体" w:cs="宋体"/>
                <w:sz w:val="24"/>
                <w:szCs w:val="24"/>
                <w:vertAlign w:val="superscript"/>
              </w:rPr>
              <w:t>3-</w:t>
            </w:r>
            <w:r>
              <w:rPr>
                <w:rStyle w:val="41"/>
                <w:rFonts w:hint="eastAsia" w:ascii="宋体" w:hAnsi="宋体" w:eastAsia="宋体" w:cs="宋体"/>
                <w:sz w:val="24"/>
                <w:szCs w:val="24"/>
              </w:rPr>
              <w:t>、</w:t>
            </w:r>
            <w:r>
              <w:rPr>
                <w:rStyle w:val="42"/>
                <w:rFonts w:hint="eastAsia" w:ascii="宋体" w:hAnsi="宋体" w:eastAsia="宋体" w:cs="宋体"/>
                <w:sz w:val="24"/>
                <w:szCs w:val="24"/>
              </w:rPr>
              <w:t>SO</w:t>
            </w:r>
            <w:r>
              <w:rPr>
                <w:rStyle w:val="42"/>
                <w:rFonts w:hint="eastAsia" w:ascii="宋体" w:hAnsi="宋体" w:eastAsia="宋体" w:cs="宋体"/>
                <w:sz w:val="24"/>
                <w:szCs w:val="24"/>
                <w:vertAlign w:val="subscript"/>
              </w:rPr>
              <w:t>3</w:t>
            </w:r>
            <w:r>
              <w:rPr>
                <w:rStyle w:val="42"/>
                <w:rFonts w:hint="eastAsia" w:ascii="宋体" w:hAnsi="宋体" w:eastAsia="宋体" w:cs="宋体"/>
                <w:sz w:val="24"/>
                <w:szCs w:val="24"/>
                <w:vertAlign w:val="superscript"/>
              </w:rPr>
              <w:t>2-</w:t>
            </w:r>
            <w:r>
              <w:rPr>
                <w:rStyle w:val="41"/>
                <w:rFonts w:hint="eastAsia" w:ascii="宋体" w:hAnsi="宋体" w:eastAsia="宋体" w:cs="宋体"/>
                <w:sz w:val="24"/>
                <w:szCs w:val="24"/>
              </w:rPr>
              <w:t>、</w:t>
            </w:r>
            <w:r>
              <w:rPr>
                <w:rStyle w:val="42"/>
                <w:rFonts w:hint="eastAsia" w:ascii="宋体" w:hAnsi="宋体" w:eastAsia="宋体" w:cs="宋体"/>
                <w:sz w:val="24"/>
                <w:szCs w:val="24"/>
              </w:rPr>
              <w:t>SO</w:t>
            </w:r>
            <w:r>
              <w:rPr>
                <w:rStyle w:val="42"/>
                <w:rFonts w:hint="eastAsia" w:ascii="宋体" w:hAnsi="宋体" w:eastAsia="宋体" w:cs="宋体"/>
                <w:sz w:val="24"/>
                <w:szCs w:val="24"/>
                <w:vertAlign w:val="subscript"/>
              </w:rPr>
              <w:t>4</w:t>
            </w:r>
            <w:r>
              <w:rPr>
                <w:rStyle w:val="42"/>
                <w:rFonts w:hint="eastAsia" w:ascii="宋体" w:hAnsi="宋体" w:eastAsia="宋体" w:cs="宋体"/>
                <w:sz w:val="24"/>
                <w:szCs w:val="24"/>
                <w:vertAlign w:val="superscript"/>
              </w:rPr>
              <w:t>2-</w:t>
            </w:r>
            <w:r>
              <w:rPr>
                <w:rStyle w:val="41"/>
                <w:rFonts w:hint="eastAsia" w:ascii="宋体" w:hAnsi="宋体" w:eastAsia="宋体" w:cs="宋体"/>
                <w:sz w:val="24"/>
                <w:szCs w:val="24"/>
              </w:rPr>
              <w:t>）的测定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离子色谱法</w:t>
            </w:r>
            <w:r>
              <w:rPr>
                <w:rStyle w:val="42"/>
                <w:rFonts w:hint="eastAsia" w:ascii="宋体" w:hAnsi="宋体" w:eastAsia="宋体" w:cs="宋体"/>
                <w:sz w:val="24"/>
                <w:szCs w:val="24"/>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GZYQ108</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0.007mg/L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铁</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铁、锰的测定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火焰原子吸收分光光度法</w:t>
            </w:r>
            <w:r>
              <w:rPr>
                <w:rStyle w:val="42"/>
                <w:rFonts w:hint="eastAsia" w:ascii="宋体" w:hAnsi="宋体" w:eastAsia="宋体" w:cs="宋体"/>
                <w:sz w:val="24"/>
                <w:szCs w:val="24"/>
              </w:rPr>
              <w:t xml:space="preserve"> GB /T 11911-1989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铁：</w:t>
            </w:r>
            <w:r>
              <w:rPr>
                <w:rStyle w:val="44"/>
                <w:rFonts w:hint="eastAsia" w:ascii="宋体" w:hAnsi="宋体" w:eastAsia="宋体" w:cs="宋体"/>
                <w:sz w:val="24"/>
                <w:szCs w:val="24"/>
              </w:rPr>
              <w:t>0.03mg/L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锰</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铁、锰的测定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火焰原子吸收分光光度法</w:t>
            </w:r>
            <w:r>
              <w:rPr>
                <w:rStyle w:val="42"/>
                <w:rFonts w:hint="eastAsia" w:ascii="宋体" w:hAnsi="宋体" w:eastAsia="宋体" w:cs="宋体"/>
                <w:sz w:val="24"/>
                <w:szCs w:val="24"/>
              </w:rPr>
              <w:t xml:space="preserve"> GB /T 11911-1989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锰：</w:t>
            </w:r>
            <w:r>
              <w:rPr>
                <w:rStyle w:val="44"/>
                <w:rFonts w:hint="eastAsia" w:ascii="宋体" w:hAnsi="宋体" w:eastAsia="宋体" w:cs="宋体"/>
                <w:sz w:val="24"/>
                <w:szCs w:val="24"/>
              </w:rPr>
              <w:t>0.01mg/L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铜</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铜、锌、铅、镉的测定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原子吸收分光光度法</w:t>
            </w:r>
            <w:r>
              <w:rPr>
                <w:rStyle w:val="42"/>
                <w:rFonts w:hint="eastAsia" w:ascii="宋体" w:hAnsi="宋体" w:eastAsia="宋体" w:cs="宋体"/>
                <w:sz w:val="24"/>
                <w:szCs w:val="24"/>
              </w:rPr>
              <w:t xml:space="preserve"> GB/T 7475-1987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螯合萃取法：</w:t>
            </w:r>
            <w:r>
              <w:rPr>
                <w:rStyle w:val="43"/>
                <w:rFonts w:hint="eastAsia" w:ascii="宋体" w:hAnsi="宋体" w:eastAsia="宋体" w:cs="宋体"/>
                <w:sz w:val="24"/>
                <w:szCs w:val="24"/>
                <w:lang w:val="en-US" w:eastAsia="zh-CN"/>
              </w:rPr>
              <w:t>0.001</w:t>
            </w:r>
            <w:r>
              <w:rPr>
                <w:rFonts w:hint="eastAsia" w:ascii="宋体" w:hAnsi="宋体" w:eastAsia="宋体" w:cs="宋体"/>
                <w:i w:val="0"/>
                <w:color w:val="000000"/>
                <w:sz w:val="24"/>
                <w:szCs w:val="24"/>
                <w:u w:val="none"/>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锌</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铜、锌、铅、镉的测定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原子吸收分光光度法</w:t>
            </w:r>
            <w:r>
              <w:rPr>
                <w:rStyle w:val="42"/>
                <w:rFonts w:hint="eastAsia" w:ascii="宋体" w:hAnsi="宋体" w:eastAsia="宋体" w:cs="宋体"/>
                <w:sz w:val="24"/>
                <w:szCs w:val="24"/>
              </w:rPr>
              <w:t xml:space="preserve"> GB/T 7475-1987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锌：</w:t>
            </w:r>
            <w:r>
              <w:rPr>
                <w:rStyle w:val="44"/>
                <w:rFonts w:hint="eastAsia" w:ascii="宋体" w:hAnsi="宋体" w:eastAsia="宋体" w:cs="宋体"/>
                <w:sz w:val="24"/>
                <w:szCs w:val="24"/>
              </w:rPr>
              <w:t>0.05mg/L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铝</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生活饮用水标准检验方法</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金属指标（</w:t>
            </w:r>
            <w:r>
              <w:rPr>
                <w:rStyle w:val="42"/>
                <w:rFonts w:hint="eastAsia" w:ascii="宋体" w:hAnsi="宋体" w:eastAsia="宋体" w:cs="宋体"/>
                <w:sz w:val="24"/>
                <w:szCs w:val="24"/>
              </w:rPr>
              <w:t>1.3</w:t>
            </w:r>
            <w:r>
              <w:rPr>
                <w:rStyle w:val="41"/>
                <w:rFonts w:hint="eastAsia" w:ascii="宋体" w:hAnsi="宋体" w:eastAsia="宋体" w:cs="宋体"/>
                <w:sz w:val="24"/>
                <w:szCs w:val="24"/>
              </w:rPr>
              <w:t>无火焰原子吸收分光光度法）</w:t>
            </w:r>
            <w:r>
              <w:rPr>
                <w:rStyle w:val="42"/>
                <w:rFonts w:hint="eastAsia" w:ascii="宋体" w:hAnsi="宋体" w:eastAsia="宋体" w:cs="宋体"/>
                <w:sz w:val="24"/>
                <w:szCs w:val="24"/>
              </w:rPr>
              <w:t xml:space="preserve"> GB/T 5750.6-2006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原子吸收分光光度计TAS-990G</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GZYQ103</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000000"/>
                <w:sz w:val="24"/>
                <w:szCs w:val="24"/>
                <w:u w:val="none"/>
              </w:rPr>
              <w:t>10μg/L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挥发酚</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Fonts w:hint="eastAsia" w:ascii="宋体" w:hAnsi="宋体" w:eastAsia="宋体" w:cs="宋体"/>
                <w:i w:val="0"/>
                <w:color w:val="auto"/>
                <w:kern w:val="0"/>
                <w:sz w:val="24"/>
                <w:szCs w:val="24"/>
                <w:u w:val="none"/>
                <w:lang w:val="en-US" w:eastAsia="zh-CN" w:bidi="ar"/>
              </w:rPr>
              <w:t>水质 挥发酚的测定 4-氨基安替比林分光光度法 HJ 503-2009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GZYQ01</w:t>
            </w:r>
          </w:p>
        </w:tc>
        <w:tc>
          <w:tcPr>
            <w:tcW w:w="1749" w:type="dxa"/>
            <w:tcBorders>
              <w:tl2br w:val="nil"/>
              <w:tr2bl w:val="nil"/>
            </w:tcBorders>
            <w:noWrap w:val="0"/>
            <w:vAlign w:val="center"/>
          </w:tcPr>
          <w:p>
            <w:pPr>
              <w:widowControl/>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color w:val="auto"/>
                <w:kern w:val="0"/>
                <w:sz w:val="24"/>
                <w:szCs w:val="24"/>
                <w:highlight w:val="none"/>
                <w:lang w:bidi="ar"/>
              </w:rPr>
              <w:t>0.0003mg/L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lang w:eastAsia="zh-CN"/>
              </w:rPr>
              <w:t>阴离子表面活性剂</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Fonts w:hint="eastAsia" w:ascii="宋体" w:hAnsi="宋体" w:eastAsia="宋体" w:cs="宋体"/>
                <w:i w:val="0"/>
                <w:color w:val="auto"/>
                <w:kern w:val="0"/>
                <w:sz w:val="24"/>
                <w:szCs w:val="24"/>
                <w:u w:val="none"/>
                <w:lang w:val="en-US" w:eastAsia="zh-CN" w:bidi="ar"/>
              </w:rPr>
              <w:t>水质 阴离子表面活性剂的测定 亚甲蓝分光光度法 GB/T 7494-1987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耗氧量</w:t>
            </w:r>
          </w:p>
        </w:tc>
        <w:tc>
          <w:tcPr>
            <w:tcW w:w="3960" w:type="dxa"/>
            <w:tcBorders>
              <w:tl2br w:val="nil"/>
              <w:tr2bl w:val="nil"/>
            </w:tcBorders>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生活饮用水标准检验方法 有机物综合指标</w:t>
            </w:r>
            <w:r>
              <w:rPr>
                <w:rFonts w:hint="eastAsia" w:ascii="宋体" w:hAnsi="宋体" w:eastAsia="宋体" w:cs="宋体"/>
                <w:sz w:val="24"/>
                <w:szCs w:val="24"/>
                <w:highlight w:val="none"/>
                <w:lang w:val="en-US" w:eastAsia="zh-CN"/>
              </w:rPr>
              <w:t>（1.1耗氧量  酸性高锰酸钾滴法）</w:t>
            </w:r>
          </w:p>
          <w:p>
            <w:pPr>
              <w:ind w:left="0" w:leftChars="0" w:right="0" w:rightChars="0"/>
              <w:jc w:val="center"/>
              <w:rPr>
                <w:rFonts w:hint="eastAsia" w:ascii="宋体" w:hAnsi="宋体" w:eastAsia="宋体" w:cs="宋体"/>
                <w:b w:val="0"/>
                <w:bCs w:val="0"/>
                <w:color w:val="auto"/>
                <w:kern w:val="2"/>
                <w:sz w:val="24"/>
                <w:szCs w:val="24"/>
                <w:u w:val="none"/>
                <w:lang w:val="en-US" w:eastAsia="zh-CN" w:bidi="ar-SA"/>
              </w:rPr>
            </w:pPr>
            <w:r>
              <w:rPr>
                <w:rFonts w:hint="eastAsia" w:ascii="宋体" w:hAnsi="宋体" w:eastAsia="宋体" w:cs="宋体"/>
                <w:sz w:val="24"/>
                <w:szCs w:val="24"/>
                <w:highlight w:val="none"/>
              </w:rPr>
              <w:t>GB/T 5750.7-2006</w:t>
            </w:r>
          </w:p>
        </w:tc>
        <w:tc>
          <w:tcPr>
            <w:tcW w:w="168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i w:val="0"/>
                <w:color w:val="auto"/>
                <w:kern w:val="0"/>
                <w:sz w:val="24"/>
                <w:szCs w:val="24"/>
                <w:highlight w:val="none"/>
                <w:u w:val="none"/>
                <w:lang w:val="en-US" w:eastAsia="zh-CN" w:bidi="ar"/>
              </w:rPr>
              <w:t>滴定管</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highlight w:val="none"/>
                <w:u w:val="none"/>
                <w:lang w:val="en-US" w:eastAsia="zh-CN" w:bidi="ar"/>
              </w:rPr>
              <w:t>0.05mg/L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氨氮</w:t>
            </w:r>
          </w:p>
        </w:tc>
        <w:tc>
          <w:tcPr>
            <w:tcW w:w="39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 xml:space="preserve">水质 氨氮的测定 纳氏试剂分光光度法 </w:t>
            </w:r>
          </w:p>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HJ 535-2009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GZYQ01</w:t>
            </w:r>
          </w:p>
        </w:tc>
        <w:tc>
          <w:tcPr>
            <w:tcW w:w="174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highlight w:val="none"/>
                <w:u w:val="none"/>
                <w:lang w:val="en-US" w:eastAsia="zh-CN" w:bidi="ar"/>
              </w:rPr>
              <w:t>0.025mg/L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lang w:eastAsia="zh-CN"/>
              </w:rPr>
              <w:t>硫化物</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Fonts w:hint="eastAsia" w:ascii="宋体" w:hAnsi="宋体" w:eastAsia="宋体" w:cs="宋体"/>
                <w:i w:val="0"/>
                <w:color w:val="auto"/>
                <w:kern w:val="0"/>
                <w:sz w:val="24"/>
                <w:szCs w:val="24"/>
                <w:u w:val="none"/>
                <w:lang w:val="en-US" w:eastAsia="zh-CN" w:bidi="ar"/>
              </w:rPr>
              <w:t>水质 硫化物的测定 亚甲基蓝分光光度法 HJ 1226- 2021</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0.01mg/L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lang w:eastAsia="zh-CN"/>
              </w:rPr>
              <w:t>钠</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钾和钠的测定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火焰原子吸收分光光度法</w:t>
            </w:r>
            <w:r>
              <w:rPr>
                <w:rStyle w:val="42"/>
                <w:rFonts w:hint="eastAsia" w:ascii="宋体" w:hAnsi="宋体" w:eastAsia="宋体" w:cs="宋体"/>
                <w:sz w:val="24"/>
                <w:szCs w:val="24"/>
              </w:rPr>
              <w:t xml:space="preserve"> GB/T 11904-1989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钠：</w:t>
            </w:r>
            <w:r>
              <w:rPr>
                <w:rStyle w:val="44"/>
                <w:rFonts w:hint="eastAsia" w:ascii="宋体" w:hAnsi="宋体" w:eastAsia="宋体" w:cs="宋体"/>
                <w:sz w:val="24"/>
                <w:szCs w:val="24"/>
              </w:rPr>
              <w:t>0.01mg/L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亚硝酸盐</w:t>
            </w:r>
            <w:r>
              <w:rPr>
                <w:rFonts w:hint="eastAsia" w:ascii="宋体" w:hAnsi="宋体" w:eastAsia="宋体" w:cs="宋体"/>
                <w:b w:val="0"/>
                <w:bCs w:val="0"/>
                <w:color w:val="auto"/>
                <w:sz w:val="24"/>
                <w:szCs w:val="24"/>
                <w:highlight w:val="none"/>
                <w:lang w:eastAsia="zh-CN"/>
              </w:rPr>
              <w:t>氮</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无机阴离子（</w:t>
            </w:r>
            <w:r>
              <w:rPr>
                <w:rStyle w:val="42"/>
                <w:rFonts w:hint="eastAsia" w:ascii="宋体" w:hAnsi="宋体" w:eastAsia="宋体" w:cs="宋体"/>
                <w:sz w:val="24"/>
                <w:szCs w:val="24"/>
              </w:rPr>
              <w:t>F</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Cl</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NO</w:t>
            </w:r>
            <w:r>
              <w:rPr>
                <w:rStyle w:val="42"/>
                <w:rFonts w:hint="eastAsia" w:ascii="宋体" w:hAnsi="宋体" w:eastAsia="宋体" w:cs="宋体"/>
                <w:sz w:val="24"/>
                <w:szCs w:val="24"/>
                <w:vertAlign w:val="subscript"/>
              </w:rPr>
              <w:t>2</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Br</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NO</w:t>
            </w:r>
            <w:r>
              <w:rPr>
                <w:rStyle w:val="42"/>
                <w:rFonts w:hint="eastAsia" w:ascii="宋体" w:hAnsi="宋体" w:eastAsia="宋体" w:cs="宋体"/>
                <w:sz w:val="24"/>
                <w:szCs w:val="24"/>
                <w:vertAlign w:val="subscript"/>
              </w:rPr>
              <w:t>3</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PO</w:t>
            </w:r>
            <w:r>
              <w:rPr>
                <w:rStyle w:val="42"/>
                <w:rFonts w:hint="eastAsia" w:ascii="宋体" w:hAnsi="宋体" w:eastAsia="宋体" w:cs="宋体"/>
                <w:sz w:val="24"/>
                <w:szCs w:val="24"/>
                <w:vertAlign w:val="subscript"/>
              </w:rPr>
              <w:t>4</w:t>
            </w:r>
            <w:r>
              <w:rPr>
                <w:rStyle w:val="42"/>
                <w:rFonts w:hint="eastAsia" w:ascii="宋体" w:hAnsi="宋体" w:eastAsia="宋体" w:cs="宋体"/>
                <w:sz w:val="24"/>
                <w:szCs w:val="24"/>
                <w:vertAlign w:val="superscript"/>
              </w:rPr>
              <w:t>3-</w:t>
            </w:r>
            <w:r>
              <w:rPr>
                <w:rStyle w:val="41"/>
                <w:rFonts w:hint="eastAsia" w:ascii="宋体" w:hAnsi="宋体" w:eastAsia="宋体" w:cs="宋体"/>
                <w:sz w:val="24"/>
                <w:szCs w:val="24"/>
              </w:rPr>
              <w:t>、</w:t>
            </w:r>
            <w:r>
              <w:rPr>
                <w:rStyle w:val="42"/>
                <w:rFonts w:hint="eastAsia" w:ascii="宋体" w:hAnsi="宋体" w:eastAsia="宋体" w:cs="宋体"/>
                <w:sz w:val="24"/>
                <w:szCs w:val="24"/>
              </w:rPr>
              <w:t>SO</w:t>
            </w:r>
            <w:r>
              <w:rPr>
                <w:rStyle w:val="42"/>
                <w:rFonts w:hint="eastAsia" w:ascii="宋体" w:hAnsi="宋体" w:eastAsia="宋体" w:cs="宋体"/>
                <w:sz w:val="24"/>
                <w:szCs w:val="24"/>
                <w:vertAlign w:val="subscript"/>
              </w:rPr>
              <w:t>3</w:t>
            </w:r>
            <w:r>
              <w:rPr>
                <w:rStyle w:val="42"/>
                <w:rFonts w:hint="eastAsia" w:ascii="宋体" w:hAnsi="宋体" w:eastAsia="宋体" w:cs="宋体"/>
                <w:sz w:val="24"/>
                <w:szCs w:val="24"/>
                <w:vertAlign w:val="superscript"/>
              </w:rPr>
              <w:t>2-</w:t>
            </w:r>
            <w:r>
              <w:rPr>
                <w:rStyle w:val="41"/>
                <w:rFonts w:hint="eastAsia" w:ascii="宋体" w:hAnsi="宋体" w:eastAsia="宋体" w:cs="宋体"/>
                <w:sz w:val="24"/>
                <w:szCs w:val="24"/>
              </w:rPr>
              <w:t>、</w:t>
            </w:r>
            <w:r>
              <w:rPr>
                <w:rStyle w:val="42"/>
                <w:rFonts w:hint="eastAsia" w:ascii="宋体" w:hAnsi="宋体" w:eastAsia="宋体" w:cs="宋体"/>
                <w:sz w:val="24"/>
                <w:szCs w:val="24"/>
              </w:rPr>
              <w:t>SO</w:t>
            </w:r>
            <w:r>
              <w:rPr>
                <w:rStyle w:val="42"/>
                <w:rFonts w:hint="eastAsia" w:ascii="宋体" w:hAnsi="宋体" w:eastAsia="宋体" w:cs="宋体"/>
                <w:sz w:val="24"/>
                <w:szCs w:val="24"/>
                <w:vertAlign w:val="subscript"/>
              </w:rPr>
              <w:t>4</w:t>
            </w:r>
            <w:r>
              <w:rPr>
                <w:rStyle w:val="42"/>
                <w:rFonts w:hint="eastAsia" w:ascii="宋体" w:hAnsi="宋体" w:eastAsia="宋体" w:cs="宋体"/>
                <w:sz w:val="24"/>
                <w:szCs w:val="24"/>
                <w:vertAlign w:val="superscript"/>
              </w:rPr>
              <w:t>2-</w:t>
            </w:r>
            <w:r>
              <w:rPr>
                <w:rStyle w:val="41"/>
                <w:rFonts w:hint="eastAsia" w:ascii="宋体" w:hAnsi="宋体" w:eastAsia="宋体" w:cs="宋体"/>
                <w:sz w:val="24"/>
                <w:szCs w:val="24"/>
              </w:rPr>
              <w:t>）的测定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离子色谱法</w:t>
            </w:r>
            <w:r>
              <w:rPr>
                <w:rStyle w:val="42"/>
                <w:rFonts w:hint="eastAsia" w:ascii="宋体" w:hAnsi="宋体" w:eastAsia="宋体" w:cs="宋体"/>
                <w:sz w:val="24"/>
                <w:szCs w:val="24"/>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GZYQ108</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0.016mg/L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硝酸盐</w:t>
            </w:r>
            <w:r>
              <w:rPr>
                <w:rFonts w:hint="eastAsia" w:ascii="宋体" w:hAnsi="宋体" w:eastAsia="宋体" w:cs="宋体"/>
                <w:b w:val="0"/>
                <w:bCs w:val="0"/>
                <w:color w:val="auto"/>
                <w:sz w:val="24"/>
                <w:szCs w:val="24"/>
                <w:highlight w:val="none"/>
                <w:lang w:eastAsia="zh-CN"/>
              </w:rPr>
              <w:t>氮</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无机阴离子（</w:t>
            </w:r>
            <w:r>
              <w:rPr>
                <w:rStyle w:val="42"/>
                <w:rFonts w:hint="eastAsia" w:ascii="宋体" w:hAnsi="宋体" w:eastAsia="宋体" w:cs="宋体"/>
                <w:sz w:val="24"/>
                <w:szCs w:val="24"/>
              </w:rPr>
              <w:t>F</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Cl</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NO</w:t>
            </w:r>
            <w:r>
              <w:rPr>
                <w:rStyle w:val="42"/>
                <w:rFonts w:hint="eastAsia" w:ascii="宋体" w:hAnsi="宋体" w:eastAsia="宋体" w:cs="宋体"/>
                <w:sz w:val="24"/>
                <w:szCs w:val="24"/>
                <w:vertAlign w:val="subscript"/>
              </w:rPr>
              <w:t>2</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Br</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NO</w:t>
            </w:r>
            <w:r>
              <w:rPr>
                <w:rStyle w:val="42"/>
                <w:rFonts w:hint="eastAsia" w:ascii="宋体" w:hAnsi="宋体" w:eastAsia="宋体" w:cs="宋体"/>
                <w:sz w:val="24"/>
                <w:szCs w:val="24"/>
                <w:vertAlign w:val="subscript"/>
              </w:rPr>
              <w:t>3</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PO</w:t>
            </w:r>
            <w:r>
              <w:rPr>
                <w:rStyle w:val="42"/>
                <w:rFonts w:hint="eastAsia" w:ascii="宋体" w:hAnsi="宋体" w:eastAsia="宋体" w:cs="宋体"/>
                <w:sz w:val="24"/>
                <w:szCs w:val="24"/>
                <w:vertAlign w:val="subscript"/>
              </w:rPr>
              <w:t>4</w:t>
            </w:r>
            <w:r>
              <w:rPr>
                <w:rStyle w:val="42"/>
                <w:rFonts w:hint="eastAsia" w:ascii="宋体" w:hAnsi="宋体" w:eastAsia="宋体" w:cs="宋体"/>
                <w:sz w:val="24"/>
                <w:szCs w:val="24"/>
                <w:vertAlign w:val="superscript"/>
              </w:rPr>
              <w:t>3-</w:t>
            </w:r>
            <w:r>
              <w:rPr>
                <w:rStyle w:val="41"/>
                <w:rFonts w:hint="eastAsia" w:ascii="宋体" w:hAnsi="宋体" w:eastAsia="宋体" w:cs="宋体"/>
                <w:sz w:val="24"/>
                <w:szCs w:val="24"/>
              </w:rPr>
              <w:t>、</w:t>
            </w:r>
            <w:r>
              <w:rPr>
                <w:rStyle w:val="42"/>
                <w:rFonts w:hint="eastAsia" w:ascii="宋体" w:hAnsi="宋体" w:eastAsia="宋体" w:cs="宋体"/>
                <w:sz w:val="24"/>
                <w:szCs w:val="24"/>
              </w:rPr>
              <w:t>SO</w:t>
            </w:r>
            <w:r>
              <w:rPr>
                <w:rStyle w:val="42"/>
                <w:rFonts w:hint="eastAsia" w:ascii="宋体" w:hAnsi="宋体" w:eastAsia="宋体" w:cs="宋体"/>
                <w:sz w:val="24"/>
                <w:szCs w:val="24"/>
                <w:vertAlign w:val="subscript"/>
              </w:rPr>
              <w:t>3</w:t>
            </w:r>
            <w:r>
              <w:rPr>
                <w:rStyle w:val="42"/>
                <w:rFonts w:hint="eastAsia" w:ascii="宋体" w:hAnsi="宋体" w:eastAsia="宋体" w:cs="宋体"/>
                <w:sz w:val="24"/>
                <w:szCs w:val="24"/>
                <w:vertAlign w:val="superscript"/>
              </w:rPr>
              <w:t>2-</w:t>
            </w:r>
            <w:r>
              <w:rPr>
                <w:rStyle w:val="41"/>
                <w:rFonts w:hint="eastAsia" w:ascii="宋体" w:hAnsi="宋体" w:eastAsia="宋体" w:cs="宋体"/>
                <w:sz w:val="24"/>
                <w:szCs w:val="24"/>
              </w:rPr>
              <w:t>、</w:t>
            </w:r>
            <w:r>
              <w:rPr>
                <w:rStyle w:val="42"/>
                <w:rFonts w:hint="eastAsia" w:ascii="宋体" w:hAnsi="宋体" w:eastAsia="宋体" w:cs="宋体"/>
                <w:sz w:val="24"/>
                <w:szCs w:val="24"/>
              </w:rPr>
              <w:t>SO</w:t>
            </w:r>
            <w:r>
              <w:rPr>
                <w:rStyle w:val="42"/>
                <w:rFonts w:hint="eastAsia" w:ascii="宋体" w:hAnsi="宋体" w:eastAsia="宋体" w:cs="宋体"/>
                <w:sz w:val="24"/>
                <w:szCs w:val="24"/>
                <w:vertAlign w:val="subscript"/>
              </w:rPr>
              <w:t>4</w:t>
            </w:r>
            <w:r>
              <w:rPr>
                <w:rStyle w:val="42"/>
                <w:rFonts w:hint="eastAsia" w:ascii="宋体" w:hAnsi="宋体" w:eastAsia="宋体" w:cs="宋体"/>
                <w:sz w:val="24"/>
                <w:szCs w:val="24"/>
                <w:vertAlign w:val="superscript"/>
              </w:rPr>
              <w:t>2-</w:t>
            </w:r>
            <w:r>
              <w:rPr>
                <w:rStyle w:val="41"/>
                <w:rFonts w:hint="eastAsia" w:ascii="宋体" w:hAnsi="宋体" w:eastAsia="宋体" w:cs="宋体"/>
                <w:sz w:val="24"/>
                <w:szCs w:val="24"/>
              </w:rPr>
              <w:t>）的测定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离子色谱法</w:t>
            </w:r>
            <w:r>
              <w:rPr>
                <w:rStyle w:val="42"/>
                <w:rFonts w:hint="eastAsia" w:ascii="宋体" w:hAnsi="宋体" w:eastAsia="宋体" w:cs="宋体"/>
                <w:sz w:val="24"/>
                <w:szCs w:val="24"/>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GZYQ108</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shd w:val="clear" w:color="auto" w:fill="auto"/>
                <w:lang w:val="en-US" w:eastAsia="zh-CN" w:bidi="ar"/>
              </w:rPr>
              <w:t>0.016mg/L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氰化物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生活饮用水标准检验方法</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无机非金属指标</w:t>
            </w:r>
            <w:r>
              <w:rPr>
                <w:rStyle w:val="42"/>
                <w:rFonts w:hint="eastAsia" w:ascii="宋体" w:hAnsi="宋体" w:eastAsia="宋体" w:cs="宋体"/>
                <w:sz w:val="24"/>
                <w:szCs w:val="24"/>
              </w:rPr>
              <w:t xml:space="preserve">  (4.1</w:t>
            </w:r>
            <w:r>
              <w:rPr>
                <w:rStyle w:val="41"/>
                <w:rFonts w:hint="eastAsia" w:ascii="宋体" w:hAnsi="宋体" w:eastAsia="宋体" w:cs="宋体"/>
                <w:sz w:val="24"/>
                <w:szCs w:val="24"/>
              </w:rPr>
              <w:t>异烟酸</w:t>
            </w:r>
            <w:r>
              <w:rPr>
                <w:rStyle w:val="42"/>
                <w:rFonts w:hint="eastAsia" w:ascii="宋体" w:hAnsi="宋体" w:eastAsia="宋体" w:cs="宋体"/>
                <w:sz w:val="24"/>
                <w:szCs w:val="24"/>
              </w:rPr>
              <w:t>-</w:t>
            </w:r>
            <w:r>
              <w:rPr>
                <w:rStyle w:val="41"/>
                <w:rFonts w:hint="eastAsia" w:ascii="宋体" w:hAnsi="宋体" w:eastAsia="宋体" w:cs="宋体"/>
                <w:sz w:val="24"/>
                <w:szCs w:val="24"/>
              </w:rPr>
              <w:t>吡唑酮分光光度法</w:t>
            </w:r>
            <w:r>
              <w:rPr>
                <w:rStyle w:val="42"/>
                <w:rFonts w:hint="eastAsia" w:ascii="宋体" w:hAnsi="宋体" w:eastAsia="宋体" w:cs="宋体"/>
                <w:sz w:val="24"/>
                <w:szCs w:val="24"/>
              </w:rPr>
              <w:t>) GB/T 5750.5-2006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可见分光光度计V-1200B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GZYQ01</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000000"/>
                <w:sz w:val="24"/>
                <w:szCs w:val="24"/>
                <w:u w:val="none"/>
              </w:rPr>
              <w:t>0.002mg/L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氟化物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无机阴离子（</w:t>
            </w:r>
            <w:r>
              <w:rPr>
                <w:rStyle w:val="42"/>
                <w:rFonts w:hint="eastAsia" w:ascii="宋体" w:hAnsi="宋体" w:eastAsia="宋体" w:cs="宋体"/>
                <w:sz w:val="24"/>
                <w:szCs w:val="24"/>
              </w:rPr>
              <w:t>F</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Cl</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NO</w:t>
            </w:r>
            <w:r>
              <w:rPr>
                <w:rStyle w:val="42"/>
                <w:rFonts w:hint="eastAsia" w:ascii="宋体" w:hAnsi="宋体" w:eastAsia="宋体" w:cs="宋体"/>
                <w:sz w:val="24"/>
                <w:szCs w:val="24"/>
                <w:vertAlign w:val="subscript"/>
              </w:rPr>
              <w:t>2</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Br</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NO</w:t>
            </w:r>
            <w:r>
              <w:rPr>
                <w:rStyle w:val="42"/>
                <w:rFonts w:hint="eastAsia" w:ascii="宋体" w:hAnsi="宋体" w:eastAsia="宋体" w:cs="宋体"/>
                <w:sz w:val="24"/>
                <w:szCs w:val="24"/>
                <w:vertAlign w:val="subscript"/>
              </w:rPr>
              <w:t>3</w:t>
            </w:r>
            <w:r>
              <w:rPr>
                <w:rStyle w:val="42"/>
                <w:rFonts w:hint="eastAsia" w:ascii="宋体" w:hAnsi="宋体" w:eastAsia="宋体" w:cs="宋体"/>
                <w:sz w:val="24"/>
                <w:szCs w:val="24"/>
                <w:vertAlign w:val="superscript"/>
              </w:rPr>
              <w:t>-</w:t>
            </w:r>
            <w:r>
              <w:rPr>
                <w:rStyle w:val="41"/>
                <w:rFonts w:hint="eastAsia" w:ascii="宋体" w:hAnsi="宋体" w:eastAsia="宋体" w:cs="宋体"/>
                <w:sz w:val="24"/>
                <w:szCs w:val="24"/>
              </w:rPr>
              <w:t>、</w:t>
            </w:r>
            <w:r>
              <w:rPr>
                <w:rStyle w:val="42"/>
                <w:rFonts w:hint="eastAsia" w:ascii="宋体" w:hAnsi="宋体" w:eastAsia="宋体" w:cs="宋体"/>
                <w:sz w:val="24"/>
                <w:szCs w:val="24"/>
              </w:rPr>
              <w:t>PO</w:t>
            </w:r>
            <w:r>
              <w:rPr>
                <w:rStyle w:val="42"/>
                <w:rFonts w:hint="eastAsia" w:ascii="宋体" w:hAnsi="宋体" w:eastAsia="宋体" w:cs="宋体"/>
                <w:sz w:val="24"/>
                <w:szCs w:val="24"/>
                <w:vertAlign w:val="subscript"/>
              </w:rPr>
              <w:t>4</w:t>
            </w:r>
            <w:r>
              <w:rPr>
                <w:rStyle w:val="42"/>
                <w:rFonts w:hint="eastAsia" w:ascii="宋体" w:hAnsi="宋体" w:eastAsia="宋体" w:cs="宋体"/>
                <w:sz w:val="24"/>
                <w:szCs w:val="24"/>
                <w:vertAlign w:val="superscript"/>
              </w:rPr>
              <w:t>3-</w:t>
            </w:r>
            <w:r>
              <w:rPr>
                <w:rStyle w:val="41"/>
                <w:rFonts w:hint="eastAsia" w:ascii="宋体" w:hAnsi="宋体" w:eastAsia="宋体" w:cs="宋体"/>
                <w:sz w:val="24"/>
                <w:szCs w:val="24"/>
              </w:rPr>
              <w:t>、</w:t>
            </w:r>
            <w:r>
              <w:rPr>
                <w:rStyle w:val="42"/>
                <w:rFonts w:hint="eastAsia" w:ascii="宋体" w:hAnsi="宋体" w:eastAsia="宋体" w:cs="宋体"/>
                <w:sz w:val="24"/>
                <w:szCs w:val="24"/>
              </w:rPr>
              <w:t>SO</w:t>
            </w:r>
            <w:r>
              <w:rPr>
                <w:rStyle w:val="42"/>
                <w:rFonts w:hint="eastAsia" w:ascii="宋体" w:hAnsi="宋体" w:eastAsia="宋体" w:cs="宋体"/>
                <w:sz w:val="24"/>
                <w:szCs w:val="24"/>
                <w:vertAlign w:val="subscript"/>
              </w:rPr>
              <w:t>3</w:t>
            </w:r>
            <w:r>
              <w:rPr>
                <w:rStyle w:val="42"/>
                <w:rFonts w:hint="eastAsia" w:ascii="宋体" w:hAnsi="宋体" w:eastAsia="宋体" w:cs="宋体"/>
                <w:sz w:val="24"/>
                <w:szCs w:val="24"/>
                <w:vertAlign w:val="superscript"/>
              </w:rPr>
              <w:t>2-</w:t>
            </w:r>
            <w:r>
              <w:rPr>
                <w:rStyle w:val="41"/>
                <w:rFonts w:hint="eastAsia" w:ascii="宋体" w:hAnsi="宋体" w:eastAsia="宋体" w:cs="宋体"/>
                <w:sz w:val="24"/>
                <w:szCs w:val="24"/>
              </w:rPr>
              <w:t>、</w:t>
            </w:r>
            <w:r>
              <w:rPr>
                <w:rStyle w:val="42"/>
                <w:rFonts w:hint="eastAsia" w:ascii="宋体" w:hAnsi="宋体" w:eastAsia="宋体" w:cs="宋体"/>
                <w:sz w:val="24"/>
                <w:szCs w:val="24"/>
              </w:rPr>
              <w:t>SO</w:t>
            </w:r>
            <w:r>
              <w:rPr>
                <w:rStyle w:val="42"/>
                <w:rFonts w:hint="eastAsia" w:ascii="宋体" w:hAnsi="宋体" w:eastAsia="宋体" w:cs="宋体"/>
                <w:sz w:val="24"/>
                <w:szCs w:val="24"/>
                <w:vertAlign w:val="subscript"/>
              </w:rPr>
              <w:t>4</w:t>
            </w:r>
            <w:r>
              <w:rPr>
                <w:rStyle w:val="42"/>
                <w:rFonts w:hint="eastAsia" w:ascii="宋体" w:hAnsi="宋体" w:eastAsia="宋体" w:cs="宋体"/>
                <w:sz w:val="24"/>
                <w:szCs w:val="24"/>
                <w:vertAlign w:val="superscript"/>
              </w:rPr>
              <w:t>2-</w:t>
            </w:r>
            <w:r>
              <w:rPr>
                <w:rStyle w:val="41"/>
                <w:rFonts w:hint="eastAsia" w:ascii="宋体" w:hAnsi="宋体" w:eastAsia="宋体" w:cs="宋体"/>
                <w:sz w:val="24"/>
                <w:szCs w:val="24"/>
              </w:rPr>
              <w:t>）的测定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离子色谱法</w:t>
            </w:r>
            <w:r>
              <w:rPr>
                <w:rStyle w:val="42"/>
                <w:rFonts w:hint="eastAsia" w:ascii="宋体" w:hAnsi="宋体" w:eastAsia="宋体" w:cs="宋体"/>
                <w:sz w:val="24"/>
                <w:szCs w:val="24"/>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GZYQ108</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4"/>
                <w:rFonts w:hint="eastAsia" w:ascii="宋体" w:hAnsi="宋体" w:eastAsia="宋体" w:cs="宋体"/>
                <w:sz w:val="24"/>
                <w:szCs w:val="24"/>
              </w:rPr>
              <w:t>0.006mg/L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碘化物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碘化物的测定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离子色谱法（</w:t>
            </w:r>
            <w:r>
              <w:rPr>
                <w:rStyle w:val="42"/>
                <w:rFonts w:hint="eastAsia" w:ascii="宋体" w:hAnsi="宋体" w:eastAsia="宋体" w:cs="宋体"/>
                <w:sz w:val="24"/>
                <w:szCs w:val="24"/>
              </w:rPr>
              <w:t>HJ 778-2015</w:t>
            </w:r>
            <w:r>
              <w:rPr>
                <w:rStyle w:val="41"/>
                <w:rFonts w:hint="eastAsia" w:ascii="宋体" w:hAnsi="宋体" w:eastAsia="宋体" w:cs="宋体"/>
                <w:sz w:val="24"/>
                <w:szCs w:val="24"/>
              </w:rPr>
              <w:t>）</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GZYQ108</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000000"/>
                <w:sz w:val="24"/>
                <w:szCs w:val="24"/>
                <w:u w:val="none"/>
              </w:rPr>
              <w:t>0.002mg/L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汞</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汞、砷、硒、铋和锑的测定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原子荧光法</w:t>
            </w:r>
            <w:r>
              <w:rPr>
                <w:rStyle w:val="42"/>
                <w:rFonts w:hint="eastAsia" w:ascii="宋体" w:hAnsi="宋体" w:eastAsia="宋体" w:cs="宋体"/>
                <w:sz w:val="24"/>
                <w:szCs w:val="24"/>
              </w:rPr>
              <w:t>HJ 694-2014</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原子荧光光度计PF31</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GZYQ109</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汞：</w:t>
            </w:r>
            <w:r>
              <w:rPr>
                <w:rStyle w:val="44"/>
                <w:rFonts w:hint="eastAsia" w:ascii="宋体" w:hAnsi="宋体" w:eastAsia="宋体" w:cs="宋体"/>
                <w:sz w:val="24"/>
                <w:szCs w:val="24"/>
              </w:rPr>
              <w:t>0.04μg/L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砷</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汞、砷、硒、铋和锑的测定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原子荧光法</w:t>
            </w:r>
            <w:r>
              <w:rPr>
                <w:rStyle w:val="42"/>
                <w:rFonts w:hint="eastAsia" w:ascii="宋体" w:hAnsi="宋体" w:eastAsia="宋体" w:cs="宋体"/>
                <w:sz w:val="24"/>
                <w:szCs w:val="24"/>
              </w:rPr>
              <w:t>HJ 694-2014</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原子荧光光度计PF31</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GZYQ109</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砷：</w:t>
            </w:r>
            <w:r>
              <w:rPr>
                <w:rStyle w:val="44"/>
                <w:rFonts w:hint="eastAsia" w:ascii="宋体" w:hAnsi="宋体" w:eastAsia="宋体" w:cs="宋体"/>
                <w:sz w:val="24"/>
                <w:szCs w:val="24"/>
              </w:rPr>
              <w:t>0.3μg/L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硒</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汞、砷、硒、铋和锑的测定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原子荧光法</w:t>
            </w:r>
            <w:r>
              <w:rPr>
                <w:rStyle w:val="41"/>
                <w:rFonts w:hint="eastAsia" w:ascii="宋体" w:hAnsi="宋体" w:eastAsia="宋体" w:cs="宋体"/>
                <w:sz w:val="24"/>
                <w:szCs w:val="24"/>
                <w:lang w:val="en-US" w:eastAsia="zh-CN"/>
              </w:rPr>
              <w:t xml:space="preserve"> </w:t>
            </w:r>
            <w:r>
              <w:rPr>
                <w:rStyle w:val="42"/>
                <w:rFonts w:hint="eastAsia" w:ascii="宋体" w:hAnsi="宋体" w:eastAsia="宋体" w:cs="宋体"/>
                <w:sz w:val="24"/>
                <w:szCs w:val="24"/>
              </w:rPr>
              <w:t>HJ 694-2014</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原子荧光光度计PF31</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GZYQ109</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硒：</w:t>
            </w:r>
            <w:r>
              <w:rPr>
                <w:rStyle w:val="44"/>
                <w:rFonts w:hint="eastAsia" w:ascii="宋体" w:hAnsi="宋体" w:eastAsia="宋体" w:cs="宋体"/>
                <w:sz w:val="24"/>
                <w:szCs w:val="24"/>
              </w:rPr>
              <w:t>0.4μg/L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镉</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铜、锌、铅、镉的测定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原子吸收分光光度法</w:t>
            </w:r>
            <w:r>
              <w:rPr>
                <w:rStyle w:val="42"/>
                <w:rFonts w:hint="eastAsia" w:ascii="宋体" w:hAnsi="宋体" w:eastAsia="宋体" w:cs="宋体"/>
                <w:sz w:val="24"/>
                <w:szCs w:val="24"/>
              </w:rPr>
              <w:t xml:space="preserve"> GB/T 7475-1987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螯合萃取法：</w:t>
            </w:r>
            <w:r>
              <w:rPr>
                <w:rStyle w:val="44"/>
                <w:rFonts w:hint="eastAsia" w:ascii="宋体" w:hAnsi="宋体" w:eastAsia="宋体" w:cs="宋体"/>
                <w:sz w:val="24"/>
                <w:szCs w:val="24"/>
                <w:lang w:val="en-US" w:eastAsia="zh-CN"/>
              </w:rPr>
              <w:t>0.001</w:t>
            </w:r>
            <w:r>
              <w:rPr>
                <w:rFonts w:hint="eastAsia" w:ascii="宋体" w:hAnsi="宋体" w:eastAsia="宋体" w:cs="宋体"/>
                <w:i w:val="0"/>
                <w:color w:val="000000"/>
                <w:sz w:val="24"/>
                <w:szCs w:val="24"/>
                <w:u w:val="none"/>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六价铬</w:t>
            </w:r>
          </w:p>
        </w:tc>
        <w:tc>
          <w:tcPr>
            <w:tcW w:w="3960" w:type="dxa"/>
            <w:tcBorders>
              <w:tl2br w:val="nil"/>
              <w:tr2bl w:val="nil"/>
            </w:tcBorders>
            <w:noWrap w:val="0"/>
            <w:vAlign w:val="center"/>
          </w:tcPr>
          <w:p>
            <w:pPr>
              <w:adjustRightInd w:val="0"/>
              <w:snapToGrid w:val="0"/>
              <w:ind w:left="210" w:hanging="240" w:hangingChars="100"/>
              <w:jc w:val="center"/>
              <w:rPr>
                <w:rFonts w:hint="eastAsia" w:ascii="宋体" w:hAnsi="宋体" w:eastAsia="宋体" w:cs="宋体"/>
                <w:sz w:val="24"/>
                <w:szCs w:val="24"/>
                <w:highlight w:val="none"/>
              </w:rPr>
            </w:pPr>
            <w:r>
              <w:rPr>
                <w:rFonts w:hint="eastAsia" w:ascii="宋体" w:hAnsi="宋体" w:eastAsia="宋体" w:cs="宋体"/>
                <w:sz w:val="24"/>
                <w:szCs w:val="24"/>
              </w:rPr>
              <w:t>生活饮用</w:t>
            </w:r>
            <w:r>
              <w:rPr>
                <w:rFonts w:hint="eastAsia" w:ascii="宋体" w:hAnsi="宋体" w:eastAsia="宋体" w:cs="宋体"/>
                <w:sz w:val="24"/>
                <w:szCs w:val="24"/>
                <w:highlight w:val="none"/>
              </w:rPr>
              <w:t>水标准检验方法 金属指标</w:t>
            </w:r>
          </w:p>
          <w:p>
            <w:pPr>
              <w:adjustRightInd w:val="0"/>
              <w:snapToGrid w:val="0"/>
              <w:ind w:left="210" w:hanging="240" w:hangingChars="1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（10.1</w:t>
            </w:r>
            <w:r>
              <w:rPr>
                <w:rFonts w:hint="eastAsia" w:ascii="宋体" w:hAnsi="宋体" w:eastAsia="宋体" w:cs="宋体"/>
                <w:color w:val="000000"/>
                <w:sz w:val="24"/>
                <w:szCs w:val="24"/>
                <w:highlight w:val="none"/>
              </w:rPr>
              <w:t>铬（六价）</w:t>
            </w:r>
            <w:r>
              <w:rPr>
                <w:rFonts w:hint="eastAsia" w:ascii="宋体" w:hAnsi="宋体" w:eastAsia="宋体" w:cs="宋体"/>
                <w:sz w:val="24"/>
                <w:szCs w:val="24"/>
                <w:highlight w:val="none"/>
              </w:rPr>
              <w:t>二苯碳酰二肼分光</w:t>
            </w:r>
          </w:p>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Fonts w:hint="eastAsia" w:ascii="宋体" w:hAnsi="宋体" w:eastAsia="宋体" w:cs="宋体"/>
                <w:sz w:val="24"/>
                <w:szCs w:val="24"/>
                <w:highlight w:val="none"/>
              </w:rPr>
              <w:t>光度法） GB/T 5750.6-2006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0.004mg/L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铅</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铜、锌、铅、镉的测定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原子吸收分光光度法</w:t>
            </w:r>
            <w:r>
              <w:rPr>
                <w:rStyle w:val="42"/>
                <w:rFonts w:hint="eastAsia" w:ascii="宋体" w:hAnsi="宋体" w:eastAsia="宋体" w:cs="宋体"/>
                <w:sz w:val="24"/>
                <w:szCs w:val="24"/>
              </w:rPr>
              <w:t xml:space="preserve"> GB/T 7475-1987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螯合萃取法：</w:t>
            </w:r>
            <w:r>
              <w:rPr>
                <w:rStyle w:val="43"/>
                <w:rFonts w:hint="eastAsia" w:ascii="宋体" w:hAnsi="宋体" w:eastAsia="宋体" w:cs="宋体"/>
                <w:sz w:val="24"/>
                <w:szCs w:val="24"/>
                <w:lang w:val="en-US" w:eastAsia="zh-CN"/>
              </w:rPr>
              <w:t>0.010</w:t>
            </w:r>
            <w:r>
              <w:rPr>
                <w:rFonts w:hint="eastAsia" w:ascii="宋体" w:hAnsi="宋体" w:eastAsia="宋体" w:cs="宋体"/>
                <w:i w:val="0"/>
                <w:color w:val="000000"/>
                <w:sz w:val="24"/>
                <w:szCs w:val="24"/>
                <w:u w:val="none"/>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三氯甲烷</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挥发性卤代烃的测定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顶空气相色谱法</w:t>
            </w:r>
            <w:r>
              <w:rPr>
                <w:rStyle w:val="42"/>
                <w:rFonts w:hint="eastAsia" w:ascii="宋体" w:hAnsi="宋体" w:eastAsia="宋体" w:cs="宋体"/>
                <w:sz w:val="24"/>
                <w:szCs w:val="24"/>
              </w:rPr>
              <w:t xml:space="preserve"> HJ 620-2011</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气相色谱仪A91PLUS</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GZYQ112</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三氯甲烷：</w:t>
            </w:r>
            <w:r>
              <w:rPr>
                <w:rStyle w:val="44"/>
                <w:rFonts w:hint="eastAsia" w:ascii="宋体" w:hAnsi="宋体" w:eastAsia="宋体" w:cs="宋体"/>
                <w:sz w:val="24"/>
                <w:szCs w:val="24"/>
              </w:rPr>
              <w:t>0.02μg/L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rPr>
              <w:t>四氯化碳</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挥发性卤代烃的测定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顶空气相色谱法</w:t>
            </w:r>
            <w:r>
              <w:rPr>
                <w:rStyle w:val="42"/>
                <w:rFonts w:hint="eastAsia" w:ascii="宋体" w:hAnsi="宋体" w:eastAsia="宋体" w:cs="宋体"/>
                <w:sz w:val="24"/>
                <w:szCs w:val="24"/>
              </w:rPr>
              <w:t xml:space="preserve"> HJ 620-2011</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气相色谱仪A91PLUS</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GZYQ112</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四氯化碳：</w:t>
            </w:r>
            <w:r>
              <w:rPr>
                <w:rStyle w:val="44"/>
                <w:rFonts w:hint="eastAsia" w:ascii="宋体" w:hAnsi="宋体" w:eastAsia="宋体" w:cs="宋体"/>
                <w:sz w:val="24"/>
                <w:szCs w:val="24"/>
              </w:rPr>
              <w:t>0.03μg/L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lang w:eastAsia="zh-CN"/>
              </w:rPr>
              <w:t>苯</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苯系物的测定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顶空气相色谱法</w:t>
            </w:r>
            <w:r>
              <w:rPr>
                <w:rStyle w:val="42"/>
                <w:rFonts w:hint="eastAsia" w:ascii="宋体" w:hAnsi="宋体" w:eastAsia="宋体" w:cs="宋体"/>
                <w:sz w:val="24"/>
                <w:szCs w:val="24"/>
              </w:rPr>
              <w:t>HJ 1067-2019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气相色谱仪A91PLUS</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GZYQ112</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4"/>
                <w:rFonts w:hint="eastAsia" w:ascii="宋体" w:hAnsi="宋体" w:eastAsia="宋体" w:cs="宋体"/>
                <w:sz w:val="24"/>
                <w:szCs w:val="24"/>
              </w:rPr>
              <w:t>2μg/L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sz w:val="24"/>
                <w:szCs w:val="24"/>
                <w:highlight w:val="none"/>
                <w:lang w:eastAsia="zh-CN"/>
              </w:rPr>
              <w:t>甲苯</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u w:val="none"/>
                <w:lang w:val="en-US" w:eastAsia="zh-CN" w:bidi="ar-SA"/>
              </w:rPr>
            </w:pPr>
            <w:r>
              <w:rPr>
                <w:rStyle w:val="41"/>
                <w:rFonts w:hint="eastAsia" w:ascii="宋体" w:hAnsi="宋体" w:eastAsia="宋体" w:cs="宋体"/>
                <w:sz w:val="24"/>
                <w:szCs w:val="24"/>
              </w:rPr>
              <w:t>水质</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苯系物的测定</w:t>
            </w:r>
            <w:r>
              <w:rPr>
                <w:rStyle w:val="42"/>
                <w:rFonts w:hint="eastAsia" w:ascii="宋体" w:hAnsi="宋体" w:eastAsia="宋体" w:cs="宋体"/>
                <w:sz w:val="24"/>
                <w:szCs w:val="24"/>
              </w:rPr>
              <w:t xml:space="preserve"> </w:t>
            </w:r>
            <w:r>
              <w:rPr>
                <w:rStyle w:val="41"/>
                <w:rFonts w:hint="eastAsia" w:ascii="宋体" w:hAnsi="宋体" w:eastAsia="宋体" w:cs="宋体"/>
                <w:sz w:val="24"/>
                <w:szCs w:val="24"/>
              </w:rPr>
              <w:t>顶空气相色谱法</w:t>
            </w:r>
            <w:r>
              <w:rPr>
                <w:rStyle w:val="42"/>
                <w:rFonts w:hint="eastAsia" w:ascii="宋体" w:hAnsi="宋体" w:eastAsia="宋体" w:cs="宋体"/>
                <w:sz w:val="24"/>
                <w:szCs w:val="24"/>
              </w:rPr>
              <w:t>HJ 1067-2019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气相色谱仪A91PLUS</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GZYQ112</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4"/>
                <w:rFonts w:hint="eastAsia" w:ascii="宋体" w:hAnsi="宋体" w:eastAsia="宋体" w:cs="宋体"/>
                <w:sz w:val="24"/>
                <w:szCs w:val="24"/>
              </w:rPr>
              <w:t>2μg/L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石油类</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水质 石油类的测定紫外分光光度法（试行）</w:t>
            </w:r>
          </w:p>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HJ 970-2018</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紫外可见分光光度计 UV-1200B</w:t>
            </w:r>
          </w:p>
        </w:tc>
        <w:tc>
          <w:tcPr>
            <w:tcW w:w="174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0.01mg/L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33" w:type="dxa"/>
            <w:gridSpan w:val="4"/>
            <w:tcBorders>
              <w:tl2br w:val="nil"/>
              <w:tr2bl w:val="nil"/>
            </w:tcBorders>
            <w:noWrap w:val="0"/>
            <w:vAlign w:val="center"/>
          </w:tcPr>
          <w:p>
            <w:pPr>
              <w:spacing w:line="320" w:lineRule="exact"/>
              <w:jc w:val="center"/>
              <w:rPr>
                <w:rFonts w:hint="eastAsia" w:ascii="宋体" w:hAnsi="宋体" w:eastAsia="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color w:val="000000"/>
                <w:sz w:val="24"/>
                <w:szCs w:val="24"/>
                <w:highlight w:val="none"/>
                <w:lang w:val="en-US" w:eastAsia="zh-CN"/>
              </w:rPr>
              <w:t>二、土壤</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砷</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土壤和沉积物 汞、砷、硒、铋、锑的测定 微波消解/原子荧光法 HJ 680-2013</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原子荧光光度计PF31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rPr>
              <w:t>0.01mg/kg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镉</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rPr>
              <w:t>土壤质量</w:t>
            </w:r>
            <w:r>
              <w:rPr>
                <w:rStyle w:val="42"/>
                <w:rFonts w:hint="default" w:ascii="Times New Roman" w:hAnsi="Times New Roman" w:eastAsia="宋体" w:cs="Times New Roman"/>
                <w:sz w:val="24"/>
                <w:szCs w:val="24"/>
                <w:highlight w:val="none"/>
              </w:rPr>
              <w:t xml:space="preserve"> </w:t>
            </w:r>
            <w:r>
              <w:rPr>
                <w:rStyle w:val="41"/>
                <w:rFonts w:hint="default" w:ascii="Times New Roman" w:hAnsi="Times New Roman" w:eastAsia="宋体" w:cs="Times New Roman"/>
                <w:sz w:val="24"/>
                <w:szCs w:val="24"/>
                <w:highlight w:val="none"/>
              </w:rPr>
              <w:t>铅、镉的测定</w:t>
            </w:r>
            <w:r>
              <w:rPr>
                <w:rStyle w:val="42"/>
                <w:rFonts w:hint="default" w:ascii="Times New Roman" w:hAnsi="Times New Roman" w:eastAsia="宋体" w:cs="Times New Roman"/>
                <w:sz w:val="24"/>
                <w:szCs w:val="24"/>
                <w:highlight w:val="none"/>
              </w:rPr>
              <w:t xml:space="preserve"> </w:t>
            </w:r>
            <w:r>
              <w:rPr>
                <w:rStyle w:val="41"/>
                <w:rFonts w:hint="default" w:ascii="Times New Roman" w:hAnsi="Times New Roman" w:eastAsia="宋体" w:cs="Times New Roman"/>
                <w:sz w:val="24"/>
                <w:szCs w:val="24"/>
                <w:highlight w:val="none"/>
              </w:rPr>
              <w:t>石墨炉原子吸收分光光度法</w:t>
            </w:r>
            <w:r>
              <w:rPr>
                <w:rStyle w:val="42"/>
                <w:rFonts w:hint="default" w:ascii="Times New Roman" w:hAnsi="Times New Roman" w:eastAsia="宋体" w:cs="Times New Roman"/>
                <w:sz w:val="24"/>
                <w:szCs w:val="24"/>
                <w:highlight w:val="none"/>
              </w:rPr>
              <w:t>GB/T 17141-1997</w:t>
            </w:r>
          </w:p>
        </w:tc>
        <w:tc>
          <w:tcPr>
            <w:tcW w:w="1680" w:type="dxa"/>
            <w:tcBorders>
              <w:tl2br w:val="nil"/>
              <w:tr2bl w:val="nil"/>
            </w:tcBorders>
            <w:noWrap w:val="0"/>
            <w:vAlign w:val="center"/>
          </w:tcPr>
          <w:p>
            <w:pPr>
              <w:spacing w:line="260" w:lineRule="exact"/>
              <w:ind w:left="63" w:leftChars="30" w:right="63" w:rightChars="3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原子吸收分光光度计TAS-990G</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rPr>
              <w:t>0.01mg/kg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六价铬</w:t>
            </w:r>
          </w:p>
        </w:tc>
        <w:tc>
          <w:tcPr>
            <w:tcW w:w="3960" w:type="dxa"/>
            <w:tcBorders>
              <w:tl2br w:val="nil"/>
              <w:tr2bl w:val="nil"/>
            </w:tcBorders>
            <w:noWrap w:val="0"/>
            <w:vAlign w:val="center"/>
          </w:tcPr>
          <w:p>
            <w:pPr>
              <w:spacing w:line="260" w:lineRule="exact"/>
              <w:ind w:left="63" w:leftChars="30" w:right="63" w:rightChars="30"/>
              <w:jc w:val="center"/>
              <w:rPr>
                <w:rFonts w:hint="default"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土壤和沉积物 六价铬的测定</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碱溶液提取-火焰原子吸收分光光度法</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HJ 1082-2019</w:t>
            </w:r>
          </w:p>
        </w:tc>
        <w:tc>
          <w:tcPr>
            <w:tcW w:w="1680" w:type="dxa"/>
            <w:tcBorders>
              <w:tl2br w:val="nil"/>
              <w:tr2bl w:val="nil"/>
            </w:tcBorders>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rPr>
              <w:t>火焰原子吸收分光光度</w:t>
            </w:r>
            <w:r>
              <w:rPr>
                <w:rStyle w:val="41"/>
                <w:rFonts w:hint="default" w:ascii="Times New Roman" w:hAnsi="Times New Roman" w:eastAsia="宋体" w:cs="Times New Roman"/>
                <w:sz w:val="24"/>
                <w:szCs w:val="24"/>
                <w:highlight w:val="none"/>
                <w:lang w:eastAsia="zh-CN"/>
              </w:rPr>
              <w:t>计普析</w:t>
            </w:r>
            <w:r>
              <w:rPr>
                <w:rStyle w:val="41"/>
                <w:rFonts w:hint="default" w:ascii="Times New Roman" w:hAnsi="Times New Roman" w:eastAsia="宋体" w:cs="Times New Roman"/>
                <w:sz w:val="24"/>
                <w:szCs w:val="24"/>
                <w:highlight w:val="none"/>
                <w:lang w:val="en-US" w:eastAsia="zh-CN"/>
              </w:rPr>
              <w:t>TAS-990F</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default"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0.5mg/kg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铜</w:t>
            </w:r>
          </w:p>
        </w:tc>
        <w:tc>
          <w:tcPr>
            <w:tcW w:w="3960" w:type="dxa"/>
            <w:tcBorders>
              <w:tl2br w:val="nil"/>
              <w:tr2bl w:val="nil"/>
            </w:tcBorders>
            <w:noWrap w:val="0"/>
            <w:vAlign w:val="center"/>
          </w:tcPr>
          <w:p>
            <w:pPr>
              <w:keepNext w:val="0"/>
              <w:keepLines w:val="0"/>
              <w:widowControl/>
              <w:suppressLineNumbers w:val="0"/>
              <w:jc w:val="center"/>
              <w:textAlignment w:val="center"/>
              <w:rPr>
                <w:rStyle w:val="42"/>
                <w:rFonts w:hint="default" w:ascii="Times New Roman" w:hAnsi="Times New Roman" w:eastAsia="宋体" w:cs="Times New Roman"/>
                <w:sz w:val="24"/>
                <w:szCs w:val="24"/>
                <w:highlight w:val="none"/>
              </w:rPr>
            </w:pPr>
            <w:r>
              <w:rPr>
                <w:rStyle w:val="41"/>
                <w:rFonts w:hint="default" w:ascii="Times New Roman" w:hAnsi="Times New Roman" w:eastAsia="宋体" w:cs="Times New Roman"/>
                <w:sz w:val="24"/>
                <w:szCs w:val="24"/>
                <w:highlight w:val="none"/>
              </w:rPr>
              <w:t>土壤和沉积物</w:t>
            </w:r>
            <w:r>
              <w:rPr>
                <w:rStyle w:val="42"/>
                <w:rFonts w:hint="default" w:ascii="Times New Roman" w:hAnsi="Times New Roman" w:eastAsia="宋体" w:cs="Times New Roman"/>
                <w:sz w:val="24"/>
                <w:szCs w:val="24"/>
                <w:highlight w:val="none"/>
              </w:rPr>
              <w:t xml:space="preserve"> </w:t>
            </w:r>
            <w:r>
              <w:rPr>
                <w:rStyle w:val="41"/>
                <w:rFonts w:hint="default" w:ascii="Times New Roman" w:hAnsi="Times New Roman" w:eastAsia="宋体" w:cs="Times New Roman"/>
                <w:sz w:val="24"/>
                <w:szCs w:val="24"/>
                <w:highlight w:val="none"/>
              </w:rPr>
              <w:t>铜、锌、铅、镍、铬的测定</w:t>
            </w:r>
            <w:r>
              <w:rPr>
                <w:rStyle w:val="42"/>
                <w:rFonts w:hint="default" w:ascii="Times New Roman" w:hAnsi="Times New Roman" w:eastAsia="宋体" w:cs="Times New Roman"/>
                <w:sz w:val="24"/>
                <w:szCs w:val="24"/>
                <w:highlight w:val="none"/>
              </w:rPr>
              <w:t xml:space="preserve"> </w:t>
            </w:r>
          </w:p>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rPr>
              <w:t>火焰原子吸收分光光度法</w:t>
            </w:r>
            <w:r>
              <w:rPr>
                <w:rStyle w:val="42"/>
                <w:rFonts w:hint="default" w:ascii="Times New Roman" w:hAnsi="Times New Roman" w:eastAsia="宋体" w:cs="Times New Roman"/>
                <w:sz w:val="24"/>
                <w:szCs w:val="24"/>
                <w:highlight w:val="none"/>
              </w:rPr>
              <w:t xml:space="preserve">  HJ 491-2019</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lang w:val="en-US" w:eastAsia="zh-CN"/>
              </w:rPr>
              <w:t>原子吸收分光光度计TAS-990F</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rPr>
              <w:t>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铅</w:t>
            </w:r>
          </w:p>
        </w:tc>
        <w:tc>
          <w:tcPr>
            <w:tcW w:w="3960" w:type="dxa"/>
            <w:tcBorders>
              <w:tl2br w:val="nil"/>
              <w:tr2bl w:val="nil"/>
            </w:tcBorders>
            <w:noWrap w:val="0"/>
            <w:vAlign w:val="center"/>
          </w:tcPr>
          <w:p>
            <w:pPr>
              <w:keepNext w:val="0"/>
              <w:keepLines w:val="0"/>
              <w:widowControl/>
              <w:suppressLineNumbers w:val="0"/>
              <w:jc w:val="center"/>
              <w:textAlignment w:val="center"/>
              <w:rPr>
                <w:rStyle w:val="42"/>
                <w:rFonts w:hint="default" w:ascii="Times New Roman" w:hAnsi="Times New Roman" w:eastAsia="宋体" w:cs="Times New Roman"/>
                <w:sz w:val="24"/>
                <w:szCs w:val="24"/>
                <w:highlight w:val="none"/>
              </w:rPr>
            </w:pPr>
            <w:r>
              <w:rPr>
                <w:rStyle w:val="41"/>
                <w:rFonts w:hint="default" w:ascii="Times New Roman" w:hAnsi="Times New Roman" w:eastAsia="宋体" w:cs="Times New Roman"/>
                <w:sz w:val="24"/>
                <w:szCs w:val="24"/>
                <w:highlight w:val="none"/>
              </w:rPr>
              <w:t>土壤和沉积物</w:t>
            </w:r>
            <w:r>
              <w:rPr>
                <w:rStyle w:val="42"/>
                <w:rFonts w:hint="default" w:ascii="Times New Roman" w:hAnsi="Times New Roman" w:eastAsia="宋体" w:cs="Times New Roman"/>
                <w:sz w:val="24"/>
                <w:szCs w:val="24"/>
                <w:highlight w:val="none"/>
              </w:rPr>
              <w:t xml:space="preserve"> </w:t>
            </w:r>
            <w:r>
              <w:rPr>
                <w:rStyle w:val="41"/>
                <w:rFonts w:hint="default" w:ascii="Times New Roman" w:hAnsi="Times New Roman" w:eastAsia="宋体" w:cs="Times New Roman"/>
                <w:sz w:val="24"/>
                <w:szCs w:val="24"/>
                <w:highlight w:val="none"/>
              </w:rPr>
              <w:t>铜、锌、铅、镍、铬的测定</w:t>
            </w:r>
            <w:r>
              <w:rPr>
                <w:rStyle w:val="42"/>
                <w:rFonts w:hint="default" w:ascii="Times New Roman" w:hAnsi="Times New Roman" w:eastAsia="宋体" w:cs="Times New Roman"/>
                <w:sz w:val="24"/>
                <w:szCs w:val="24"/>
                <w:highlight w:val="none"/>
              </w:rPr>
              <w:t xml:space="preserve"> </w:t>
            </w:r>
          </w:p>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rPr>
              <w:t>火焰原子吸收分光光度法</w:t>
            </w:r>
            <w:r>
              <w:rPr>
                <w:rStyle w:val="42"/>
                <w:rFonts w:hint="default" w:ascii="Times New Roman" w:hAnsi="Times New Roman" w:eastAsia="宋体" w:cs="Times New Roman"/>
                <w:sz w:val="24"/>
                <w:szCs w:val="24"/>
                <w:highlight w:val="none"/>
              </w:rPr>
              <w:t xml:space="preserve">  HJ 491-2019</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lang w:val="en-US" w:eastAsia="zh-CN"/>
              </w:rPr>
              <w:t>原子吸收分光光度计TAS-990F</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rPr>
              <w:t>10mg/kg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汞</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rPr>
              <w:t>土壤和沉积物</w:t>
            </w:r>
            <w:r>
              <w:rPr>
                <w:rStyle w:val="42"/>
                <w:rFonts w:hint="default" w:ascii="Times New Roman" w:hAnsi="Times New Roman" w:eastAsia="宋体" w:cs="Times New Roman"/>
                <w:sz w:val="24"/>
                <w:szCs w:val="24"/>
                <w:highlight w:val="none"/>
              </w:rPr>
              <w:t xml:space="preserve"> </w:t>
            </w:r>
            <w:r>
              <w:rPr>
                <w:rStyle w:val="41"/>
                <w:rFonts w:hint="default" w:ascii="Times New Roman" w:hAnsi="Times New Roman" w:eastAsia="宋体" w:cs="Times New Roman"/>
                <w:sz w:val="24"/>
                <w:szCs w:val="24"/>
                <w:highlight w:val="none"/>
              </w:rPr>
              <w:t>汞、砷、硒、铋、锑的测定</w:t>
            </w:r>
            <w:r>
              <w:rPr>
                <w:rStyle w:val="42"/>
                <w:rFonts w:hint="default" w:ascii="Times New Roman" w:hAnsi="Times New Roman" w:eastAsia="宋体" w:cs="Times New Roman"/>
                <w:sz w:val="24"/>
                <w:szCs w:val="24"/>
                <w:highlight w:val="none"/>
              </w:rPr>
              <w:t xml:space="preserve"> </w:t>
            </w:r>
            <w:r>
              <w:rPr>
                <w:rStyle w:val="41"/>
                <w:rFonts w:hint="default" w:ascii="Times New Roman" w:hAnsi="Times New Roman" w:eastAsia="宋体" w:cs="Times New Roman"/>
                <w:sz w:val="24"/>
                <w:szCs w:val="24"/>
                <w:highlight w:val="none"/>
              </w:rPr>
              <w:t>微波消解</w:t>
            </w:r>
            <w:r>
              <w:rPr>
                <w:rStyle w:val="42"/>
                <w:rFonts w:hint="default" w:ascii="Times New Roman" w:hAnsi="Times New Roman" w:eastAsia="宋体" w:cs="Times New Roman"/>
                <w:sz w:val="24"/>
                <w:szCs w:val="24"/>
                <w:highlight w:val="none"/>
              </w:rPr>
              <w:t>/</w:t>
            </w:r>
            <w:r>
              <w:rPr>
                <w:rStyle w:val="41"/>
                <w:rFonts w:hint="default" w:ascii="Times New Roman" w:hAnsi="Times New Roman" w:eastAsia="宋体" w:cs="Times New Roman"/>
                <w:sz w:val="24"/>
                <w:szCs w:val="24"/>
                <w:highlight w:val="none"/>
              </w:rPr>
              <w:t>原子荧光法</w:t>
            </w:r>
            <w:r>
              <w:rPr>
                <w:rStyle w:val="42"/>
                <w:rFonts w:hint="default" w:ascii="Times New Roman" w:hAnsi="Times New Roman" w:eastAsia="宋体" w:cs="Times New Roman"/>
                <w:sz w:val="24"/>
                <w:szCs w:val="24"/>
                <w:highlight w:val="none"/>
              </w:rPr>
              <w:t xml:space="preserve">  HJ 680-2013</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lang w:val="en-US" w:eastAsia="zh-CN"/>
              </w:rPr>
              <w:t>原子荧光光度计PF31</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rPr>
              <w:t>0.002mg/kg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镍</w:t>
            </w:r>
          </w:p>
        </w:tc>
        <w:tc>
          <w:tcPr>
            <w:tcW w:w="3960" w:type="dxa"/>
            <w:tcBorders>
              <w:tl2br w:val="nil"/>
              <w:tr2bl w:val="nil"/>
            </w:tcBorders>
            <w:noWrap w:val="0"/>
            <w:vAlign w:val="center"/>
          </w:tcPr>
          <w:p>
            <w:pPr>
              <w:keepNext w:val="0"/>
              <w:keepLines w:val="0"/>
              <w:widowControl/>
              <w:suppressLineNumbers w:val="0"/>
              <w:jc w:val="center"/>
              <w:textAlignment w:val="center"/>
              <w:rPr>
                <w:rStyle w:val="42"/>
                <w:rFonts w:hint="default" w:ascii="Times New Roman" w:hAnsi="Times New Roman" w:eastAsia="宋体" w:cs="Times New Roman"/>
                <w:sz w:val="24"/>
                <w:szCs w:val="24"/>
                <w:highlight w:val="none"/>
              </w:rPr>
            </w:pPr>
            <w:r>
              <w:rPr>
                <w:rStyle w:val="41"/>
                <w:rFonts w:hint="default" w:ascii="Times New Roman" w:hAnsi="Times New Roman" w:eastAsia="宋体" w:cs="Times New Roman"/>
                <w:sz w:val="24"/>
                <w:szCs w:val="24"/>
                <w:highlight w:val="none"/>
              </w:rPr>
              <w:t>土壤和沉积物</w:t>
            </w:r>
            <w:r>
              <w:rPr>
                <w:rStyle w:val="42"/>
                <w:rFonts w:hint="default" w:ascii="Times New Roman" w:hAnsi="Times New Roman" w:eastAsia="宋体" w:cs="Times New Roman"/>
                <w:sz w:val="24"/>
                <w:szCs w:val="24"/>
                <w:highlight w:val="none"/>
              </w:rPr>
              <w:t xml:space="preserve"> </w:t>
            </w:r>
            <w:r>
              <w:rPr>
                <w:rStyle w:val="41"/>
                <w:rFonts w:hint="default" w:ascii="Times New Roman" w:hAnsi="Times New Roman" w:eastAsia="宋体" w:cs="Times New Roman"/>
                <w:sz w:val="24"/>
                <w:szCs w:val="24"/>
                <w:highlight w:val="none"/>
              </w:rPr>
              <w:t>铜、锌、铅、镍、铬的测定</w:t>
            </w:r>
            <w:r>
              <w:rPr>
                <w:rStyle w:val="42"/>
                <w:rFonts w:hint="default" w:ascii="Times New Roman" w:hAnsi="Times New Roman" w:eastAsia="宋体" w:cs="Times New Roman"/>
                <w:sz w:val="24"/>
                <w:szCs w:val="24"/>
                <w:highlight w:val="none"/>
              </w:rPr>
              <w:t xml:space="preserve"> </w:t>
            </w:r>
          </w:p>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rPr>
              <w:t>火焰原子吸收分光光度法</w:t>
            </w:r>
            <w:r>
              <w:rPr>
                <w:rStyle w:val="42"/>
                <w:rFonts w:hint="default" w:ascii="Times New Roman" w:hAnsi="Times New Roman" w:eastAsia="宋体" w:cs="Times New Roman"/>
                <w:sz w:val="24"/>
                <w:szCs w:val="24"/>
                <w:highlight w:val="none"/>
              </w:rPr>
              <w:t xml:space="preserve">  HJ 491-2019</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lang w:val="en-US" w:eastAsia="zh-CN"/>
              </w:rPr>
              <w:t>原子吸收分光光度计TAS-990F</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rPr>
              <w:t>3mg/kg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四氯化碳</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1.3μg/kg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氯仿</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1.1μg/kg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氯甲烷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b w:val="0"/>
                <w:bCs w:val="0"/>
                <w:sz w:val="24"/>
                <w:szCs w:val="24"/>
                <w:highlight w:val="none"/>
                <w:lang w:val="en-US" w:eastAsia="zh-CN"/>
              </w:rPr>
              <w:t>1.0μg/kg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1,1-二氯乙烷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1,2二氯乙烷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1.3μg/kg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1,1-二氯乙烯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1.0μg/kg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顺-1,2-二氯乙烯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1.3μg/kg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反-1,2-二氯乙烯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1.4μg/kg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二氯甲烷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1.5μg/kg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1,2-二氯丙烷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1.1μg/kg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1,1,1,2-四氯乙烷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1.2</w:t>
            </w:r>
            <w:r>
              <w:rPr>
                <w:rStyle w:val="44"/>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1,1,2,2-四氯乙烷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1.2</w:t>
            </w:r>
            <w:r>
              <w:rPr>
                <w:rStyle w:val="44"/>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四氯乙烯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1.4</w:t>
            </w:r>
            <w:r>
              <w:rPr>
                <w:rStyle w:val="44"/>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1,1,1-三氯乙烷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1.3</w:t>
            </w:r>
            <w:r>
              <w:rPr>
                <w:rStyle w:val="44"/>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1,1,2-三氯乙烷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1.2</w:t>
            </w:r>
            <w:r>
              <w:rPr>
                <w:rStyle w:val="44"/>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三氯乙烯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1.2</w:t>
            </w:r>
            <w:r>
              <w:rPr>
                <w:rStyle w:val="44"/>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1,2,3-三氯丙烷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1.0μg/kg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1.9</w:t>
            </w:r>
            <w:r>
              <w:rPr>
                <w:rStyle w:val="44"/>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氯苯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1,2-二氯苯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1.5μg/kg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1,4-二氯苯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1.5μg/kg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乙苯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1.1</w:t>
            </w:r>
            <w:r>
              <w:rPr>
                <w:rStyle w:val="44"/>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甲苯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1.3μg/kg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对，间二甲苯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邻二甲苯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1.2</w:t>
            </w:r>
            <w:r>
              <w:rPr>
                <w:rStyle w:val="44"/>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硝基苯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半挥发性有机物的测定 气相色谱-质谱法 HJ 834-2017</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0.09mg/kg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b w:val="0"/>
                <w:bCs w:val="0"/>
                <w:kern w:val="44"/>
                <w:sz w:val="24"/>
                <w:szCs w:val="24"/>
                <w:highlight w:val="none"/>
                <w:lang w:val="en-US" w:eastAsia="zh-CN" w:bidi="ar-SA"/>
              </w:rPr>
              <w:t>4-氯苯胺</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rPr>
              <w:t>土壤和沉积物</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半挥发性有机物的测定</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气相色谱</w:t>
            </w:r>
            <w:r>
              <w:rPr>
                <w:rStyle w:val="45"/>
                <w:rFonts w:hint="default" w:ascii="Times New Roman" w:hAnsi="Times New Roman" w:eastAsia="宋体" w:cs="Times New Roman"/>
                <w:color w:val="auto"/>
                <w:sz w:val="24"/>
                <w:szCs w:val="24"/>
                <w:highlight w:val="none"/>
              </w:rPr>
              <w:t>-</w:t>
            </w:r>
            <w:r>
              <w:rPr>
                <w:rStyle w:val="38"/>
                <w:rFonts w:hint="default" w:ascii="Times New Roman" w:hAnsi="Times New Roman" w:eastAsia="宋体" w:cs="Times New Roman"/>
                <w:color w:val="auto"/>
                <w:sz w:val="24"/>
                <w:szCs w:val="24"/>
                <w:highlight w:val="none"/>
              </w:rPr>
              <w:t>质谱法</w:t>
            </w:r>
            <w:r>
              <w:rPr>
                <w:rStyle w:val="45"/>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0.09</w:t>
            </w:r>
            <w:r>
              <w:rPr>
                <w:rStyle w:val="44"/>
                <w:rFonts w:hint="default" w:ascii="Times New Roman" w:hAnsi="Times New Roman" w:eastAsia="宋体" w:cs="Times New Roman"/>
                <w:sz w:val="24"/>
                <w:szCs w:val="24"/>
                <w:highlight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b w:val="0"/>
                <w:bCs w:val="0"/>
                <w:kern w:val="44"/>
                <w:sz w:val="24"/>
                <w:szCs w:val="24"/>
                <w:highlight w:val="none"/>
                <w:lang w:val="en-US" w:eastAsia="zh-CN" w:bidi="ar-SA"/>
              </w:rPr>
              <w:t>2-硝基苯胺</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rPr>
              <w:t>土壤和沉积物</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半挥发性有机物的测定</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气相色谱</w:t>
            </w:r>
            <w:r>
              <w:rPr>
                <w:rStyle w:val="45"/>
                <w:rFonts w:hint="default" w:ascii="Times New Roman" w:hAnsi="Times New Roman" w:eastAsia="宋体" w:cs="Times New Roman"/>
                <w:color w:val="auto"/>
                <w:sz w:val="24"/>
                <w:szCs w:val="24"/>
                <w:highlight w:val="none"/>
              </w:rPr>
              <w:t>-</w:t>
            </w:r>
            <w:r>
              <w:rPr>
                <w:rStyle w:val="38"/>
                <w:rFonts w:hint="default" w:ascii="Times New Roman" w:hAnsi="Times New Roman" w:eastAsia="宋体" w:cs="Times New Roman"/>
                <w:color w:val="auto"/>
                <w:sz w:val="24"/>
                <w:szCs w:val="24"/>
                <w:highlight w:val="none"/>
              </w:rPr>
              <w:t>质谱法</w:t>
            </w:r>
            <w:r>
              <w:rPr>
                <w:rStyle w:val="45"/>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0.08</w:t>
            </w:r>
            <w:r>
              <w:rPr>
                <w:rStyle w:val="44"/>
                <w:rFonts w:hint="default" w:ascii="Times New Roman" w:hAnsi="Times New Roman" w:eastAsia="宋体" w:cs="Times New Roman"/>
                <w:sz w:val="24"/>
                <w:szCs w:val="24"/>
                <w:highlight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b w:val="0"/>
                <w:bCs w:val="0"/>
                <w:kern w:val="44"/>
                <w:sz w:val="24"/>
                <w:szCs w:val="24"/>
                <w:highlight w:val="none"/>
                <w:lang w:val="en-US" w:eastAsia="zh-CN" w:bidi="ar-SA"/>
              </w:rPr>
              <w:t>3-硝基苯胺</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rPr>
              <w:t>土壤和沉积物</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半挥发性有机物的测定</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气相色谱</w:t>
            </w:r>
            <w:r>
              <w:rPr>
                <w:rStyle w:val="45"/>
                <w:rFonts w:hint="default" w:ascii="Times New Roman" w:hAnsi="Times New Roman" w:eastAsia="宋体" w:cs="Times New Roman"/>
                <w:color w:val="auto"/>
                <w:sz w:val="24"/>
                <w:szCs w:val="24"/>
                <w:highlight w:val="none"/>
              </w:rPr>
              <w:t>-</w:t>
            </w:r>
            <w:r>
              <w:rPr>
                <w:rStyle w:val="38"/>
                <w:rFonts w:hint="default" w:ascii="Times New Roman" w:hAnsi="Times New Roman" w:eastAsia="宋体" w:cs="Times New Roman"/>
                <w:color w:val="auto"/>
                <w:sz w:val="24"/>
                <w:szCs w:val="24"/>
                <w:highlight w:val="none"/>
              </w:rPr>
              <w:t>质谱法</w:t>
            </w:r>
            <w:r>
              <w:rPr>
                <w:rStyle w:val="45"/>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0.1</w:t>
            </w:r>
            <w:r>
              <w:rPr>
                <w:rStyle w:val="44"/>
                <w:rFonts w:hint="default" w:ascii="Times New Roman" w:hAnsi="Times New Roman" w:eastAsia="宋体" w:cs="Times New Roman"/>
                <w:sz w:val="24"/>
                <w:szCs w:val="24"/>
                <w:highlight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b w:val="0"/>
                <w:bCs w:val="0"/>
                <w:kern w:val="44"/>
                <w:sz w:val="24"/>
                <w:szCs w:val="24"/>
                <w:highlight w:val="none"/>
                <w:lang w:val="en-US" w:eastAsia="zh-CN" w:bidi="ar-SA"/>
              </w:rPr>
              <w:t>4-硝基苯胺</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rPr>
              <w:t>土壤和沉积物</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半挥发性有机物的测定</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气相色谱</w:t>
            </w:r>
            <w:r>
              <w:rPr>
                <w:rStyle w:val="45"/>
                <w:rFonts w:hint="default" w:ascii="Times New Roman" w:hAnsi="Times New Roman" w:eastAsia="宋体" w:cs="Times New Roman"/>
                <w:color w:val="auto"/>
                <w:sz w:val="24"/>
                <w:szCs w:val="24"/>
                <w:highlight w:val="none"/>
              </w:rPr>
              <w:t>-</w:t>
            </w:r>
            <w:r>
              <w:rPr>
                <w:rStyle w:val="38"/>
                <w:rFonts w:hint="default" w:ascii="Times New Roman" w:hAnsi="Times New Roman" w:eastAsia="宋体" w:cs="Times New Roman"/>
                <w:color w:val="auto"/>
                <w:sz w:val="24"/>
                <w:szCs w:val="24"/>
                <w:highlight w:val="none"/>
              </w:rPr>
              <w:t>质谱法</w:t>
            </w:r>
            <w:r>
              <w:rPr>
                <w:rStyle w:val="45"/>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lang w:val="en-US" w:eastAsia="zh-CN"/>
              </w:rPr>
              <w:t>0.1</w:t>
            </w:r>
            <w:r>
              <w:rPr>
                <w:rStyle w:val="44"/>
                <w:rFonts w:hint="default" w:ascii="Times New Roman" w:hAnsi="Times New Roman" w:eastAsia="宋体" w:cs="Times New Roman"/>
                <w:sz w:val="24"/>
                <w:szCs w:val="24"/>
                <w:highlight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2-氯酚</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1"/>
                <w:rFonts w:hint="default" w:ascii="Times New Roman" w:hAnsi="Times New Roman" w:eastAsia="宋体" w:cs="Times New Roman"/>
                <w:sz w:val="24"/>
                <w:szCs w:val="24"/>
                <w:highlight w:val="none"/>
              </w:rPr>
              <w:t>土壤和沉积物</w:t>
            </w:r>
            <w:r>
              <w:rPr>
                <w:rStyle w:val="42"/>
                <w:rFonts w:hint="default" w:ascii="Times New Roman" w:hAnsi="Times New Roman" w:eastAsia="宋体" w:cs="Times New Roman"/>
                <w:sz w:val="24"/>
                <w:szCs w:val="24"/>
                <w:highlight w:val="none"/>
              </w:rPr>
              <w:t xml:space="preserve"> </w:t>
            </w:r>
            <w:r>
              <w:rPr>
                <w:rStyle w:val="41"/>
                <w:rFonts w:hint="default" w:ascii="Times New Roman" w:hAnsi="Times New Roman" w:eastAsia="宋体" w:cs="Times New Roman"/>
                <w:sz w:val="24"/>
                <w:szCs w:val="24"/>
                <w:highlight w:val="none"/>
              </w:rPr>
              <w:t>酚类化合物的测定</w:t>
            </w:r>
            <w:r>
              <w:rPr>
                <w:rStyle w:val="42"/>
                <w:rFonts w:hint="default" w:ascii="Times New Roman" w:hAnsi="Times New Roman" w:eastAsia="宋体" w:cs="Times New Roman"/>
                <w:sz w:val="24"/>
                <w:szCs w:val="24"/>
                <w:highlight w:val="none"/>
              </w:rPr>
              <w:t xml:space="preserve"> </w:t>
            </w:r>
            <w:r>
              <w:rPr>
                <w:rStyle w:val="41"/>
                <w:rFonts w:hint="default" w:ascii="Times New Roman" w:hAnsi="Times New Roman" w:eastAsia="宋体" w:cs="Times New Roman"/>
                <w:sz w:val="24"/>
                <w:szCs w:val="24"/>
                <w:highlight w:val="none"/>
              </w:rPr>
              <w:t>气相色谱法</w:t>
            </w:r>
            <w:r>
              <w:rPr>
                <w:rStyle w:val="42"/>
                <w:rFonts w:hint="default" w:ascii="Times New Roman" w:hAnsi="Times New Roman" w:eastAsia="宋体" w:cs="Times New Roman"/>
                <w:sz w:val="24"/>
                <w:szCs w:val="24"/>
                <w:highlight w:val="none"/>
              </w:rPr>
              <w:t>HJ 703-2014</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lang w:val="en-US" w:eastAsia="zh-CN"/>
              </w:rPr>
              <w:t>气相色谱仪A91PLUS</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4"/>
                <w:rFonts w:hint="default" w:ascii="Times New Roman" w:hAnsi="Times New Roman" w:eastAsia="宋体" w:cs="Times New Roman"/>
                <w:sz w:val="24"/>
                <w:szCs w:val="24"/>
                <w:highlight w:val="none"/>
              </w:rPr>
              <w:t>0.04mg/kg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苯并（a）蒽</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rPr>
              <w:t>土壤和沉积物</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半挥发性有机物的测定</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气相色谱</w:t>
            </w:r>
            <w:r>
              <w:rPr>
                <w:rStyle w:val="45"/>
                <w:rFonts w:hint="default" w:ascii="Times New Roman" w:hAnsi="Times New Roman" w:eastAsia="宋体" w:cs="Times New Roman"/>
                <w:color w:val="auto"/>
                <w:sz w:val="24"/>
                <w:szCs w:val="24"/>
                <w:highlight w:val="none"/>
              </w:rPr>
              <w:t>-</w:t>
            </w:r>
            <w:r>
              <w:rPr>
                <w:rStyle w:val="38"/>
                <w:rFonts w:hint="default" w:ascii="Times New Roman" w:hAnsi="Times New Roman" w:eastAsia="宋体" w:cs="Times New Roman"/>
                <w:color w:val="auto"/>
                <w:sz w:val="24"/>
                <w:szCs w:val="24"/>
                <w:highlight w:val="none"/>
              </w:rPr>
              <w:t>质谱法</w:t>
            </w:r>
            <w:r>
              <w:rPr>
                <w:rStyle w:val="45"/>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tabs>
                <w:tab w:val="left" w:pos="583"/>
              </w:tabs>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苯并（a）芘</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rPr>
              <w:t>土壤和沉积物</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半挥发性有机物的测定</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气相色谱</w:t>
            </w:r>
            <w:r>
              <w:rPr>
                <w:rStyle w:val="45"/>
                <w:rFonts w:hint="default" w:ascii="Times New Roman" w:hAnsi="Times New Roman" w:eastAsia="宋体" w:cs="Times New Roman"/>
                <w:color w:val="auto"/>
                <w:sz w:val="24"/>
                <w:szCs w:val="24"/>
                <w:highlight w:val="none"/>
              </w:rPr>
              <w:t>-</w:t>
            </w:r>
            <w:r>
              <w:rPr>
                <w:rStyle w:val="38"/>
                <w:rFonts w:hint="default" w:ascii="Times New Roman" w:hAnsi="Times New Roman" w:eastAsia="宋体" w:cs="Times New Roman"/>
                <w:color w:val="auto"/>
                <w:sz w:val="24"/>
                <w:szCs w:val="24"/>
                <w:highlight w:val="none"/>
              </w:rPr>
              <w:t>质谱法</w:t>
            </w:r>
            <w:r>
              <w:rPr>
                <w:rStyle w:val="45"/>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苯并（b）荧蒽</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rPr>
              <w:t>土壤和沉积物</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半挥发性有机物的测定</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气相色谱</w:t>
            </w:r>
            <w:r>
              <w:rPr>
                <w:rStyle w:val="45"/>
                <w:rFonts w:hint="default" w:ascii="Times New Roman" w:hAnsi="Times New Roman" w:eastAsia="宋体" w:cs="Times New Roman"/>
                <w:color w:val="auto"/>
                <w:sz w:val="24"/>
                <w:szCs w:val="24"/>
                <w:highlight w:val="none"/>
              </w:rPr>
              <w:t>-</w:t>
            </w:r>
            <w:r>
              <w:rPr>
                <w:rStyle w:val="38"/>
                <w:rFonts w:hint="default" w:ascii="Times New Roman" w:hAnsi="Times New Roman" w:eastAsia="宋体" w:cs="Times New Roman"/>
                <w:color w:val="auto"/>
                <w:sz w:val="24"/>
                <w:szCs w:val="24"/>
                <w:highlight w:val="none"/>
              </w:rPr>
              <w:t>质谱法</w:t>
            </w:r>
            <w:r>
              <w:rPr>
                <w:rStyle w:val="45"/>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0.2mg/kg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苯并（k）荧蒽</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rPr>
              <w:t>土壤和沉积物</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半挥发性有机物的测定</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气相色谱</w:t>
            </w:r>
            <w:r>
              <w:rPr>
                <w:rStyle w:val="45"/>
                <w:rFonts w:hint="default" w:ascii="Times New Roman" w:hAnsi="Times New Roman" w:eastAsia="宋体" w:cs="Times New Roman"/>
                <w:color w:val="auto"/>
                <w:sz w:val="24"/>
                <w:szCs w:val="24"/>
                <w:highlight w:val="none"/>
              </w:rPr>
              <w:t>-</w:t>
            </w:r>
            <w:r>
              <w:rPr>
                <w:rStyle w:val="38"/>
                <w:rFonts w:hint="default" w:ascii="Times New Roman" w:hAnsi="Times New Roman" w:eastAsia="宋体" w:cs="Times New Roman"/>
                <w:color w:val="auto"/>
                <w:sz w:val="24"/>
                <w:szCs w:val="24"/>
                <w:highlight w:val="none"/>
              </w:rPr>
              <w:t>质谱法</w:t>
            </w:r>
            <w:r>
              <w:rPr>
                <w:rStyle w:val="45"/>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䓛</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rPr>
              <w:t>土壤和沉积物</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半挥发性有机物的测定</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气相色谱</w:t>
            </w:r>
            <w:r>
              <w:rPr>
                <w:rStyle w:val="45"/>
                <w:rFonts w:hint="default" w:ascii="Times New Roman" w:hAnsi="Times New Roman" w:eastAsia="宋体" w:cs="Times New Roman"/>
                <w:color w:val="auto"/>
                <w:sz w:val="24"/>
                <w:szCs w:val="24"/>
                <w:highlight w:val="none"/>
              </w:rPr>
              <w:t>-</w:t>
            </w:r>
            <w:r>
              <w:rPr>
                <w:rStyle w:val="38"/>
                <w:rFonts w:hint="default" w:ascii="Times New Roman" w:hAnsi="Times New Roman" w:eastAsia="宋体" w:cs="Times New Roman"/>
                <w:color w:val="auto"/>
                <w:sz w:val="24"/>
                <w:szCs w:val="24"/>
                <w:highlight w:val="none"/>
              </w:rPr>
              <w:t>质谱法</w:t>
            </w:r>
            <w:r>
              <w:rPr>
                <w:rStyle w:val="45"/>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shd w:val="clear" w:color="auto" w:fill="auto"/>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二苯并（a,h）蒽</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rPr>
              <w:t>土壤和沉积物</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半挥发性有机物的测定</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气相色谱</w:t>
            </w:r>
            <w:r>
              <w:rPr>
                <w:rStyle w:val="45"/>
                <w:rFonts w:hint="default" w:ascii="Times New Roman" w:hAnsi="Times New Roman" w:eastAsia="宋体" w:cs="Times New Roman"/>
                <w:color w:val="auto"/>
                <w:sz w:val="24"/>
                <w:szCs w:val="24"/>
                <w:highlight w:val="none"/>
              </w:rPr>
              <w:t>-</w:t>
            </w:r>
            <w:r>
              <w:rPr>
                <w:rStyle w:val="38"/>
                <w:rFonts w:hint="default" w:ascii="Times New Roman" w:hAnsi="Times New Roman" w:eastAsia="宋体" w:cs="Times New Roman"/>
                <w:color w:val="auto"/>
                <w:sz w:val="24"/>
                <w:szCs w:val="24"/>
                <w:highlight w:val="none"/>
              </w:rPr>
              <w:t>质谱法</w:t>
            </w:r>
            <w:r>
              <w:rPr>
                <w:rStyle w:val="45"/>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茚并（1,2,3-cd）芘</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rPr>
              <w:t>土壤和沉积物</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半挥发性有机物的测定</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气相色谱</w:t>
            </w:r>
            <w:r>
              <w:rPr>
                <w:rStyle w:val="45"/>
                <w:rFonts w:hint="default" w:ascii="Times New Roman" w:hAnsi="Times New Roman" w:eastAsia="宋体" w:cs="Times New Roman"/>
                <w:color w:val="auto"/>
                <w:sz w:val="24"/>
                <w:szCs w:val="24"/>
                <w:highlight w:val="none"/>
              </w:rPr>
              <w:t>-</w:t>
            </w:r>
            <w:r>
              <w:rPr>
                <w:rStyle w:val="38"/>
                <w:rFonts w:hint="default" w:ascii="Times New Roman" w:hAnsi="Times New Roman" w:eastAsia="宋体" w:cs="Times New Roman"/>
                <w:color w:val="auto"/>
                <w:sz w:val="24"/>
                <w:szCs w:val="24"/>
                <w:highlight w:val="none"/>
              </w:rPr>
              <w:t>质谱法</w:t>
            </w:r>
            <w:r>
              <w:rPr>
                <w:rStyle w:val="45"/>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萘</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8"/>
                <w:rFonts w:hint="default" w:ascii="Times New Roman" w:hAnsi="Times New Roman" w:eastAsia="宋体" w:cs="Times New Roman"/>
                <w:color w:val="auto"/>
                <w:sz w:val="24"/>
                <w:szCs w:val="24"/>
                <w:highlight w:val="none"/>
              </w:rPr>
              <w:t>土壤和沉积物</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半挥发性有机物的测定</w:t>
            </w:r>
            <w:r>
              <w:rPr>
                <w:rStyle w:val="45"/>
                <w:rFonts w:hint="default" w:ascii="Times New Roman" w:hAnsi="Times New Roman" w:eastAsia="宋体" w:cs="Times New Roman"/>
                <w:color w:val="auto"/>
                <w:sz w:val="24"/>
                <w:szCs w:val="24"/>
                <w:highlight w:val="none"/>
              </w:rPr>
              <w:t xml:space="preserve"> </w:t>
            </w:r>
            <w:r>
              <w:rPr>
                <w:rStyle w:val="38"/>
                <w:rFonts w:hint="default" w:ascii="Times New Roman" w:hAnsi="Times New Roman" w:eastAsia="宋体" w:cs="Times New Roman"/>
                <w:color w:val="auto"/>
                <w:sz w:val="24"/>
                <w:szCs w:val="24"/>
                <w:highlight w:val="none"/>
              </w:rPr>
              <w:t>气相色谱</w:t>
            </w:r>
            <w:r>
              <w:rPr>
                <w:rStyle w:val="45"/>
                <w:rFonts w:hint="default" w:ascii="Times New Roman" w:hAnsi="Times New Roman" w:eastAsia="宋体" w:cs="Times New Roman"/>
                <w:color w:val="auto"/>
                <w:sz w:val="24"/>
                <w:szCs w:val="24"/>
                <w:highlight w:val="none"/>
              </w:rPr>
              <w:t>-</w:t>
            </w:r>
            <w:r>
              <w:rPr>
                <w:rStyle w:val="38"/>
                <w:rFonts w:hint="default" w:ascii="Times New Roman" w:hAnsi="Times New Roman" w:eastAsia="宋体" w:cs="Times New Roman"/>
                <w:color w:val="auto"/>
                <w:sz w:val="24"/>
                <w:szCs w:val="24"/>
                <w:highlight w:val="none"/>
              </w:rPr>
              <w:t>质谱法</w:t>
            </w:r>
            <w:r>
              <w:rPr>
                <w:rStyle w:val="45"/>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eastAsia" w:ascii="Times New Roman" w:hAnsi="Times New Roman" w:eastAsia="宋体" w:cs="Times New Roman"/>
                <w:i w:val="0"/>
                <w:color w:val="000000"/>
                <w:sz w:val="24"/>
                <w:szCs w:val="24"/>
                <w:highlight w:val="none"/>
                <w:u w:val="none"/>
                <w:lang w:val="en-US" w:eastAsia="zh-CN"/>
              </w:rPr>
              <w:t>0.09</w:t>
            </w:r>
            <w:r>
              <w:rPr>
                <w:rFonts w:hint="default" w:ascii="Times New Roman" w:hAnsi="Times New Roman" w:eastAsia="宋体" w:cs="Times New Roman"/>
                <w:i w:val="0"/>
                <w:color w:val="000000"/>
                <w:sz w:val="24"/>
                <w:szCs w:val="24"/>
                <w:highlight w:val="none"/>
                <w:u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Style w:val="38"/>
                <w:rFonts w:hint="eastAsia" w:ascii="Times New Roman" w:hAnsi="Times New Roman" w:eastAsia="宋体" w:cs="Times New Roman"/>
                <w:color w:val="auto"/>
                <w:sz w:val="24"/>
                <w:szCs w:val="24"/>
                <w:highlight w:val="none"/>
                <w:lang w:val="en-US" w:eastAsia="zh-CN"/>
              </w:rPr>
            </w:pPr>
            <w:r>
              <w:rPr>
                <w:rStyle w:val="38"/>
                <w:rFonts w:hint="default" w:ascii="Times New Roman" w:hAnsi="Times New Roman" w:eastAsia="宋体" w:cs="Times New Roman"/>
                <w:color w:val="auto"/>
                <w:sz w:val="24"/>
                <w:szCs w:val="24"/>
                <w:highlight w:val="none"/>
              </w:rPr>
              <w:t>石油烃（C10-C40）</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Style w:val="38"/>
                <w:rFonts w:hint="eastAsia" w:ascii="Times New Roman" w:hAnsi="Times New Roman" w:eastAsia="宋体" w:cs="Times New Roman"/>
                <w:color w:val="auto"/>
                <w:sz w:val="24"/>
                <w:szCs w:val="24"/>
                <w:highlight w:val="none"/>
                <w:lang w:val="en-US" w:eastAsia="zh-CN"/>
              </w:rPr>
            </w:pPr>
            <w:r>
              <w:rPr>
                <w:rStyle w:val="38"/>
                <w:rFonts w:hint="default" w:ascii="Times New Roman" w:hAnsi="Times New Roman" w:eastAsia="宋体" w:cs="Times New Roman"/>
                <w:color w:val="auto"/>
                <w:sz w:val="24"/>
                <w:szCs w:val="24"/>
                <w:highlight w:val="none"/>
              </w:rPr>
              <w:t>土壤和沉积物 石油烃（C10-C40）的测定气相色谱法 HJ 1021-2019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Style w:val="38"/>
                <w:rFonts w:hint="eastAsia" w:ascii="Times New Roman" w:hAnsi="Times New Roman" w:eastAsia="宋体" w:cs="Times New Roman"/>
                <w:color w:val="auto"/>
                <w:sz w:val="24"/>
                <w:szCs w:val="24"/>
                <w:highlight w:val="none"/>
                <w:lang w:val="en-US" w:eastAsia="zh-CN"/>
              </w:rPr>
            </w:pPr>
            <w:r>
              <w:rPr>
                <w:rStyle w:val="38"/>
                <w:rFonts w:hint="default" w:ascii="Times New Roman" w:hAnsi="Times New Roman" w:eastAsia="宋体" w:cs="Times New Roman"/>
                <w:color w:val="auto"/>
                <w:sz w:val="24"/>
                <w:szCs w:val="24"/>
                <w:highlight w:val="none"/>
                <w:lang w:val="en-US" w:eastAsia="zh-CN"/>
              </w:rPr>
              <w:t>气相色谱仪A91PLUS</w:t>
            </w:r>
          </w:p>
        </w:tc>
        <w:tc>
          <w:tcPr>
            <w:tcW w:w="174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Style w:val="38"/>
                <w:rFonts w:hint="eastAsia" w:ascii="Times New Roman" w:hAnsi="Times New Roman" w:eastAsia="宋体" w:cs="Times New Roman"/>
                <w:color w:val="auto"/>
                <w:sz w:val="24"/>
                <w:szCs w:val="24"/>
                <w:highlight w:val="none"/>
                <w:lang w:val="en-US" w:eastAsia="zh-CN"/>
              </w:rPr>
            </w:pPr>
            <w:r>
              <w:rPr>
                <w:rStyle w:val="38"/>
                <w:rFonts w:hint="default" w:ascii="Times New Roman" w:hAnsi="Times New Roman" w:eastAsia="宋体" w:cs="Times New Roman"/>
                <w:color w:val="auto"/>
                <w:sz w:val="24"/>
                <w:szCs w:val="24"/>
                <w:highlight w:val="none"/>
              </w:rPr>
              <w:t>6mg/kg</w:t>
            </w:r>
          </w:p>
        </w:tc>
      </w:tr>
    </w:tbl>
    <w:p>
      <w:pPr>
        <w:pStyle w:val="30"/>
        <w:tabs>
          <w:tab w:val="clear" w:pos="0"/>
        </w:tabs>
        <w:adjustRightInd/>
        <w:snapToGrid/>
        <w:spacing w:before="0" w:after="0" w:line="360" w:lineRule="auto"/>
        <w:rPr>
          <w:rFonts w:hint="eastAsia" w:ascii="Times New Roman" w:hAnsi="Times New Roman" w:eastAsia="宋体" w:cs="Times New Roman"/>
          <w:b/>
          <w:bCs/>
          <w:color w:val="auto"/>
        </w:rPr>
      </w:pPr>
      <w:bookmarkStart w:id="25" w:name="_Toc9474"/>
      <w:r>
        <w:rPr>
          <w:rFonts w:hint="eastAsia" w:ascii="Times New Roman" w:hAnsi="Times New Roman" w:eastAsia="宋体" w:cs="Times New Roman"/>
          <w:b/>
          <w:bCs/>
          <w:color w:val="auto"/>
          <w:lang w:eastAsia="zh-CN"/>
        </w:rPr>
        <w:t>七</w:t>
      </w:r>
      <w:r>
        <w:rPr>
          <w:rFonts w:hint="eastAsia" w:ascii="Times New Roman" w:hAnsi="Times New Roman" w:eastAsia="宋体" w:cs="Times New Roman"/>
          <w:b/>
          <w:bCs/>
          <w:color w:val="auto"/>
        </w:rPr>
        <w:t>、质量控制和质量保证</w:t>
      </w:r>
      <w:bookmarkEnd w:id="25"/>
    </w:p>
    <w:p>
      <w:pPr>
        <w:spacing w:line="360" w:lineRule="auto"/>
        <w:ind w:firstLine="480" w:firstLineChars="200"/>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1、布设监测点位合理，保证各点位监测数据的科学性和可比性。采样人员遵守采样操作规程，填写采样记录，按规定保存运输样品。</w:t>
      </w:r>
    </w:p>
    <w:p>
      <w:pPr>
        <w:spacing w:line="360" w:lineRule="auto"/>
        <w:ind w:firstLine="480" w:firstLineChars="200"/>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2、所有监测仪器经过计量部门检定合格并在有效期内。</w:t>
      </w:r>
    </w:p>
    <w:p>
      <w:pPr>
        <w:spacing w:line="360" w:lineRule="auto"/>
        <w:ind w:firstLine="480" w:firstLineChars="200"/>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3、监测分析方法采用国家颁布的标准分析方法。</w:t>
      </w:r>
    </w:p>
    <w:p>
      <w:pPr>
        <w:spacing w:line="360" w:lineRule="auto"/>
        <w:ind w:firstLine="480" w:firstLineChars="200"/>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4、监测人员均持证上岗。</w:t>
      </w:r>
    </w:p>
    <w:p>
      <w:pPr>
        <w:pStyle w:val="30"/>
        <w:tabs>
          <w:tab w:val="clear" w:pos="0"/>
        </w:tabs>
        <w:adjustRightInd/>
        <w:snapToGrid/>
        <w:spacing w:before="0" w:after="0" w:line="360" w:lineRule="auto"/>
        <w:rPr>
          <w:rFonts w:hint="default" w:ascii="Times New Roman" w:hAnsi="Times New Roman" w:eastAsia="宋体" w:cs="Times New Roman"/>
          <w:b/>
          <w:bCs/>
          <w:color w:val="auto"/>
          <w:lang w:val="en-US" w:eastAsia="zh-CN"/>
        </w:rPr>
      </w:pPr>
      <w:bookmarkStart w:id="26" w:name="_Toc7074"/>
      <w:r>
        <w:rPr>
          <w:rFonts w:hint="eastAsia" w:ascii="Times New Roman" w:hAnsi="Times New Roman" w:eastAsia="宋体" w:cs="Times New Roman"/>
          <w:b/>
          <w:bCs/>
          <w:color w:val="auto"/>
          <w:lang w:eastAsia="zh-CN"/>
        </w:rPr>
        <w:t>八、</w:t>
      </w:r>
      <w:r>
        <w:rPr>
          <w:rFonts w:hint="eastAsia" w:ascii="Times New Roman" w:hAnsi="Times New Roman" w:eastAsia="宋体" w:cs="Times New Roman"/>
          <w:b/>
          <w:bCs/>
          <w:color w:val="auto"/>
          <w:lang w:val="en-US" w:eastAsia="zh-CN"/>
        </w:rPr>
        <w:t>监测点位图</w:t>
      </w:r>
      <w:bookmarkEnd w:id="26"/>
    </w:p>
    <w:p>
      <w:pPr>
        <w:spacing w:line="360" w:lineRule="auto"/>
        <w:jc w:val="center"/>
        <w:rPr>
          <w:rFonts w:hint="eastAsia" w:ascii="Times New Roman" w:hAnsi="Times New Roman" w:eastAsia="宋体" w:cs="Times New Roman"/>
          <w:lang w:eastAsia="zh-CN"/>
        </w:rPr>
      </w:pPr>
      <w:r>
        <w:rPr>
          <w:rFonts w:ascii="Times New Roman" w:hAnsi="Times New Roman" w:eastAsia="宋体" w:cs="Times New Roman"/>
          <w:sz w:val="21"/>
        </w:rPr>
        <mc:AlternateContent>
          <mc:Choice Requires="wps">
            <w:drawing>
              <wp:anchor distT="0" distB="0" distL="114300" distR="114300" simplePos="0" relativeHeight="251664384" behindDoc="0" locked="0" layoutInCell="1" allowOverlap="1">
                <wp:simplePos x="0" y="0"/>
                <wp:positionH relativeFrom="column">
                  <wp:posOffset>2861310</wp:posOffset>
                </wp:positionH>
                <wp:positionV relativeFrom="paragraph">
                  <wp:posOffset>2830195</wp:posOffset>
                </wp:positionV>
                <wp:extent cx="129540" cy="112395"/>
                <wp:effectExtent l="5080" t="5080" r="17780" b="15875"/>
                <wp:wrapNone/>
                <wp:docPr id="22" name="矩形 41"/>
                <wp:cNvGraphicFramePr/>
                <a:graphic xmlns:a="http://schemas.openxmlformats.org/drawingml/2006/main">
                  <a:graphicData uri="http://schemas.microsoft.com/office/word/2010/wordprocessingShape">
                    <wps:wsp>
                      <wps:cNvSpPr/>
                      <wps:spPr>
                        <a:xfrm>
                          <a:off x="0" y="0"/>
                          <a:ext cx="129540" cy="112395"/>
                        </a:xfrm>
                        <a:prstGeom prst="re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41" o:spid="_x0000_s1026" o:spt="1" style="position:absolute;left:0pt;margin-left:225.3pt;margin-top:222.85pt;height:8.85pt;width:10.2pt;z-index:251664384;mso-width-relative:page;mso-height-relative:page;" fillcolor="#FF0000" filled="t" stroked="t" coordsize="21600,21600" o:gfxdata="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8gOE2gAAAAsBAAAPAAAAAAAAAAEAIAAAACIAAABkcnMvZG93&#10;bnJldi54bWxQSwECFAAUAAAACACHTuJAwgbpYf4BAAAqBAAADgAAAAAAAAABACAAAAApAQAAZHJz&#10;L2Uyb0RvYy54bWxQSwUGAAAAAAYABgBZAQAAmQUAAAAA&#10;">
                <v:fill on="t" focussize="0,0"/>
                <v:stroke color="#FF0000" joinstyle="miter"/>
                <v:imagedata o:title=""/>
                <o:lock v:ext="edit" aspectratio="f"/>
                <v:textbox>
                  <w:txbxContent>
                    <w:p>
                      <w:pPr>
                        <w:jc w:val="center"/>
                      </w:pPr>
                    </w:p>
                  </w:txbxContent>
                </v:textbox>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66432" behindDoc="0" locked="0" layoutInCell="1" allowOverlap="1">
                <wp:simplePos x="0" y="0"/>
                <wp:positionH relativeFrom="column">
                  <wp:posOffset>2568575</wp:posOffset>
                </wp:positionH>
                <wp:positionV relativeFrom="paragraph">
                  <wp:posOffset>2747010</wp:posOffset>
                </wp:positionV>
                <wp:extent cx="415925" cy="311785"/>
                <wp:effectExtent l="0" t="0" r="0" b="0"/>
                <wp:wrapNone/>
                <wp:docPr id="27" name="矩形 45"/>
                <wp:cNvGraphicFramePr/>
                <a:graphic xmlns:a="http://schemas.openxmlformats.org/drawingml/2006/main">
                  <a:graphicData uri="http://schemas.microsoft.com/office/word/2010/wordprocessingShape">
                    <wps:wsp>
                      <wps:cNvSpPr/>
                      <wps:spPr>
                        <a:xfrm>
                          <a:off x="0" y="0"/>
                          <a:ext cx="415925" cy="311785"/>
                        </a:xfrm>
                        <a:prstGeom prst="rect">
                          <a:avLst/>
                        </a:prstGeom>
                        <a:noFill/>
                        <a:ln>
                          <a:noFill/>
                        </a:ln>
                      </wps:spPr>
                      <wps:txb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2</w:t>
                            </w:r>
                            <w:r>
                              <w:rPr>
                                <w:rFonts w:hint="default" w:ascii="Times New Roman" w:hAnsi="Times New Roman" w:cs="Times New Roman"/>
                                <w:color w:val="FF0000"/>
                                <w:lang w:val="en-US" w:eastAsia="zh-CN"/>
                              </w:rPr>
                              <w:t>#</w:t>
                            </w:r>
                          </w:p>
                        </w:txbxContent>
                      </wps:txbx>
                      <wps:bodyPr upright="1"/>
                    </wps:wsp>
                  </a:graphicData>
                </a:graphic>
              </wp:anchor>
            </w:drawing>
          </mc:Choice>
          <mc:Fallback>
            <w:pict>
              <v:rect id="矩形 45" o:spid="_x0000_s1026" o:spt="1" style="position:absolute;left:0pt;margin-left:202.25pt;margin-top:216.3pt;height:24.55pt;width:32.75pt;z-index:251666432;mso-width-relative:page;mso-height-relative:page;" filled="f" stroked="f" coordsize="21600,21600" o:gfxdata="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ndBvA9sAAAALAQAA&#10;DwAAAAAAAAABACAAAAAiAAAAZHJzL2Rvd25yZXYueG1sUEsBAhQAFAAAAAgAh07iQFjxBlakAQAA&#10;QgMAAA4AAAAAAAAAAQAgAAAAKgEAAGRycy9lMm9Eb2MueG1sUEsFBgAAAAAGAAYAWQEAAEAFAAAA&#10;AA==&#10;">
                <v:fill on="f" focussize="0,0"/>
                <v:stroke on="f"/>
                <v:imagedata o:title=""/>
                <o:lock v:ext="edit" aspectratio="f"/>
                <v:textbo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2</w:t>
                      </w:r>
                      <w:r>
                        <w:rPr>
                          <w:rFonts w:hint="default" w:ascii="Times New Roman" w:hAnsi="Times New Roman" w:cs="Times New Roman"/>
                          <w:color w:val="FF0000"/>
                          <w:lang w:val="en-US" w:eastAsia="zh-CN"/>
                        </w:rPr>
                        <w:t>#</w:t>
                      </w:r>
                    </w:p>
                  </w:txbxContent>
                </v:textbox>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3916680</wp:posOffset>
                </wp:positionH>
                <wp:positionV relativeFrom="paragraph">
                  <wp:posOffset>4349750</wp:posOffset>
                </wp:positionV>
                <wp:extent cx="1495425" cy="523875"/>
                <wp:effectExtent l="4445" t="4445" r="5080" b="5080"/>
                <wp:wrapNone/>
                <wp:docPr id="52" name="文本框 52"/>
                <wp:cNvGraphicFramePr/>
                <a:graphic xmlns:a="http://schemas.openxmlformats.org/drawingml/2006/main">
                  <a:graphicData uri="http://schemas.microsoft.com/office/word/2010/wordprocessingShape">
                    <wps:wsp>
                      <wps:cNvSpPr txBox="1"/>
                      <wps:spPr>
                        <a:xfrm>
                          <a:off x="4871085" y="7304405"/>
                          <a:ext cx="1495425" cy="523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土壤：</w:t>
                            </w:r>
                          </w:p>
                          <w:p>
                            <w:pPr>
                              <w:pStyle w:val="2"/>
                              <w:ind w:left="0" w:leftChars="0" w:firstLine="0" w:firstLineChars="0"/>
                              <w:rPr>
                                <w:rFonts w:hint="eastAsia"/>
                                <w:lang w:eastAsia="zh-CN"/>
                              </w:rPr>
                            </w:pPr>
                            <w:r>
                              <w:rPr>
                                <w:rFonts w:hint="eastAsia"/>
                                <w:lang w:eastAsia="zh-CN"/>
                              </w:rPr>
                              <w:t>地下水：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4pt;margin-top:342.5pt;height:41.25pt;width:117.75pt;z-index:251675648;mso-width-relative:page;mso-height-relative:page;" fillcolor="#FFFFFF [3201]" filled="t" stroked="t" coordsize="21600,21600" o:gfxdata="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Dij5TYAAAACwEAAA8AAAAAAAAAAQAgAAAAIgAAAGRycy9kb3ducmV2LnhtbFBL&#10;AQIUABQAAAAIAIdO4kDPoTZlaAIAAMUEAAAOAAAAAAAAAAEAIAAAACcBAABkcnMvZTJvRG9jLnht&#10;bFBLBQYAAAAABgAGAFkBAAABBgAAAAA=&#10;">
                <v:fill on="t" focussize="0,0"/>
                <v:stroke weight="0.5pt" color="#000000 [3204]" joinstyle="round"/>
                <v:imagedata o:title=""/>
                <o:lock v:ext="edit" aspectratio="f"/>
                <v:textbox>
                  <w:txbxContent>
                    <w:p>
                      <w:pPr>
                        <w:rPr>
                          <w:rFonts w:hint="eastAsia"/>
                          <w:lang w:eastAsia="zh-CN"/>
                        </w:rPr>
                      </w:pPr>
                      <w:r>
                        <w:rPr>
                          <w:rFonts w:hint="eastAsia"/>
                          <w:lang w:eastAsia="zh-CN"/>
                        </w:rPr>
                        <w:t>土壤：</w:t>
                      </w:r>
                    </w:p>
                    <w:p>
                      <w:pPr>
                        <w:pStyle w:val="2"/>
                        <w:ind w:left="0" w:leftChars="0" w:firstLine="0" w:firstLineChars="0"/>
                        <w:rPr>
                          <w:rFonts w:hint="eastAsia"/>
                          <w:lang w:eastAsia="zh-CN"/>
                        </w:rPr>
                      </w:pPr>
                      <w:r>
                        <w:rPr>
                          <w:rFonts w:hint="eastAsia"/>
                          <w:lang w:eastAsia="zh-CN"/>
                        </w:rPr>
                        <w:t>地下水：</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-39370</wp:posOffset>
                </wp:positionH>
                <wp:positionV relativeFrom="paragraph">
                  <wp:posOffset>407035</wp:posOffset>
                </wp:positionV>
                <wp:extent cx="118745" cy="118110"/>
                <wp:effectExtent l="12700" t="12700" r="20955" b="21590"/>
                <wp:wrapNone/>
                <wp:docPr id="49" name="五角星 49"/>
                <wp:cNvGraphicFramePr/>
                <a:graphic xmlns:a="http://schemas.openxmlformats.org/drawingml/2006/main">
                  <a:graphicData uri="http://schemas.microsoft.com/office/word/2010/wordprocessingShape">
                    <wps:wsp>
                      <wps:cNvSpPr/>
                      <wps:spPr>
                        <a:xfrm>
                          <a:off x="0" y="0"/>
                          <a:ext cx="118745" cy="11811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pt;margin-top:32.05pt;height:9.3pt;width:9.35pt;z-index:251672576;v-text-anchor:middle;mso-width-relative:page;mso-height-relative:page;" fillcolor="#FF0000" filled="t" stroked="t" coordsize="118745,118110" o:gfxdata="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TERzzZAAAABwEAAA8AAAAAAAAAAQAgAAAAIgAAAGRycy9kb3ducmV2LnhtbFBL&#10;AQIUABQAAAAIAIdO4kCwk1DmZwIAAOIEAAAOAAAAAAAAAAEAIAAAACgBAABkcnMvZTJvRG9jLnht&#10;bFBLBQYAAAAABgAGAFkBAAABBgAAAAA=&#10;" path="m0,45113l45356,45114,59372,0,73388,45114,118744,45113,82050,72995,96066,118109,59372,90227,22678,118109,36694,72995xe">
                <v:path o:connectlocs="59372,0;0,45113;22678,118109;96066,118109;118744,45113" o:connectangles="247,164,82,82,0"/>
                <v:fill on="t" focussize="0,0"/>
                <v:stroke weight="2pt" color="#FF0000 [3204]" joinstyle="round"/>
                <v:imagedata o:title=""/>
                <o:lock v:ext="edit" aspectratio="f"/>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673600" behindDoc="0" locked="0" layoutInCell="1" allowOverlap="1">
                <wp:simplePos x="0" y="0"/>
                <wp:positionH relativeFrom="column">
                  <wp:posOffset>-311150</wp:posOffset>
                </wp:positionH>
                <wp:positionV relativeFrom="paragraph">
                  <wp:posOffset>311150</wp:posOffset>
                </wp:positionV>
                <wp:extent cx="415925" cy="311785"/>
                <wp:effectExtent l="0" t="0" r="0" b="0"/>
                <wp:wrapNone/>
                <wp:docPr id="50" name="矩形 43"/>
                <wp:cNvGraphicFramePr/>
                <a:graphic xmlns:a="http://schemas.openxmlformats.org/drawingml/2006/main">
                  <a:graphicData uri="http://schemas.microsoft.com/office/word/2010/wordprocessingShape">
                    <wps:wsp>
                      <wps:cNvSpPr/>
                      <wps:spPr>
                        <a:xfrm>
                          <a:off x="0" y="0"/>
                          <a:ext cx="415925" cy="311785"/>
                        </a:xfrm>
                        <a:prstGeom prst="rect">
                          <a:avLst/>
                        </a:prstGeom>
                        <a:noFill/>
                        <a:ln>
                          <a:noFill/>
                        </a:ln>
                      </wps:spPr>
                      <wps:txb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3</w:t>
                            </w:r>
                            <w:r>
                              <w:rPr>
                                <w:rFonts w:hint="default" w:ascii="Times New Roman" w:hAnsi="Times New Roman" w:cs="Times New Roman"/>
                                <w:color w:val="FF0000"/>
                                <w:lang w:val="en-US" w:eastAsia="zh-CN"/>
                              </w:rPr>
                              <w:t>#</w:t>
                            </w:r>
                          </w:p>
                        </w:txbxContent>
                      </wps:txbx>
                      <wps:bodyPr upright="1"/>
                    </wps:wsp>
                  </a:graphicData>
                </a:graphic>
              </wp:anchor>
            </w:drawing>
          </mc:Choice>
          <mc:Fallback>
            <w:pict>
              <v:rect id="矩形 43" o:spid="_x0000_s1026" o:spt="1" style="position:absolute;left:0pt;margin-left:-24.5pt;margin-top:24.5pt;height:24.55pt;width:32.75pt;z-index:251673600;mso-width-relative:page;mso-height-relative:page;" filled="f" stroked="f" coordsize="21600,21600" o:gfxdata="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9VR92dkAAAAIAQAADwAA&#10;AAAAAAABACAAAAAiAAAAZHJzL2Rvd25yZXYueG1sUEsBAhQAFAAAAAgAh07iQFSy0dWjAQAAQgMA&#10;AA4AAAAAAAAAAQAgAAAAKAEAAGRycy9lMm9Eb2MueG1sUEsFBgAAAAAGAAYAWQEAAD0FAAAAAA==&#10;">
                <v:fill on="f" focussize="0,0"/>
                <v:stroke on="f"/>
                <v:imagedata o:title=""/>
                <o:lock v:ext="edit" aspectratio="f"/>
                <v:textbo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3</w:t>
                      </w:r>
                      <w:r>
                        <w:rPr>
                          <w:rFonts w:hint="default" w:ascii="Times New Roman" w:hAnsi="Times New Roman" w:cs="Times New Roman"/>
                          <w:color w:val="FF0000"/>
                          <w:lang w:val="en-US" w:eastAsia="zh-CN"/>
                        </w:rPr>
                        <w:t>#</w:t>
                      </w:r>
                    </w:p>
                  </w:txbxContent>
                </v:textbox>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2218055</wp:posOffset>
                </wp:positionH>
                <wp:positionV relativeFrom="paragraph">
                  <wp:posOffset>2759710</wp:posOffset>
                </wp:positionV>
                <wp:extent cx="118745" cy="118110"/>
                <wp:effectExtent l="12700" t="12700" r="20955" b="21590"/>
                <wp:wrapNone/>
                <wp:docPr id="48" name="五角星 48"/>
                <wp:cNvGraphicFramePr/>
                <a:graphic xmlns:a="http://schemas.openxmlformats.org/drawingml/2006/main">
                  <a:graphicData uri="http://schemas.microsoft.com/office/word/2010/wordprocessingShape">
                    <wps:wsp>
                      <wps:cNvSpPr/>
                      <wps:spPr>
                        <a:xfrm>
                          <a:off x="0" y="0"/>
                          <a:ext cx="118745" cy="11811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4.65pt;margin-top:217.3pt;height:9.3pt;width:9.35pt;z-index:251671552;v-text-anchor:middle;mso-width-relative:page;mso-height-relative:page;" fillcolor="#FF0000" filled="t" stroked="t" coordsize="118745,118110" o:gfxdata="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Ey5qXdAAAACwEAAA8AAAAAAAAAAQAgAAAAIgAAAGRycy9kb3ducmV2Lnht&#10;bFBLAQIUABQAAAAIAIdO4kA7NRl9ZgIAAOIEAAAOAAAAAAAAAAEAIAAAACwBAABkcnMvZTJvRG9j&#10;LnhtbFBLBQYAAAAABgAGAFkBAAAEBgAAAAA=&#10;" path="m0,45113l45356,45114,59372,0,73388,45114,118744,45113,82050,72995,96066,118109,59372,90227,22678,118109,36694,72995xe">
                <v:path o:connectlocs="59372,0;0,45113;22678,118109;96066,118109;118744,45113" o:connectangles="247,164,82,82,0"/>
                <v:fill on="t" focussize="0,0"/>
                <v:stroke weight="2pt" color="#FF0000 [3204]" joinstyle="round"/>
                <v:imagedata o:title=""/>
                <o:lock v:ext="edit" aspectratio="f"/>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674624" behindDoc="0" locked="0" layoutInCell="1" allowOverlap="1">
                <wp:simplePos x="0" y="0"/>
                <wp:positionH relativeFrom="column">
                  <wp:posOffset>1955800</wp:posOffset>
                </wp:positionH>
                <wp:positionV relativeFrom="paragraph">
                  <wp:posOffset>2682875</wp:posOffset>
                </wp:positionV>
                <wp:extent cx="415925" cy="311785"/>
                <wp:effectExtent l="0" t="0" r="0" b="0"/>
                <wp:wrapNone/>
                <wp:docPr id="51" name="矩形 43"/>
                <wp:cNvGraphicFramePr/>
                <a:graphic xmlns:a="http://schemas.openxmlformats.org/drawingml/2006/main">
                  <a:graphicData uri="http://schemas.microsoft.com/office/word/2010/wordprocessingShape">
                    <wps:wsp>
                      <wps:cNvSpPr/>
                      <wps:spPr>
                        <a:xfrm>
                          <a:off x="0" y="0"/>
                          <a:ext cx="415925" cy="311785"/>
                        </a:xfrm>
                        <a:prstGeom prst="rect">
                          <a:avLst/>
                        </a:prstGeom>
                        <a:noFill/>
                        <a:ln>
                          <a:noFill/>
                        </a:ln>
                      </wps:spPr>
                      <wps:txb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2</w:t>
                            </w:r>
                            <w:r>
                              <w:rPr>
                                <w:rFonts w:hint="default" w:ascii="Times New Roman" w:hAnsi="Times New Roman" w:cs="Times New Roman"/>
                                <w:color w:val="FF0000"/>
                                <w:lang w:val="en-US" w:eastAsia="zh-CN"/>
                              </w:rPr>
                              <w:t>#</w:t>
                            </w:r>
                          </w:p>
                        </w:txbxContent>
                      </wps:txbx>
                      <wps:bodyPr upright="1"/>
                    </wps:wsp>
                  </a:graphicData>
                </a:graphic>
              </wp:anchor>
            </w:drawing>
          </mc:Choice>
          <mc:Fallback>
            <w:pict>
              <v:rect id="矩形 43" o:spid="_x0000_s1026" o:spt="1" style="position:absolute;left:0pt;margin-left:154pt;margin-top:211.25pt;height:24.55pt;width:32.75pt;z-index:251674624;mso-width-relative:page;mso-height-relative:page;" filled="f" stroked="f" coordsize="21600,21600" o:gfxdata="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Cl3mxNwAAAALAQAA&#10;DwAAAAAAAAABACAAAAAiAAAAZHJzL2Rvd25yZXYueG1sUEsBAhQAFAAAAAgAh07iQJadviqjAQAA&#10;QgMAAA4AAAAAAAAAAQAgAAAAKwEAAGRycy9lMm9Eb2MueG1sUEsFBgAAAAAGAAYAWQEAAEAFAAAA&#10;AA==&#10;">
                <v:fill on="f" focussize="0,0"/>
                <v:stroke on="f"/>
                <v:imagedata o:title=""/>
                <o:lock v:ext="edit" aspectratio="f"/>
                <v:textbo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2</w:t>
                      </w:r>
                      <w:r>
                        <w:rPr>
                          <w:rFonts w:hint="default" w:ascii="Times New Roman" w:hAnsi="Times New Roman" w:cs="Times New Roman"/>
                          <w:color w:val="FF0000"/>
                          <w:lang w:val="en-US" w:eastAsia="zh-CN"/>
                        </w:rPr>
                        <w:t>#</w:t>
                      </w:r>
                    </w:p>
                  </w:txbxContent>
                </v:textbox>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3218180</wp:posOffset>
                </wp:positionH>
                <wp:positionV relativeFrom="paragraph">
                  <wp:posOffset>1635760</wp:posOffset>
                </wp:positionV>
                <wp:extent cx="118745" cy="118110"/>
                <wp:effectExtent l="12700" t="12700" r="20955" b="21590"/>
                <wp:wrapNone/>
                <wp:docPr id="34" name="五角星 34"/>
                <wp:cNvGraphicFramePr/>
                <a:graphic xmlns:a="http://schemas.openxmlformats.org/drawingml/2006/main">
                  <a:graphicData uri="http://schemas.microsoft.com/office/word/2010/wordprocessingShape">
                    <wps:wsp>
                      <wps:cNvSpPr/>
                      <wps:spPr>
                        <a:xfrm>
                          <a:off x="0" y="0"/>
                          <a:ext cx="118745" cy="11811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3.4pt;margin-top:128.8pt;height:9.3pt;width:9.35pt;z-index:251670528;v-text-anchor:middle;mso-width-relative:page;mso-height-relative:page;" fillcolor="#FF0000" filled="t" stroked="t" coordsize="118745,118110" o:gfxdata="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wuvqXcAAAACwEAAA8AAAAAAAAAAQAgAAAAIgAAAGRycy9kb3ducmV2Lnht&#10;bFBLAQIUABQAAAAIAIdO4kBh+2HDZwIAAOIEAAAOAAAAAAAAAAEAIAAAACsBAABkcnMvZTJvRG9j&#10;LnhtbFBLBQYAAAAABgAGAFkBAAAEBgAAAAA=&#10;" path="m0,45113l45356,45114,59372,0,73388,45114,118744,45113,82050,72995,96066,118109,59372,90227,22678,118109,36694,72995xe">
                <v:path o:connectlocs="59372,0;0,45113;22678,118109;96066,118109;118744,45113" o:connectangles="247,164,82,82,0"/>
                <v:fill on="t" focussize="0,0"/>
                <v:stroke weight="2pt" color="#FF0000 [3204]" joinstyle="round"/>
                <v:imagedata o:title=""/>
                <o:lock v:ext="edit" aspectratio="f"/>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669504" behindDoc="0" locked="0" layoutInCell="1" allowOverlap="1">
                <wp:simplePos x="0" y="0"/>
                <wp:positionH relativeFrom="column">
                  <wp:posOffset>2955925</wp:posOffset>
                </wp:positionH>
                <wp:positionV relativeFrom="paragraph">
                  <wp:posOffset>1558925</wp:posOffset>
                </wp:positionV>
                <wp:extent cx="415925" cy="311785"/>
                <wp:effectExtent l="0" t="0" r="0" b="0"/>
                <wp:wrapNone/>
                <wp:docPr id="25" name="矩形 43"/>
                <wp:cNvGraphicFramePr/>
                <a:graphic xmlns:a="http://schemas.openxmlformats.org/drawingml/2006/main">
                  <a:graphicData uri="http://schemas.microsoft.com/office/word/2010/wordprocessingShape">
                    <wps:wsp>
                      <wps:cNvSpPr/>
                      <wps:spPr>
                        <a:xfrm>
                          <a:off x="0" y="0"/>
                          <a:ext cx="415925" cy="311785"/>
                        </a:xfrm>
                        <a:prstGeom prst="rect">
                          <a:avLst/>
                        </a:prstGeom>
                        <a:noFill/>
                        <a:ln>
                          <a:noFill/>
                        </a:ln>
                      </wps:spPr>
                      <wps:txb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1</w:t>
                            </w:r>
                            <w:r>
                              <w:rPr>
                                <w:rFonts w:hint="default" w:ascii="Times New Roman" w:hAnsi="Times New Roman" w:cs="Times New Roman"/>
                                <w:color w:val="FF0000"/>
                                <w:lang w:val="en-US" w:eastAsia="zh-CN"/>
                              </w:rPr>
                              <w:t>#</w:t>
                            </w:r>
                          </w:p>
                        </w:txbxContent>
                      </wps:txbx>
                      <wps:bodyPr upright="1"/>
                    </wps:wsp>
                  </a:graphicData>
                </a:graphic>
              </wp:anchor>
            </w:drawing>
          </mc:Choice>
          <mc:Fallback>
            <w:pict>
              <v:rect id="矩形 43" o:spid="_x0000_s1026" o:spt="1" style="position:absolute;left:0pt;margin-left:232.75pt;margin-top:122.75pt;height:24.55pt;width:32.75pt;z-index:251669504;mso-width-relative:page;mso-height-relative:page;" filled="f" stroked="f" coordsize="21600,21600" o:gfxdata="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4SHEHbAAAACwEAAA8A&#10;AAAAAAAAAQAgAAAAIgAAAGRycy9kb3ducmV2LnhtbFBLAQIUABQAAAAIAIdO4kBET3jyogEAAEID&#10;AAAOAAAAAAAAAAEAIAAAACoBAABkcnMvZTJvRG9jLnhtbFBLBQYAAAAABgAGAFkBAAA+BQAAAAA=&#10;">
                <v:fill on="f" focussize="0,0"/>
                <v:stroke on="f"/>
                <v:imagedata o:title=""/>
                <o:lock v:ext="edit" aspectratio="f"/>
                <v:textbo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1</w:t>
                      </w:r>
                      <w:r>
                        <w:rPr>
                          <w:rFonts w:hint="default" w:ascii="Times New Roman" w:hAnsi="Times New Roman" w:cs="Times New Roman"/>
                          <w:color w:val="FF0000"/>
                          <w:lang w:val="en-US" w:eastAsia="zh-CN"/>
                        </w:rPr>
                        <w:t>#</w:t>
                      </w:r>
                    </w:p>
                  </w:txbxContent>
                </v:textbox>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79744" behindDoc="0" locked="0" layoutInCell="1" allowOverlap="1">
                <wp:simplePos x="0" y="0"/>
                <wp:positionH relativeFrom="column">
                  <wp:posOffset>2442210</wp:posOffset>
                </wp:positionH>
                <wp:positionV relativeFrom="paragraph">
                  <wp:posOffset>4325620</wp:posOffset>
                </wp:positionV>
                <wp:extent cx="129540" cy="112395"/>
                <wp:effectExtent l="5080" t="5080" r="17780" b="15875"/>
                <wp:wrapNone/>
                <wp:docPr id="7" name="矩形 41"/>
                <wp:cNvGraphicFramePr/>
                <a:graphic xmlns:a="http://schemas.openxmlformats.org/drawingml/2006/main">
                  <a:graphicData uri="http://schemas.microsoft.com/office/word/2010/wordprocessingShape">
                    <wps:wsp>
                      <wps:cNvSpPr/>
                      <wps:spPr>
                        <a:xfrm>
                          <a:off x="0" y="0"/>
                          <a:ext cx="129540" cy="112395"/>
                        </a:xfrm>
                        <a:prstGeom prst="re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41" o:spid="_x0000_s1026" o:spt="1" style="position:absolute;left:0pt;margin-left:192.3pt;margin-top:340.6pt;height:8.85pt;width:10.2pt;z-index:251679744;mso-width-relative:page;mso-height-relative:page;" fillcolor="#FF0000" filled="t" stroked="t" coordsize="21600,21600" o:gfxdata="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0BBUNsAAAALAQAADwAAAAAAAAABACAAAAAiAAAAZHJzL2Rv&#10;d25yZXYueG1sUEsBAhQAFAAAAAgAh07iQOM1d8n+AQAAKQQAAA4AAAAAAAAAAQAgAAAAKgEAAGRy&#10;cy9lMm9Eb2MueG1sUEsFBgAAAAAGAAYAWQEAAJoFAAAAAA==&#10;">
                <v:fill on="t" focussize="0,0"/>
                <v:stroke color="#FF0000" joinstyle="miter"/>
                <v:imagedata o:title=""/>
                <o:lock v:ext="edit" aspectratio="f"/>
                <v:textbox>
                  <w:txbxContent>
                    <w:p>
                      <w:pPr>
                        <w:jc w:val="center"/>
                      </w:pPr>
                    </w:p>
                  </w:txbxContent>
                </v:textbox>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78720" behindDoc="0" locked="0" layoutInCell="1" allowOverlap="1">
                <wp:simplePos x="0" y="0"/>
                <wp:positionH relativeFrom="column">
                  <wp:posOffset>2177415</wp:posOffset>
                </wp:positionH>
                <wp:positionV relativeFrom="paragraph">
                  <wp:posOffset>4218940</wp:posOffset>
                </wp:positionV>
                <wp:extent cx="415925" cy="311785"/>
                <wp:effectExtent l="0" t="0" r="0" b="0"/>
                <wp:wrapNone/>
                <wp:docPr id="5" name="矩形 47"/>
                <wp:cNvGraphicFramePr/>
                <a:graphic xmlns:a="http://schemas.openxmlformats.org/drawingml/2006/main">
                  <a:graphicData uri="http://schemas.microsoft.com/office/word/2010/wordprocessingShape">
                    <wps:wsp>
                      <wps:cNvSpPr/>
                      <wps:spPr>
                        <a:xfrm>
                          <a:off x="0" y="0"/>
                          <a:ext cx="415925" cy="311785"/>
                        </a:xfrm>
                        <a:prstGeom prst="rect">
                          <a:avLst/>
                        </a:prstGeom>
                        <a:noFill/>
                        <a:ln>
                          <a:noFill/>
                        </a:ln>
                      </wps:spPr>
                      <wps:txb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5</w:t>
                            </w:r>
                            <w:r>
                              <w:rPr>
                                <w:rFonts w:hint="default" w:ascii="Times New Roman" w:hAnsi="Times New Roman" w:cs="Times New Roman"/>
                                <w:color w:val="FF0000"/>
                                <w:lang w:val="en-US" w:eastAsia="zh-CN"/>
                              </w:rPr>
                              <w:t>#</w:t>
                            </w:r>
                          </w:p>
                        </w:txbxContent>
                      </wps:txbx>
                      <wps:bodyPr upright="1"/>
                    </wps:wsp>
                  </a:graphicData>
                </a:graphic>
              </wp:anchor>
            </w:drawing>
          </mc:Choice>
          <mc:Fallback>
            <w:pict>
              <v:rect id="矩形 47" o:spid="_x0000_s1026" o:spt="1" style="position:absolute;left:0pt;margin-left:171.45pt;margin-top:332.2pt;height:24.55pt;width:32.75pt;z-index:251678720;mso-width-relative:page;mso-height-relative:page;" filled="f" stroked="f" coordsize="21600,21600" o:gfxdata="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fBOmTcAAAACwEAAA8A&#10;AAAAAAAAAQAgAAAAIgAAAGRycy9kb3ducmV2LnhtbFBLAQIUABQAAAAIAIdO4kD4gUxroQEAAEED&#10;AAAOAAAAAAAAAAEAIAAAACsBAABkcnMvZTJvRG9jLnhtbFBLBQYAAAAABgAGAFkBAAA+BQAAAAA=&#10;">
                <v:fill on="f" focussize="0,0"/>
                <v:stroke on="f"/>
                <v:imagedata o:title=""/>
                <o:lock v:ext="edit" aspectratio="f"/>
                <v:textbo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5</w:t>
                      </w:r>
                      <w:r>
                        <w:rPr>
                          <w:rFonts w:hint="default" w:ascii="Times New Roman" w:hAnsi="Times New Roman" w:cs="Times New Roman"/>
                          <w:color w:val="FF0000"/>
                          <w:lang w:val="en-US" w:eastAsia="zh-CN"/>
                        </w:rPr>
                        <w:t>#</w:t>
                      </w:r>
                    </w:p>
                  </w:txbxContent>
                </v:textbox>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68480" behindDoc="0" locked="0" layoutInCell="1" allowOverlap="1">
                <wp:simplePos x="0" y="0"/>
                <wp:positionH relativeFrom="column">
                  <wp:posOffset>1539240</wp:posOffset>
                </wp:positionH>
                <wp:positionV relativeFrom="paragraph">
                  <wp:posOffset>628015</wp:posOffset>
                </wp:positionV>
                <wp:extent cx="415925" cy="311785"/>
                <wp:effectExtent l="0" t="0" r="0" b="0"/>
                <wp:wrapNone/>
                <wp:docPr id="29" name="矩形 47"/>
                <wp:cNvGraphicFramePr/>
                <a:graphic xmlns:a="http://schemas.openxmlformats.org/drawingml/2006/main">
                  <a:graphicData uri="http://schemas.microsoft.com/office/word/2010/wordprocessingShape">
                    <wps:wsp>
                      <wps:cNvSpPr/>
                      <wps:spPr>
                        <a:xfrm>
                          <a:off x="0" y="0"/>
                          <a:ext cx="415925" cy="311785"/>
                        </a:xfrm>
                        <a:prstGeom prst="rect">
                          <a:avLst/>
                        </a:prstGeom>
                        <a:noFill/>
                        <a:ln>
                          <a:noFill/>
                        </a:ln>
                      </wps:spPr>
                      <wps:txb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4</w:t>
                            </w:r>
                            <w:r>
                              <w:rPr>
                                <w:rFonts w:hint="default" w:ascii="Times New Roman" w:hAnsi="Times New Roman" w:cs="Times New Roman"/>
                                <w:color w:val="FF0000"/>
                                <w:lang w:val="en-US" w:eastAsia="zh-CN"/>
                              </w:rPr>
                              <w:t>#</w:t>
                            </w:r>
                          </w:p>
                        </w:txbxContent>
                      </wps:txbx>
                      <wps:bodyPr upright="1"/>
                    </wps:wsp>
                  </a:graphicData>
                </a:graphic>
              </wp:anchor>
            </w:drawing>
          </mc:Choice>
          <mc:Fallback>
            <w:pict>
              <v:rect id="矩形 47" o:spid="_x0000_s1026" o:spt="1" style="position:absolute;left:0pt;margin-left:121.2pt;margin-top:49.45pt;height:24.55pt;width:32.75pt;z-index:251668480;mso-width-relative:page;mso-height-relative:page;" filled="f" stroked="f" coordsize="21600,21600" o:gfxdata="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yQS6faAAAACgEAAA8A&#10;AAAAAAAAAQAgAAAAIgAAAGRycy9kb3ducmV2LnhtbFBLAQIUABQAAAAIAIdO4kCL3NVnowEAAEID&#10;AAAOAAAAAAAAAAEAIAAAACkBAABkcnMvZTJvRG9jLnhtbFBLBQYAAAAABgAGAFkBAAA+BQAAAAA=&#10;">
                <v:fill on="f" focussize="0,0"/>
                <v:stroke on="f"/>
                <v:imagedata o:title=""/>
                <o:lock v:ext="edit" aspectratio="f"/>
                <v:textbo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4</w:t>
                      </w:r>
                      <w:r>
                        <w:rPr>
                          <w:rFonts w:hint="default" w:ascii="Times New Roman" w:hAnsi="Times New Roman" w:cs="Times New Roman"/>
                          <w:color w:val="FF0000"/>
                          <w:lang w:val="en-US" w:eastAsia="zh-CN"/>
                        </w:rPr>
                        <w:t>#</w:t>
                      </w:r>
                    </w:p>
                  </w:txbxContent>
                </v:textbox>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63360" behindDoc="0" locked="0" layoutInCell="1" allowOverlap="1">
                <wp:simplePos x="0" y="0"/>
                <wp:positionH relativeFrom="column">
                  <wp:posOffset>1788160</wp:posOffset>
                </wp:positionH>
                <wp:positionV relativeFrom="paragraph">
                  <wp:posOffset>687070</wp:posOffset>
                </wp:positionV>
                <wp:extent cx="129540" cy="112395"/>
                <wp:effectExtent l="5080" t="5080" r="17780" b="15875"/>
                <wp:wrapNone/>
                <wp:docPr id="21" name="矩形 39"/>
                <wp:cNvGraphicFramePr/>
                <a:graphic xmlns:a="http://schemas.openxmlformats.org/drawingml/2006/main">
                  <a:graphicData uri="http://schemas.microsoft.com/office/word/2010/wordprocessingShape">
                    <wps:wsp>
                      <wps:cNvSpPr/>
                      <wps:spPr>
                        <a:xfrm>
                          <a:off x="0" y="0"/>
                          <a:ext cx="129540" cy="112395"/>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rect id="矩形 39" o:spid="_x0000_s1026" o:spt="1" style="position:absolute;left:0pt;margin-left:140.8pt;margin-top:54.1pt;height:8.85pt;width:10.2pt;z-index:251663360;mso-width-relative:page;mso-height-relative:page;" fillcolor="#FF0000" filled="t" stroked="t" coordsize="21600,21600" o:gfxdata="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sxPRtoAAAALAQAADwAAAAAAAAABACAAAAAiAAAAZHJzL2Rvd25yZXYu&#10;eG1sUEsBAhQAFAAAAAgAh07iQH+6amz5AQAAHwQAAA4AAAAAAAAAAQAgAAAAKQEAAGRycy9lMm9E&#10;b2MueG1sUEsFBgAAAAAGAAYAWQEAAJQFAAAAAA==&#10;">
                <v:fill on="t" focussize="0,0"/>
                <v:stroke color="#FF0000" joinstyle="miter"/>
                <v:imagedata o:title=""/>
                <o:lock v:ext="edit" aspectratio="f"/>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61312" behindDoc="0" locked="0" layoutInCell="1" allowOverlap="1">
                <wp:simplePos x="0" y="0"/>
                <wp:positionH relativeFrom="column">
                  <wp:posOffset>4277360</wp:posOffset>
                </wp:positionH>
                <wp:positionV relativeFrom="paragraph">
                  <wp:posOffset>3487420</wp:posOffset>
                </wp:positionV>
                <wp:extent cx="129540" cy="112395"/>
                <wp:effectExtent l="5080" t="5080" r="17780" b="15875"/>
                <wp:wrapNone/>
                <wp:docPr id="19" name="矩形 37"/>
                <wp:cNvGraphicFramePr/>
                <a:graphic xmlns:a="http://schemas.openxmlformats.org/drawingml/2006/main">
                  <a:graphicData uri="http://schemas.microsoft.com/office/word/2010/wordprocessingShape">
                    <wps:wsp>
                      <wps:cNvSpPr/>
                      <wps:spPr>
                        <a:xfrm>
                          <a:off x="0" y="0"/>
                          <a:ext cx="129540" cy="112395"/>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rect id="矩形 37" o:spid="_x0000_s1026" o:spt="1" style="position:absolute;left:0pt;margin-left:336.8pt;margin-top:274.6pt;height:8.85pt;width:10.2pt;z-index:251661312;mso-width-relative:page;mso-height-relative:page;" fillcolor="#FF0000" filled="t" stroked="t" coordsize="21600,21600" o:gfxdata="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agB7/bAAAACwEAAA8AAAAAAAAAAQAgAAAAIgAAAGRycy9kb3ducmV2&#10;LnhtbFBLAQIUABQAAAAIAIdO4kCdVUpw+QEAAB8EAAAOAAAAAAAAAAEAIAAAACoBAABkcnMvZTJv&#10;RG9jLnhtbFBLBQYAAAAABgAGAFkBAACVBQAAAAA=&#10;">
                <v:fill on="t" focussize="0,0"/>
                <v:stroke color="#FF0000" joinstyle="miter"/>
                <v:imagedata o:title=""/>
                <o:lock v:ext="edit" aspectratio="f"/>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67456" behindDoc="0" locked="0" layoutInCell="1" allowOverlap="1">
                <wp:simplePos x="0" y="0"/>
                <wp:positionH relativeFrom="column">
                  <wp:posOffset>4013835</wp:posOffset>
                </wp:positionH>
                <wp:positionV relativeFrom="paragraph">
                  <wp:posOffset>3396615</wp:posOffset>
                </wp:positionV>
                <wp:extent cx="415925" cy="311785"/>
                <wp:effectExtent l="0" t="0" r="0" b="0"/>
                <wp:wrapNone/>
                <wp:docPr id="28" name="矩形 46"/>
                <wp:cNvGraphicFramePr/>
                <a:graphic xmlns:a="http://schemas.openxmlformats.org/drawingml/2006/main">
                  <a:graphicData uri="http://schemas.microsoft.com/office/word/2010/wordprocessingShape">
                    <wps:wsp>
                      <wps:cNvSpPr/>
                      <wps:spPr>
                        <a:xfrm>
                          <a:off x="0" y="0"/>
                          <a:ext cx="415925" cy="311785"/>
                        </a:xfrm>
                        <a:prstGeom prst="rect">
                          <a:avLst/>
                        </a:prstGeom>
                        <a:noFill/>
                        <a:ln>
                          <a:noFill/>
                        </a:ln>
                      </wps:spPr>
                      <wps:txb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3</w:t>
                            </w:r>
                            <w:r>
                              <w:rPr>
                                <w:rFonts w:hint="default" w:ascii="Times New Roman" w:hAnsi="Times New Roman" w:cs="Times New Roman"/>
                                <w:color w:val="FF0000"/>
                                <w:lang w:val="en-US" w:eastAsia="zh-CN"/>
                              </w:rPr>
                              <w:t>#</w:t>
                            </w:r>
                          </w:p>
                        </w:txbxContent>
                      </wps:txbx>
                      <wps:bodyPr upright="1"/>
                    </wps:wsp>
                  </a:graphicData>
                </a:graphic>
              </wp:anchor>
            </w:drawing>
          </mc:Choice>
          <mc:Fallback>
            <w:pict>
              <v:rect id="矩形 46" o:spid="_x0000_s1026" o:spt="1" style="position:absolute;left:0pt;margin-left:316.05pt;margin-top:267.45pt;height:24.55pt;width:32.75pt;z-index:251667456;mso-width-relative:page;mso-height-relative:page;" filled="f" stroked="f" coordsize="21600,21600" o:gfxdata="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AD8fncAAAACwEA&#10;AA8AAAAAAAAAAQAgAAAAIgAAAGRycy9kb3ducmV2LnhtbFBLAQIUABQAAAAIAIdO4kANI3X8pAEA&#10;AEIDAAAOAAAAAAAAAAEAIAAAACsBAABkcnMvZTJvRG9jLnhtbFBLBQYAAAAABgAGAFkBAABBBQAA&#10;AAA=&#10;">
                <v:fill on="f" focussize="0,0"/>
                <v:stroke on="f"/>
                <v:imagedata o:title=""/>
                <o:lock v:ext="edit" aspectratio="f"/>
                <v:textbo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3</w:t>
                      </w:r>
                      <w:r>
                        <w:rPr>
                          <w:rFonts w:hint="default" w:ascii="Times New Roman" w:hAnsi="Times New Roman" w:cs="Times New Roman"/>
                          <w:color w:val="FF0000"/>
                          <w:lang w:val="en-US" w:eastAsia="zh-CN"/>
                        </w:rPr>
                        <w:t>#</w:t>
                      </w:r>
                    </w:p>
                  </w:txbxContent>
                </v:textbox>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65408" behindDoc="0" locked="0" layoutInCell="1" allowOverlap="1">
                <wp:simplePos x="0" y="0"/>
                <wp:positionH relativeFrom="column">
                  <wp:posOffset>3250565</wp:posOffset>
                </wp:positionH>
                <wp:positionV relativeFrom="paragraph">
                  <wp:posOffset>1413510</wp:posOffset>
                </wp:positionV>
                <wp:extent cx="415925" cy="311785"/>
                <wp:effectExtent l="0" t="0" r="0" b="0"/>
                <wp:wrapNone/>
                <wp:docPr id="26" name="矩形 44"/>
                <wp:cNvGraphicFramePr/>
                <a:graphic xmlns:a="http://schemas.openxmlformats.org/drawingml/2006/main">
                  <a:graphicData uri="http://schemas.microsoft.com/office/word/2010/wordprocessingShape">
                    <wps:wsp>
                      <wps:cNvSpPr/>
                      <wps:spPr>
                        <a:xfrm>
                          <a:off x="0" y="0"/>
                          <a:ext cx="415925" cy="311785"/>
                        </a:xfrm>
                        <a:prstGeom prst="rect">
                          <a:avLst/>
                        </a:prstGeom>
                        <a:noFill/>
                        <a:ln>
                          <a:noFill/>
                        </a:ln>
                      </wps:spPr>
                      <wps:txb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1</w:t>
                            </w:r>
                            <w:r>
                              <w:rPr>
                                <w:rFonts w:hint="default" w:ascii="Times New Roman" w:hAnsi="Times New Roman" w:cs="Times New Roman"/>
                                <w:color w:val="FF0000"/>
                                <w:lang w:val="en-US" w:eastAsia="zh-CN"/>
                              </w:rPr>
                              <w:t>#</w:t>
                            </w:r>
                          </w:p>
                        </w:txbxContent>
                      </wps:txbx>
                      <wps:bodyPr upright="1"/>
                    </wps:wsp>
                  </a:graphicData>
                </a:graphic>
              </wp:anchor>
            </w:drawing>
          </mc:Choice>
          <mc:Fallback>
            <w:pict>
              <v:rect id="矩形 44" o:spid="_x0000_s1026" o:spt="1" style="position:absolute;left:0pt;margin-left:255.95pt;margin-top:111.3pt;height:24.55pt;width:32.75pt;z-index:251665408;mso-width-relative:page;mso-height-relative:page;" filled="f" stroked="f" coordsize="21600,21600" o:gfxdata="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iHRFdwAAAALAQAA&#10;DwAAAAAAAAABACAAAAAiAAAAZHJzL2Rvd25yZXYueG1sUEsBAhQAFAAAAAgAh07iQN4Ops2jAQAA&#10;QgMAAA4AAAAAAAAAAQAgAAAAKwEAAGRycy9lMm9Eb2MueG1sUEsFBgAAAAAGAAYAWQEAAEAFAAAA&#10;AA==&#10;">
                <v:fill on="f" focussize="0,0"/>
                <v:stroke on="f"/>
                <v:imagedata o:title=""/>
                <o:lock v:ext="edit" aspectratio="f"/>
                <v:textbo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1</w:t>
                      </w:r>
                      <w:r>
                        <w:rPr>
                          <w:rFonts w:hint="default" w:ascii="Times New Roman" w:hAnsi="Times New Roman" w:cs="Times New Roman"/>
                          <w:color w:val="FF0000"/>
                          <w:lang w:val="en-US" w:eastAsia="zh-CN"/>
                        </w:rPr>
                        <w:t>#</w:t>
                      </w:r>
                    </w:p>
                  </w:txbxContent>
                </v:textbox>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62336" behindDoc="0" locked="0" layoutInCell="1" allowOverlap="1">
                <wp:simplePos x="0" y="0"/>
                <wp:positionH relativeFrom="column">
                  <wp:posOffset>3505835</wp:posOffset>
                </wp:positionH>
                <wp:positionV relativeFrom="paragraph">
                  <wp:posOffset>1522730</wp:posOffset>
                </wp:positionV>
                <wp:extent cx="129540" cy="112395"/>
                <wp:effectExtent l="5080" t="5080" r="17780" b="15875"/>
                <wp:wrapNone/>
                <wp:docPr id="20" name="矩形 38"/>
                <wp:cNvGraphicFramePr/>
                <a:graphic xmlns:a="http://schemas.openxmlformats.org/drawingml/2006/main">
                  <a:graphicData uri="http://schemas.microsoft.com/office/word/2010/wordprocessingShape">
                    <wps:wsp>
                      <wps:cNvSpPr/>
                      <wps:spPr>
                        <a:xfrm>
                          <a:off x="0" y="0"/>
                          <a:ext cx="129540" cy="112395"/>
                        </a:xfrm>
                        <a:prstGeom prst="re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38" o:spid="_x0000_s1026" o:spt="1" style="position:absolute;left:0pt;margin-left:276.05pt;margin-top:119.9pt;height:8.85pt;width:10.2pt;z-index:251662336;mso-width-relative:page;mso-height-relative:page;" fillcolor="#FF0000" filled="t" stroked="t" coordsize="21600,21600" o:gfxdata="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gOyLbAAAACwEAAA8AAAAAAAAAAQAgAAAAIgAAAGRycy9k&#10;b3ducmV2LnhtbFBLAQIUABQAAAAIAIdO4kA4+rit/wEAACoEAAAOAAAAAAAAAAEAIAAAACoBAABk&#10;cnMvZTJvRG9jLnhtbFBLBQYAAAAABgAGAFkBAACbBQAAAAA=&#10;">
                <v:fill on="t" focussize="0,0"/>
                <v:stroke color="#FF0000" joinstyle="miter"/>
                <v:imagedata o:title=""/>
                <o:lock v:ext="edit" aspectratio="f"/>
                <v:textbox>
                  <w:txbxContent>
                    <w:p>
                      <w:pPr>
                        <w:jc w:val="center"/>
                      </w:pPr>
                    </w:p>
                  </w:txbxContent>
                </v:textbox>
              </v:rect>
            </w:pict>
          </mc:Fallback>
        </mc:AlternateContent>
      </w:r>
      <w:r>
        <w:drawing>
          <wp:inline distT="0" distB="0" distL="114300" distR="114300">
            <wp:extent cx="5269230" cy="4172585"/>
            <wp:effectExtent l="0" t="0" r="762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9230" cy="4172585"/>
                    </a:xfrm>
                    <a:prstGeom prst="rect">
                      <a:avLst/>
                    </a:prstGeom>
                    <a:noFill/>
                    <a:ln>
                      <a:noFill/>
                    </a:ln>
                  </pic:spPr>
                </pic:pic>
              </a:graphicData>
            </a:graphic>
          </wp:inline>
        </w:drawing>
      </w:r>
    </w:p>
    <w:p>
      <w:pPr>
        <w:spacing w:line="360" w:lineRule="auto"/>
        <w:ind w:firstLine="420" w:firstLineChars="200"/>
        <w:jc w:val="center"/>
        <w:rPr>
          <w:rFonts w:hint="eastAsia" w:ascii="Times New Roman" w:hAnsi="Times New Roman" w:eastAsia="宋体" w:cs="Times New Roman"/>
          <w:b/>
          <w:sz w:val="24"/>
          <w:szCs w:val="24"/>
        </w:rPr>
      </w:pPr>
      <w:r>
        <w:rPr>
          <w:sz w:val="21"/>
        </w:rPr>
        <mc:AlternateContent>
          <mc:Choice Requires="wps">
            <w:drawing>
              <wp:anchor distT="0" distB="0" distL="114300" distR="114300" simplePos="0" relativeHeight="251676672" behindDoc="0" locked="0" layoutInCell="1" allowOverlap="1">
                <wp:simplePos x="0" y="0"/>
                <wp:positionH relativeFrom="column">
                  <wp:posOffset>4561205</wp:posOffset>
                </wp:positionH>
                <wp:positionV relativeFrom="paragraph">
                  <wp:posOffset>283210</wp:posOffset>
                </wp:positionV>
                <wp:extent cx="118745" cy="118110"/>
                <wp:effectExtent l="12700" t="12700" r="20955" b="21590"/>
                <wp:wrapNone/>
                <wp:docPr id="53" name="五角星 53"/>
                <wp:cNvGraphicFramePr/>
                <a:graphic xmlns:a="http://schemas.openxmlformats.org/drawingml/2006/main">
                  <a:graphicData uri="http://schemas.microsoft.com/office/word/2010/wordprocessingShape">
                    <wps:wsp>
                      <wps:cNvSpPr/>
                      <wps:spPr>
                        <a:xfrm>
                          <a:off x="0" y="0"/>
                          <a:ext cx="118745" cy="11811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59.15pt;margin-top:22.3pt;height:9.3pt;width:9.35pt;z-index:251676672;v-text-anchor:middle;mso-width-relative:page;mso-height-relative:page;" fillcolor="#FF0000" filled="t" stroked="t" coordsize="118745,118110" o:gfxdata="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FnXFPcAAAACQEAAA8AAAAAAAAAAQAgAAAAIgAAAGRycy9kb3ducmV2Lnht&#10;bFBLAQIUABQAAAAIAIdO4kA36ihwZwIAAOIEAAAOAAAAAAAAAAEAIAAAACsBAABkcnMvZTJvRG9j&#10;LnhtbFBLBQYAAAAABgAGAFkBAAAEBgAAAAA=&#10;" path="m0,45113l45356,45114,59372,0,73388,45114,118744,45113,82050,72995,96066,118109,59372,90227,22678,118109,36694,72995xe">
                <v:path o:connectlocs="59372,0;0,45113;22678,118109;96066,118109;118744,45113" o:connectangles="247,164,82,82,0"/>
                <v:fill on="t" focussize="0,0"/>
                <v:stroke weight="2pt" color="#FF0000 [3204]" joinstyle="round"/>
                <v:imagedata o:title=""/>
                <o:lock v:ext="edit" aspectratio="f"/>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677696" behindDoc="0" locked="0" layoutInCell="1" allowOverlap="1">
                <wp:simplePos x="0" y="0"/>
                <wp:positionH relativeFrom="column">
                  <wp:posOffset>4394835</wp:posOffset>
                </wp:positionH>
                <wp:positionV relativeFrom="paragraph">
                  <wp:posOffset>75565</wp:posOffset>
                </wp:positionV>
                <wp:extent cx="129540" cy="112395"/>
                <wp:effectExtent l="5080" t="5080" r="17780" b="15875"/>
                <wp:wrapNone/>
                <wp:docPr id="54" name="矩形 41"/>
                <wp:cNvGraphicFramePr/>
                <a:graphic xmlns:a="http://schemas.openxmlformats.org/drawingml/2006/main">
                  <a:graphicData uri="http://schemas.microsoft.com/office/word/2010/wordprocessingShape">
                    <wps:wsp>
                      <wps:cNvSpPr/>
                      <wps:spPr>
                        <a:xfrm>
                          <a:off x="0" y="0"/>
                          <a:ext cx="129540" cy="112395"/>
                        </a:xfrm>
                        <a:prstGeom prst="re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41" o:spid="_x0000_s1026" o:spt="1" style="position:absolute;left:0pt;margin-left:346.05pt;margin-top:5.95pt;height:8.85pt;width:10.2pt;z-index:251677696;mso-width-relative:page;mso-height-relative:page;" fillcolor="#FF0000" filled="t" stroked="t" coordsize="21600,21600" o:gfxdata="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dutiNoAAAAJAQAADwAAAAAAAAABACAAAAAiAAAAZHJzL2Rv&#10;d25yZXYueG1sUEsBAhQAFAAAAAgAh07iQLjpFpT/AQAAKgQAAA4AAAAAAAAAAQAgAAAAKQEAAGRy&#10;cy9lMm9Eb2MueG1sUEsFBgAAAAAGAAYAWQEAAJoFAAAAAA==&#10;">
                <v:fill on="t" focussize="0,0"/>
                <v:stroke color="#FF0000" joinstyle="miter"/>
                <v:imagedata o:title=""/>
                <o:lock v:ext="edit" aspectratio="f"/>
                <v:textbox>
                  <w:txbxContent>
                    <w:p>
                      <w:pPr>
                        <w:jc w:val="center"/>
                      </w:pPr>
                    </w:p>
                  </w:txbxContent>
                </v:textbox>
              </v:rect>
            </w:pict>
          </mc:Fallback>
        </mc:AlternateContent>
      </w:r>
    </w:p>
    <w:p>
      <w:pPr>
        <w:spacing w:line="360" w:lineRule="auto"/>
        <w:ind w:firstLine="482" w:firstLineChars="200"/>
        <w:jc w:val="center"/>
        <w:rPr>
          <w:rFonts w:hint="eastAsia" w:ascii="Times New Roman" w:hAnsi="Times New Roman" w:eastAsia="宋体" w:cs="Times New Roman"/>
          <w:b/>
          <w:sz w:val="24"/>
          <w:szCs w:val="24"/>
        </w:rPr>
      </w:pPr>
    </w:p>
    <w:p>
      <w:pPr>
        <w:spacing w:line="360" w:lineRule="auto"/>
        <w:ind w:firstLine="482" w:firstLineChars="200"/>
        <w:jc w:val="center"/>
        <w:rPr>
          <w:rFonts w:hint="eastAsia" w:ascii="Times New Roman" w:hAnsi="Times New Roman" w:eastAsia="宋体" w:cs="Times New Roman"/>
          <w:b/>
          <w:sz w:val="24"/>
          <w:szCs w:val="24"/>
        </w:rPr>
      </w:pPr>
    </w:p>
    <w:p>
      <w:pPr>
        <w:spacing w:line="360" w:lineRule="auto"/>
        <w:ind w:firstLine="482" w:firstLineChars="200"/>
        <w:jc w:val="center"/>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图</w:t>
      </w:r>
      <w:r>
        <w:rPr>
          <w:rFonts w:hint="eastAsia" w:ascii="Times New Roman" w:hAnsi="Times New Roman" w:eastAsia="宋体" w:cs="Times New Roman"/>
          <w:b/>
          <w:sz w:val="24"/>
          <w:szCs w:val="24"/>
          <w:lang w:val="en-US" w:eastAsia="zh-CN"/>
        </w:rPr>
        <w:t>8</w:t>
      </w:r>
      <w:r>
        <w:rPr>
          <w:rFonts w:hint="eastAsia" w:ascii="Times New Roman" w:hAnsi="Times New Roman" w:eastAsia="宋体" w:cs="Times New Roman"/>
          <w:b/>
          <w:sz w:val="24"/>
          <w:szCs w:val="24"/>
        </w:rPr>
        <w:t>-1</w:t>
      </w:r>
      <w:r>
        <w:rPr>
          <w:rFonts w:hint="eastAsia" w:ascii="Times New Roman" w:hAnsi="Times New Roman" w:eastAsia="宋体" w:cs="Times New Roman"/>
          <w:b/>
          <w:sz w:val="24"/>
          <w:szCs w:val="24"/>
          <w:lang w:val="en-US" w:eastAsia="zh-CN"/>
        </w:rPr>
        <w:t>土壤、地下水</w:t>
      </w:r>
      <w:r>
        <w:rPr>
          <w:rFonts w:hint="eastAsia" w:ascii="Times New Roman" w:hAnsi="Times New Roman" w:eastAsia="宋体" w:cs="Times New Roman"/>
          <w:b/>
          <w:sz w:val="24"/>
          <w:szCs w:val="24"/>
        </w:rPr>
        <w:t>监测点位分布图</w:t>
      </w:r>
    </w:p>
    <w:p>
      <w:pPr>
        <w:spacing w:line="360" w:lineRule="auto"/>
        <w:rPr>
          <w:rFonts w:hint="eastAsia" w:ascii="Times New Roman" w:hAnsi="Times New Roman" w:eastAsia="宋体" w:cs="Times New Roman"/>
          <w:sz w:val="24"/>
          <w:szCs w:val="24"/>
          <w:lang w:eastAsia="zh-CN"/>
        </w:rPr>
      </w:pPr>
    </w:p>
    <w:p>
      <w:pPr>
        <w:keepNext w:val="0"/>
        <w:keepLines w:val="0"/>
        <w:pageBreakBefore w:val="0"/>
        <w:widowControl w:val="0"/>
        <w:tabs>
          <w:tab w:val="left" w:pos="14400"/>
        </w:tabs>
        <w:kinsoku/>
        <w:wordWrap/>
        <w:overflowPunct/>
        <w:topLinePunct w:val="0"/>
        <w:autoSpaceDE/>
        <w:autoSpaceDN/>
        <w:bidi w:val="0"/>
        <w:adjustRightInd/>
        <w:snapToGrid w:val="0"/>
        <w:spacing w:line="312" w:lineRule="auto"/>
        <w:jc w:val="left"/>
        <w:textAlignment w:val="auto"/>
        <w:outlineLvl w:val="9"/>
        <w:rPr>
          <w:rFonts w:hint="eastAsia" w:ascii="Times New Roman" w:hAnsi="Times New Roman" w:eastAsia="宋体" w:cs="Times New Roman"/>
          <w:b/>
          <w:color w:val="auto"/>
          <w:sz w:val="28"/>
          <w:szCs w:val="28"/>
          <w:lang w:val="en-US" w:eastAsia="zh-CN"/>
        </w:rPr>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30"/>
        <w:tabs>
          <w:tab w:val="clear" w:pos="0"/>
        </w:tabs>
        <w:adjustRightInd/>
        <w:snapToGrid/>
        <w:spacing w:before="0" w:after="0" w:line="360" w:lineRule="auto"/>
        <w:rPr>
          <w:rFonts w:hint="default" w:ascii="Times New Roman" w:hAnsi="Times New Roman" w:eastAsia="宋体" w:cs="Times New Roman"/>
          <w:b/>
          <w:bCs/>
          <w:color w:val="auto"/>
          <w:lang w:val="en-US" w:eastAsia="zh-CN"/>
        </w:rPr>
      </w:pPr>
      <w:bookmarkStart w:id="27" w:name="_Toc20744"/>
      <w:r>
        <w:rPr>
          <w:rFonts w:hint="eastAsia" w:ascii="Times New Roman" w:hAnsi="Times New Roman" w:eastAsia="宋体" w:cs="Times New Roman"/>
          <w:b/>
          <w:bCs/>
          <w:color w:val="auto"/>
          <w:lang w:eastAsia="zh-CN"/>
        </w:rPr>
        <w:t>九、</w:t>
      </w:r>
      <w:r>
        <w:rPr>
          <w:rFonts w:hint="eastAsia" w:ascii="Times New Roman" w:hAnsi="Times New Roman" w:eastAsia="宋体" w:cs="Times New Roman"/>
          <w:b/>
          <w:bCs/>
          <w:color w:val="auto"/>
          <w:lang w:val="en-US" w:eastAsia="zh-CN"/>
        </w:rPr>
        <w:t>监测数据分析</w:t>
      </w:r>
      <w:bookmarkEnd w:id="27"/>
    </w:p>
    <w:p>
      <w:pPr>
        <w:keepNext w:val="0"/>
        <w:keepLines w:val="0"/>
        <w:pageBreakBefore w:val="0"/>
        <w:widowControl w:val="0"/>
        <w:tabs>
          <w:tab w:val="left" w:pos="14400"/>
        </w:tabs>
        <w:kinsoku/>
        <w:wordWrap/>
        <w:overflowPunct/>
        <w:topLinePunct w:val="0"/>
        <w:autoSpaceDE/>
        <w:autoSpaceDN/>
        <w:bidi w:val="0"/>
        <w:adjustRightInd/>
        <w:snapToGrid w:val="0"/>
        <w:spacing w:line="312" w:lineRule="auto"/>
        <w:jc w:val="center"/>
        <w:textAlignment w:val="auto"/>
        <w:outlineLvl w:val="9"/>
        <w:rPr>
          <w:rFonts w:hint="default" w:ascii="Times New Roman" w:hAnsi="Times New Roman" w:eastAsia="宋体" w:cs="Times New Roman"/>
          <w:b/>
          <w:color w:val="auto"/>
          <w:sz w:val="28"/>
          <w:szCs w:val="28"/>
          <w:lang w:val="en-US" w:eastAsia="zh-CN"/>
        </w:rPr>
      </w:pPr>
      <w:r>
        <w:rPr>
          <w:rFonts w:hint="eastAsia" w:ascii="Times New Roman" w:hAnsi="Times New Roman" w:eastAsia="宋体" w:cs="Times New Roman"/>
          <w:b/>
          <w:sz w:val="28"/>
          <w:szCs w:val="28"/>
          <w:highlight w:val="none"/>
          <w:lang w:eastAsia="zh-CN"/>
        </w:rPr>
        <w:t>表</w:t>
      </w:r>
      <w:r>
        <w:rPr>
          <w:rFonts w:hint="eastAsia" w:ascii="Times New Roman" w:hAnsi="Times New Roman" w:eastAsia="宋体" w:cs="Times New Roman"/>
          <w:b/>
          <w:sz w:val="28"/>
          <w:szCs w:val="28"/>
          <w:highlight w:val="none"/>
          <w:lang w:val="en-US" w:eastAsia="zh-CN"/>
        </w:rPr>
        <w:t>2地下水</w:t>
      </w:r>
      <w:r>
        <w:rPr>
          <w:rFonts w:hint="eastAsia" w:ascii="Times New Roman" w:hAnsi="Times New Roman" w:eastAsia="宋体" w:cs="Times New Roman"/>
          <w:b/>
          <w:sz w:val="28"/>
          <w:szCs w:val="28"/>
          <w:highlight w:val="none"/>
          <w:lang w:eastAsia="zh-CN"/>
        </w:rPr>
        <w:t>检测结</w:t>
      </w:r>
      <w:r>
        <w:rPr>
          <w:b/>
          <w:sz w:val="28"/>
          <w:szCs w:val="28"/>
          <w:highlight w:val="none"/>
        </w:rPr>
        <w:t>果</w:t>
      </w:r>
    </w:p>
    <w:tbl>
      <w:tblPr>
        <w:tblStyle w:val="18"/>
        <w:tblW w:w="4987"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2454"/>
        <w:gridCol w:w="2182"/>
        <w:gridCol w:w="2844"/>
        <w:gridCol w:w="2844"/>
        <w:gridCol w:w="284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4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编号</w:t>
            </w:r>
          </w:p>
        </w:tc>
        <w:tc>
          <w:tcPr>
            <w:tcW w:w="86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检测项目</w:t>
            </w:r>
          </w:p>
        </w:tc>
        <w:tc>
          <w:tcPr>
            <w:tcW w:w="771" w:type="pct"/>
            <w:vMerge w:val="restart"/>
            <w:tcBorders>
              <w:tl2br w:val="nil"/>
              <w:tr2bl w:val="nil"/>
            </w:tcBorders>
            <w:noWrap w:val="0"/>
            <w:vAlign w:val="center"/>
            <mc:AlternateContent>
              <mc:Choice Requires="wpsCustomData">
                <wpsCustomData:diagonals>
                  <wpsCustomData:diagonal from="30000" to="4900">
                    <wpsCustomData:border w:val="single" w:color="auto" w:sz="4" w:space="0"/>
                  </wpsCustomData:diagonal>
                  <wpsCustomData:diagonal from="30000" to="135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样品编号及样品状态</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检测点位及日期</w:t>
            </w: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1#厂区北侧水井</w:t>
            </w: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2#厂区南侧水井</w:t>
            </w:r>
          </w:p>
        </w:tc>
        <w:tc>
          <w:tcPr>
            <w:tcW w:w="1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3#坟台村白加文家水井</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8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2022.7.13</w:t>
            </w: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2022.7.13</w:t>
            </w:r>
          </w:p>
        </w:tc>
        <w:tc>
          <w:tcPr>
            <w:tcW w:w="1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2022.7.13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1"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867"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71"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DW093010713</w:t>
            </w: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DW093020713</w:t>
            </w:r>
          </w:p>
        </w:tc>
        <w:tc>
          <w:tcPr>
            <w:tcW w:w="1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DW093030713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1"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867"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71"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c>
          <w:tcPr>
            <w:tcW w:w="1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1</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rPr>
              <w:t>pH</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eastAsia="宋体"/>
                <w:lang w:val="en-US" w:eastAsia="zh-CN"/>
              </w:rPr>
              <w:t>/</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7.4</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7.6</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7.5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eastAsia" w:eastAsia="宋体"/>
                <w:kern w:val="2"/>
                <w:sz w:val="21"/>
                <w:szCs w:val="24"/>
                <w:lang w:val="en-US" w:eastAsia="zh-CN" w:bidi="ar-SA"/>
              </w:rPr>
            </w:pPr>
            <w:r>
              <w:rPr>
                <w:rFonts w:hint="eastAsia" w:eastAsia="宋体"/>
                <w:lang w:val="en-US" w:eastAsia="zh-CN"/>
              </w:rPr>
              <w:t>2</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lang w:val="en-US" w:eastAsia="zh-CN"/>
              </w:rPr>
              <w:t>水温</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eastAsia="宋体"/>
                <w:lang w:val="en-US" w:eastAsia="zh-CN"/>
              </w:rPr>
            </w:pPr>
            <w:r>
              <w:rPr>
                <w:rFonts w:hint="eastAsia" w:ascii="宋体" w:hAnsi="宋体" w:eastAsia="宋体" w:cs="宋体"/>
                <w:lang w:val="en-US" w:eastAsia="zh-CN"/>
              </w:rPr>
              <w:t>℃</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18.9</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19.4</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19.1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341"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rPr>
              <w:t>色度</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度</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1"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rPr>
              <w:t>臭和味</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无</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无</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1"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5</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rPr>
              <w:t>浊度</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度</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1.0</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1.0</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1"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肉眼可见物</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无</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无</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1"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7</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总硬度</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297</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286</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247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1"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8</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溶解性总固体</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426</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458</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437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1"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9</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硫酸盐</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28</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39</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1"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10</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氯化物</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17</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30</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1"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11</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auto"/>
                <w:kern w:val="2"/>
                <w:sz w:val="21"/>
                <w:szCs w:val="20"/>
                <w:lang w:val="en-US" w:eastAsia="zh-CN" w:bidi="ar-SA"/>
              </w:rPr>
            </w:pPr>
            <w:r>
              <w:rPr>
                <w:rFonts w:hint="eastAsia"/>
              </w:rPr>
              <w:t>铁</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0.06</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0.07</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41"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12</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rPr>
              <w:t>锰</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0.05</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0.04</w:t>
            </w:r>
          </w:p>
        </w:tc>
      </w:tr>
    </w:tbl>
    <w:p>
      <w:pPr>
        <w:keepNext w:val="0"/>
        <w:keepLines w:val="0"/>
        <w:pageBreakBefore w:val="0"/>
        <w:widowControl w:val="0"/>
        <w:tabs>
          <w:tab w:val="left" w:pos="14400"/>
        </w:tabs>
        <w:kinsoku/>
        <w:wordWrap/>
        <w:overflowPunct/>
        <w:topLinePunct w:val="0"/>
        <w:autoSpaceDE/>
        <w:autoSpaceDN/>
        <w:bidi w:val="0"/>
        <w:adjustRightInd/>
        <w:snapToGrid w:val="0"/>
        <w:spacing w:line="312" w:lineRule="auto"/>
        <w:jc w:val="center"/>
        <w:textAlignment w:val="auto"/>
        <w:outlineLvl w:val="9"/>
        <w:rPr>
          <w:rFonts w:hint="eastAsia" w:ascii="Times New Roman" w:hAnsi="Times New Roman" w:eastAsia="宋体" w:cs="Times New Roman"/>
          <w:b/>
          <w:sz w:val="28"/>
          <w:szCs w:val="28"/>
          <w:highlight w:val="none"/>
          <w:lang w:eastAsia="zh-CN"/>
        </w:rPr>
      </w:pPr>
    </w:p>
    <w:p>
      <w:pPr>
        <w:keepNext w:val="0"/>
        <w:keepLines w:val="0"/>
        <w:pageBreakBefore w:val="0"/>
        <w:widowControl w:val="0"/>
        <w:tabs>
          <w:tab w:val="left" w:pos="14400"/>
        </w:tabs>
        <w:kinsoku/>
        <w:wordWrap/>
        <w:overflowPunct/>
        <w:topLinePunct w:val="0"/>
        <w:autoSpaceDE/>
        <w:autoSpaceDN/>
        <w:bidi w:val="0"/>
        <w:adjustRightInd/>
        <w:snapToGrid w:val="0"/>
        <w:spacing w:line="312" w:lineRule="auto"/>
        <w:jc w:val="center"/>
        <w:textAlignment w:val="auto"/>
        <w:outlineLvl w:val="9"/>
        <w:rPr>
          <w:rFonts w:hint="eastAsia" w:ascii="Times New Roman" w:hAnsi="Times New Roman" w:eastAsia="宋体" w:cs="Times New Roman"/>
          <w:b/>
          <w:sz w:val="28"/>
          <w:szCs w:val="28"/>
          <w:highlight w:val="none"/>
          <w:lang w:eastAsia="zh-CN"/>
        </w:rPr>
      </w:pPr>
    </w:p>
    <w:p>
      <w:pPr>
        <w:keepNext w:val="0"/>
        <w:keepLines w:val="0"/>
        <w:pageBreakBefore w:val="0"/>
        <w:widowControl w:val="0"/>
        <w:tabs>
          <w:tab w:val="left" w:pos="14400"/>
        </w:tabs>
        <w:kinsoku/>
        <w:wordWrap/>
        <w:overflowPunct/>
        <w:topLinePunct w:val="0"/>
        <w:autoSpaceDE/>
        <w:autoSpaceDN/>
        <w:bidi w:val="0"/>
        <w:adjustRightInd/>
        <w:snapToGrid w:val="0"/>
        <w:spacing w:line="312" w:lineRule="auto"/>
        <w:jc w:val="center"/>
        <w:textAlignment w:val="auto"/>
        <w:outlineLvl w:val="9"/>
        <w:rPr>
          <w:rFonts w:hint="default" w:ascii="Times New Roman" w:hAnsi="Times New Roman" w:eastAsia="宋体" w:cs="Times New Roman"/>
          <w:b/>
          <w:color w:val="auto"/>
          <w:sz w:val="28"/>
          <w:szCs w:val="28"/>
          <w:lang w:val="en-US" w:eastAsia="zh-CN"/>
        </w:rPr>
      </w:pPr>
      <w:r>
        <w:rPr>
          <w:rFonts w:hint="eastAsia" w:ascii="Times New Roman" w:hAnsi="Times New Roman" w:eastAsia="宋体" w:cs="Times New Roman"/>
          <w:b/>
          <w:sz w:val="28"/>
          <w:szCs w:val="28"/>
          <w:highlight w:val="none"/>
          <w:lang w:eastAsia="zh-CN"/>
        </w:rPr>
        <w:t>表</w:t>
      </w:r>
      <w:r>
        <w:rPr>
          <w:rFonts w:hint="eastAsia" w:ascii="Times New Roman" w:hAnsi="Times New Roman" w:eastAsia="宋体" w:cs="Times New Roman"/>
          <w:b/>
          <w:sz w:val="28"/>
          <w:szCs w:val="28"/>
          <w:highlight w:val="none"/>
          <w:lang w:val="en-US" w:eastAsia="zh-CN"/>
        </w:rPr>
        <w:t>3地下水</w:t>
      </w:r>
      <w:r>
        <w:rPr>
          <w:rFonts w:hint="eastAsia" w:ascii="Times New Roman" w:hAnsi="Times New Roman" w:eastAsia="宋体" w:cs="Times New Roman"/>
          <w:b/>
          <w:sz w:val="28"/>
          <w:szCs w:val="28"/>
          <w:highlight w:val="none"/>
          <w:lang w:eastAsia="zh-CN"/>
        </w:rPr>
        <w:t>检测结</w:t>
      </w:r>
      <w:r>
        <w:rPr>
          <w:b/>
          <w:sz w:val="28"/>
          <w:szCs w:val="28"/>
          <w:highlight w:val="none"/>
        </w:rPr>
        <w:t>果</w:t>
      </w:r>
    </w:p>
    <w:tbl>
      <w:tblPr>
        <w:tblStyle w:val="18"/>
        <w:tblW w:w="4996"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2458"/>
        <w:gridCol w:w="2186"/>
        <w:gridCol w:w="2849"/>
        <w:gridCol w:w="2849"/>
        <w:gridCol w:w="285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编号</w:t>
            </w:r>
          </w:p>
        </w:tc>
        <w:tc>
          <w:tcPr>
            <w:tcW w:w="86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检测项目</w:t>
            </w:r>
          </w:p>
        </w:tc>
        <w:tc>
          <w:tcPr>
            <w:tcW w:w="771" w:type="pct"/>
            <w:vMerge w:val="restart"/>
            <w:tcBorders>
              <w:tl2br w:val="nil"/>
              <w:tr2bl w:val="nil"/>
            </w:tcBorders>
            <w:noWrap w:val="0"/>
            <w:vAlign w:val="center"/>
            <mc:AlternateContent>
              <mc:Choice Requires="wpsCustomData">
                <wpsCustomData:diagonals>
                  <wpsCustomData:diagonal from="30000" to="4900">
                    <wpsCustomData:border w:val="single" w:color="auto" w:sz="4" w:space="0"/>
                  </wpsCustomData:diagonal>
                  <wpsCustomData:diagonal from="30000" to="135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样品编号及样品状态</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检测点位及日期</w:t>
            </w:r>
          </w:p>
        </w:tc>
        <w:tc>
          <w:tcPr>
            <w:tcW w:w="284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1#厂区北侧水井</w:t>
            </w:r>
          </w:p>
        </w:tc>
        <w:tc>
          <w:tcPr>
            <w:tcW w:w="284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2#厂区南侧水井</w:t>
            </w:r>
          </w:p>
        </w:tc>
        <w:tc>
          <w:tcPr>
            <w:tcW w:w="28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3#坟台村白加文家水井</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8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2022.7.13</w:t>
            </w: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2022.7.13</w:t>
            </w:r>
          </w:p>
        </w:tc>
        <w:tc>
          <w:tcPr>
            <w:tcW w:w="1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2022.7.13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867"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71"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DW093010713</w:t>
            </w: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DW093020713</w:t>
            </w:r>
          </w:p>
        </w:tc>
        <w:tc>
          <w:tcPr>
            <w:tcW w:w="1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DW093030713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867"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71"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c>
          <w:tcPr>
            <w:tcW w:w="1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1</w:t>
            </w:r>
          </w:p>
        </w:tc>
        <w:tc>
          <w:tcPr>
            <w:tcW w:w="2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rPr>
              <w:t>锌</w:t>
            </w:r>
          </w:p>
        </w:tc>
        <w:tc>
          <w:tcPr>
            <w:tcW w:w="2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0.05L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2</w:t>
            </w:r>
          </w:p>
        </w:tc>
        <w:tc>
          <w:tcPr>
            <w:tcW w:w="2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rPr>
              <w:t>铝</w:t>
            </w:r>
          </w:p>
        </w:tc>
        <w:tc>
          <w:tcPr>
            <w:tcW w:w="2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sz w:val="21"/>
                <w:szCs w:val="21"/>
                <w:u w:val="none"/>
              </w:rPr>
              <w:t>μg/L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10L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10L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10L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w:t>
            </w:r>
          </w:p>
        </w:tc>
        <w:tc>
          <w:tcPr>
            <w:tcW w:w="2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rPr>
              <w:t>挥发酚</w:t>
            </w:r>
          </w:p>
        </w:tc>
        <w:tc>
          <w:tcPr>
            <w:tcW w:w="2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0.0003L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0.0003L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0.0003L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2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rPr>
              <w:t>阴离子表面活性剂</w:t>
            </w:r>
          </w:p>
        </w:tc>
        <w:tc>
          <w:tcPr>
            <w:tcW w:w="2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0.05L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w:t>
            </w:r>
          </w:p>
        </w:tc>
        <w:tc>
          <w:tcPr>
            <w:tcW w:w="2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耗氧量</w:t>
            </w:r>
          </w:p>
        </w:tc>
        <w:tc>
          <w:tcPr>
            <w:tcW w:w="2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0.97</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0.99</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0.84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2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氨氮</w:t>
            </w:r>
          </w:p>
        </w:tc>
        <w:tc>
          <w:tcPr>
            <w:tcW w:w="2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0.387</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0.331</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0.362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w:t>
            </w:r>
          </w:p>
        </w:tc>
        <w:tc>
          <w:tcPr>
            <w:tcW w:w="2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硫化物</w:t>
            </w:r>
          </w:p>
        </w:tc>
        <w:tc>
          <w:tcPr>
            <w:tcW w:w="2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0.01L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0.01L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0.01L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8</w:t>
            </w:r>
          </w:p>
        </w:tc>
        <w:tc>
          <w:tcPr>
            <w:tcW w:w="2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钠</w:t>
            </w:r>
          </w:p>
        </w:tc>
        <w:tc>
          <w:tcPr>
            <w:tcW w:w="2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16.66</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15.79</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14.76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9</w:t>
            </w:r>
          </w:p>
        </w:tc>
        <w:tc>
          <w:tcPr>
            <w:tcW w:w="2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亚硝酸盐氮</w:t>
            </w:r>
          </w:p>
        </w:tc>
        <w:tc>
          <w:tcPr>
            <w:tcW w:w="2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0.003L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0.003L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0.003L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w:t>
            </w:r>
          </w:p>
        </w:tc>
        <w:tc>
          <w:tcPr>
            <w:tcW w:w="2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auto"/>
                <w:kern w:val="2"/>
                <w:sz w:val="21"/>
                <w:szCs w:val="20"/>
                <w:lang w:val="en-US" w:eastAsia="zh-CN" w:bidi="ar-SA"/>
              </w:rPr>
            </w:pPr>
            <w:r>
              <w:rPr>
                <w:rFonts w:hint="eastAsia"/>
              </w:rPr>
              <w:t>硝酸盐氮</w:t>
            </w:r>
          </w:p>
        </w:tc>
        <w:tc>
          <w:tcPr>
            <w:tcW w:w="2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0.54</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0.63</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0.35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11</w:t>
            </w:r>
          </w:p>
        </w:tc>
        <w:tc>
          <w:tcPr>
            <w:tcW w:w="2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rPr>
              <w:t>氰化物</w:t>
            </w:r>
          </w:p>
        </w:tc>
        <w:tc>
          <w:tcPr>
            <w:tcW w:w="2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0.002L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0.002L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0.002L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12</w:t>
            </w:r>
          </w:p>
        </w:tc>
        <w:tc>
          <w:tcPr>
            <w:tcW w:w="2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rPr>
              <w:t>氟化物</w:t>
            </w:r>
          </w:p>
        </w:tc>
        <w:tc>
          <w:tcPr>
            <w:tcW w:w="2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bCs/>
                <w:kern w:val="2"/>
                <w:sz w:val="21"/>
                <w:szCs w:val="21"/>
                <w:lang w:val="en-US" w:eastAsia="zh-CN" w:bidi="ar-SA"/>
              </w:rPr>
            </w:pPr>
            <w:r>
              <w:rPr>
                <w:rFonts w:hint="eastAsia"/>
                <w:bCs/>
                <w:kern w:val="2"/>
                <w:sz w:val="21"/>
                <w:szCs w:val="21"/>
                <w:lang w:val="en-US" w:eastAsia="zh-CN" w:bidi="ar-SA"/>
              </w:rPr>
              <w:t>0.61</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bCs/>
                <w:kern w:val="2"/>
                <w:sz w:val="21"/>
                <w:szCs w:val="21"/>
                <w:lang w:val="en-US" w:eastAsia="zh-CN" w:bidi="ar-SA"/>
              </w:rPr>
            </w:pPr>
            <w:r>
              <w:rPr>
                <w:rFonts w:hint="eastAsia"/>
                <w:bCs/>
                <w:kern w:val="2"/>
                <w:sz w:val="21"/>
                <w:szCs w:val="21"/>
                <w:lang w:val="en-US" w:eastAsia="zh-CN" w:bidi="ar-SA"/>
              </w:rPr>
              <w:t>0.68</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bCs/>
                <w:kern w:val="2"/>
                <w:sz w:val="21"/>
                <w:szCs w:val="21"/>
                <w:lang w:val="en-US" w:eastAsia="zh-CN" w:bidi="ar-SA"/>
              </w:rPr>
            </w:pPr>
            <w:r>
              <w:rPr>
                <w:rFonts w:hint="eastAsia"/>
                <w:bCs/>
                <w:kern w:val="2"/>
                <w:sz w:val="21"/>
                <w:szCs w:val="21"/>
                <w:lang w:val="en-US" w:eastAsia="zh-CN" w:bidi="ar-SA"/>
              </w:rPr>
              <w:t>0.42</w:t>
            </w:r>
          </w:p>
        </w:tc>
      </w:tr>
    </w:tbl>
    <w:p>
      <w:pPr>
        <w:keepNext w:val="0"/>
        <w:keepLines w:val="0"/>
        <w:pageBreakBefore w:val="0"/>
        <w:widowControl w:val="0"/>
        <w:tabs>
          <w:tab w:val="left" w:pos="14400"/>
        </w:tabs>
        <w:kinsoku/>
        <w:wordWrap/>
        <w:overflowPunct/>
        <w:topLinePunct w:val="0"/>
        <w:autoSpaceDE/>
        <w:autoSpaceDN/>
        <w:bidi w:val="0"/>
        <w:adjustRightInd/>
        <w:snapToGrid w:val="0"/>
        <w:spacing w:line="312" w:lineRule="auto"/>
        <w:jc w:val="center"/>
        <w:textAlignment w:val="auto"/>
        <w:outlineLvl w:val="9"/>
        <w:rPr>
          <w:rFonts w:hint="default" w:ascii="Times New Roman" w:hAnsi="Times New Roman" w:eastAsia="宋体" w:cs="Times New Roman"/>
          <w:b/>
          <w:color w:val="auto"/>
          <w:sz w:val="28"/>
          <w:szCs w:val="28"/>
          <w:lang w:val="en-US" w:eastAsia="zh-CN"/>
        </w:rPr>
      </w:pPr>
    </w:p>
    <w:p>
      <w:pPr>
        <w:keepNext w:val="0"/>
        <w:keepLines w:val="0"/>
        <w:pageBreakBefore w:val="0"/>
        <w:widowControl w:val="0"/>
        <w:tabs>
          <w:tab w:val="left" w:pos="14400"/>
        </w:tabs>
        <w:kinsoku/>
        <w:wordWrap/>
        <w:overflowPunct/>
        <w:topLinePunct w:val="0"/>
        <w:autoSpaceDE/>
        <w:autoSpaceDN/>
        <w:bidi w:val="0"/>
        <w:adjustRightInd/>
        <w:snapToGrid w:val="0"/>
        <w:spacing w:line="312" w:lineRule="auto"/>
        <w:jc w:val="center"/>
        <w:textAlignment w:val="auto"/>
        <w:outlineLvl w:val="9"/>
        <w:rPr>
          <w:rFonts w:hint="default" w:ascii="Times New Roman" w:hAnsi="Times New Roman" w:eastAsia="宋体" w:cs="Times New Roman"/>
          <w:b/>
          <w:color w:val="auto"/>
          <w:sz w:val="28"/>
          <w:szCs w:val="28"/>
          <w:lang w:val="en-US" w:eastAsia="zh-CN"/>
        </w:rPr>
      </w:pPr>
      <w:r>
        <w:rPr>
          <w:rFonts w:hint="eastAsia" w:ascii="Times New Roman" w:hAnsi="Times New Roman" w:eastAsia="宋体" w:cs="Times New Roman"/>
          <w:b/>
          <w:sz w:val="28"/>
          <w:szCs w:val="28"/>
          <w:highlight w:val="none"/>
          <w:lang w:eastAsia="zh-CN"/>
        </w:rPr>
        <w:t>表</w:t>
      </w:r>
      <w:r>
        <w:rPr>
          <w:rFonts w:hint="eastAsia" w:ascii="Times New Roman" w:hAnsi="Times New Roman" w:eastAsia="宋体" w:cs="Times New Roman"/>
          <w:b/>
          <w:sz w:val="28"/>
          <w:szCs w:val="28"/>
          <w:highlight w:val="none"/>
          <w:lang w:val="en-US" w:eastAsia="zh-CN"/>
        </w:rPr>
        <w:t>4地下水</w:t>
      </w:r>
      <w:r>
        <w:rPr>
          <w:rFonts w:hint="eastAsia" w:ascii="Times New Roman" w:hAnsi="Times New Roman" w:eastAsia="宋体" w:cs="Times New Roman"/>
          <w:b/>
          <w:sz w:val="28"/>
          <w:szCs w:val="28"/>
          <w:highlight w:val="none"/>
          <w:lang w:eastAsia="zh-CN"/>
        </w:rPr>
        <w:t>检测结</w:t>
      </w:r>
      <w:r>
        <w:rPr>
          <w:b/>
          <w:sz w:val="28"/>
          <w:szCs w:val="28"/>
          <w:highlight w:val="none"/>
        </w:rPr>
        <w:t>果</w:t>
      </w:r>
    </w:p>
    <w:tbl>
      <w:tblPr>
        <w:tblStyle w:val="18"/>
        <w:tblW w:w="4996"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2458"/>
        <w:gridCol w:w="2186"/>
        <w:gridCol w:w="2849"/>
        <w:gridCol w:w="2849"/>
        <w:gridCol w:w="285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编号</w:t>
            </w:r>
          </w:p>
        </w:tc>
        <w:tc>
          <w:tcPr>
            <w:tcW w:w="86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检测项目</w:t>
            </w:r>
          </w:p>
        </w:tc>
        <w:tc>
          <w:tcPr>
            <w:tcW w:w="771" w:type="pct"/>
            <w:vMerge w:val="restart"/>
            <w:tcBorders>
              <w:tl2br w:val="nil"/>
              <w:tr2bl w:val="nil"/>
            </w:tcBorders>
            <w:noWrap w:val="0"/>
            <w:vAlign w:val="center"/>
            <mc:AlternateContent>
              <mc:Choice Requires="wpsCustomData">
                <wpsCustomData:diagonals>
                  <wpsCustomData:diagonal from="30000" to="4900">
                    <wpsCustomData:border w:val="single" w:color="auto" w:sz="4" w:space="0"/>
                  </wpsCustomData:diagonal>
                  <wpsCustomData:diagonal from="30000" to="135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样品编号及样品状态</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检测点位及日期</w:t>
            </w:r>
          </w:p>
        </w:tc>
        <w:tc>
          <w:tcPr>
            <w:tcW w:w="284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1#厂区北侧水井</w:t>
            </w:r>
          </w:p>
        </w:tc>
        <w:tc>
          <w:tcPr>
            <w:tcW w:w="284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2#厂区南侧水井</w:t>
            </w:r>
          </w:p>
        </w:tc>
        <w:tc>
          <w:tcPr>
            <w:tcW w:w="28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3#坟台村白加文家水井</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8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2022.7.13</w:t>
            </w: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2022.7.13</w:t>
            </w:r>
          </w:p>
        </w:tc>
        <w:tc>
          <w:tcPr>
            <w:tcW w:w="1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2022.7.13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867"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71"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DW093010713</w:t>
            </w: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DW093020713</w:t>
            </w:r>
          </w:p>
        </w:tc>
        <w:tc>
          <w:tcPr>
            <w:tcW w:w="1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DW093030713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867"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71"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c>
          <w:tcPr>
            <w:tcW w:w="1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1</w:t>
            </w:r>
          </w:p>
        </w:tc>
        <w:tc>
          <w:tcPr>
            <w:tcW w:w="867"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rPr>
              <w:t>碘化物</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0.050</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0.046</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0.047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2</w:t>
            </w:r>
          </w:p>
        </w:tc>
        <w:tc>
          <w:tcPr>
            <w:tcW w:w="8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kern w:val="0"/>
                <w:sz w:val="21"/>
                <w:szCs w:val="21"/>
                <w:lang w:val="en-US" w:eastAsia="zh-CN" w:bidi="ar-SA"/>
              </w:rPr>
            </w:pPr>
            <w:r>
              <w:rPr>
                <w:rFonts w:hint="eastAsia"/>
              </w:rPr>
              <w:t>汞</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sz w:val="21"/>
                <w:szCs w:val="21"/>
                <w:u w:val="none"/>
              </w:rPr>
              <w:t>μg/L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0.04L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0.04L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0.04L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w:t>
            </w:r>
          </w:p>
        </w:tc>
        <w:tc>
          <w:tcPr>
            <w:tcW w:w="8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kern w:val="0"/>
                <w:sz w:val="21"/>
                <w:szCs w:val="21"/>
                <w:lang w:val="en-US" w:eastAsia="zh-CN" w:bidi="ar-SA"/>
              </w:rPr>
            </w:pPr>
            <w:r>
              <w:rPr>
                <w:rFonts w:hint="eastAsia"/>
              </w:rPr>
              <w:t>砷</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sz w:val="21"/>
                <w:szCs w:val="21"/>
                <w:u w:val="none"/>
              </w:rPr>
              <w:t>μg/L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0.3L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0.3L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8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kern w:val="0"/>
                <w:sz w:val="21"/>
                <w:szCs w:val="21"/>
                <w:lang w:val="en-US" w:eastAsia="zh-CN" w:bidi="ar-SA"/>
              </w:rPr>
            </w:pPr>
            <w:r>
              <w:rPr>
                <w:rFonts w:hint="eastAsia"/>
              </w:rPr>
              <w:t>硒</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sz w:val="21"/>
                <w:szCs w:val="21"/>
                <w:u w:val="none"/>
              </w:rPr>
              <w:t>μg/L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0.4L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0.4L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0.4L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w:t>
            </w:r>
          </w:p>
        </w:tc>
        <w:tc>
          <w:tcPr>
            <w:tcW w:w="8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auto"/>
                <w:kern w:val="2"/>
                <w:sz w:val="21"/>
                <w:szCs w:val="20"/>
                <w:lang w:val="en-US" w:eastAsia="zh-CN" w:bidi="ar-SA"/>
              </w:rPr>
            </w:pPr>
            <w:r>
              <w:rPr>
                <w:rFonts w:hint="eastAsia"/>
              </w:rPr>
              <w:t>镉</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0.001L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0.001L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0.001L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tcBorders>
              <w:tl2br w:val="nil"/>
              <w:tr2bl w:val="nil"/>
            </w:tcBorders>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8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eastAsia="宋体"/>
                <w:lang w:val="en-US" w:eastAsia="zh-CN"/>
              </w:rPr>
            </w:pPr>
            <w:r>
              <w:rPr>
                <w:rFonts w:hint="eastAsia" w:eastAsia="宋体"/>
                <w:lang w:val="en-US" w:eastAsia="zh-CN"/>
              </w:rPr>
              <w:t>石油类</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0.01L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0.01L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0.01L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7</w:t>
            </w:r>
          </w:p>
        </w:tc>
        <w:tc>
          <w:tcPr>
            <w:tcW w:w="8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auto"/>
                <w:kern w:val="2"/>
                <w:sz w:val="21"/>
                <w:szCs w:val="20"/>
                <w:lang w:val="en-US" w:eastAsia="zh-CN" w:bidi="ar-SA"/>
              </w:rPr>
            </w:pPr>
            <w:r>
              <w:rPr>
                <w:rFonts w:hint="eastAsia"/>
              </w:rPr>
              <w:t>六价铬</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0.004L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0.004L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0.004L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8</w:t>
            </w:r>
          </w:p>
        </w:tc>
        <w:tc>
          <w:tcPr>
            <w:tcW w:w="8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auto"/>
                <w:kern w:val="2"/>
                <w:sz w:val="21"/>
                <w:szCs w:val="20"/>
                <w:lang w:val="en-US" w:eastAsia="zh-CN" w:bidi="ar-SA"/>
              </w:rPr>
            </w:pPr>
            <w:r>
              <w:rPr>
                <w:rFonts w:hint="eastAsia"/>
              </w:rPr>
              <w:t>铅</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0.010L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0.010L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0.010L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9</w:t>
            </w:r>
          </w:p>
        </w:tc>
        <w:tc>
          <w:tcPr>
            <w:tcW w:w="8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auto"/>
                <w:kern w:val="2"/>
                <w:sz w:val="21"/>
                <w:szCs w:val="20"/>
                <w:lang w:val="en-US" w:eastAsia="zh-CN" w:bidi="ar-SA"/>
              </w:rPr>
            </w:pPr>
            <w:r>
              <w:rPr>
                <w:rFonts w:hint="eastAsia"/>
              </w:rPr>
              <w:t>三氯甲烷</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Style w:val="44"/>
                <w:rFonts w:hint="default" w:ascii="Times New Roman" w:hAnsi="Times New Roman" w:eastAsia="宋体" w:cs="Times New Roman"/>
                <w:sz w:val="21"/>
                <w:szCs w:val="21"/>
              </w:rPr>
              <w:t>μg/L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0.02L</w:t>
            </w:r>
          </w:p>
        </w:tc>
        <w:tc>
          <w:tcPr>
            <w:tcW w:w="28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0.02L</w:t>
            </w:r>
          </w:p>
        </w:tc>
        <w:tc>
          <w:tcPr>
            <w:tcW w:w="2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0.02L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10</w:t>
            </w:r>
          </w:p>
        </w:tc>
        <w:tc>
          <w:tcPr>
            <w:tcW w:w="8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auto"/>
                <w:kern w:val="2"/>
                <w:sz w:val="21"/>
                <w:szCs w:val="20"/>
                <w:lang w:val="en-US" w:eastAsia="zh-CN" w:bidi="ar-SA"/>
              </w:rPr>
            </w:pPr>
            <w:r>
              <w:rPr>
                <w:rFonts w:hint="eastAsia"/>
              </w:rPr>
              <w:t>四氯化碳</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Style w:val="44"/>
                <w:rFonts w:hint="default" w:ascii="Times New Roman" w:hAnsi="Times New Roman" w:eastAsia="宋体" w:cs="Times New Roman"/>
                <w:sz w:val="21"/>
                <w:szCs w:val="21"/>
              </w:rPr>
              <w:t>μg/L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0.03L</w:t>
            </w:r>
          </w:p>
        </w:tc>
        <w:tc>
          <w:tcPr>
            <w:tcW w:w="28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0.03L</w:t>
            </w:r>
          </w:p>
        </w:tc>
        <w:tc>
          <w:tcPr>
            <w:tcW w:w="2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0.03L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11</w:t>
            </w:r>
          </w:p>
        </w:tc>
        <w:tc>
          <w:tcPr>
            <w:tcW w:w="8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auto"/>
                <w:kern w:val="2"/>
                <w:sz w:val="21"/>
                <w:szCs w:val="20"/>
                <w:lang w:val="en-US" w:eastAsia="zh-CN" w:bidi="ar-SA"/>
              </w:rPr>
            </w:pPr>
            <w:r>
              <w:rPr>
                <w:rFonts w:hint="eastAsia"/>
              </w:rPr>
              <w:t>苯</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Style w:val="44"/>
                <w:rFonts w:hint="default" w:ascii="Times New Roman" w:hAnsi="Times New Roman" w:eastAsia="宋体" w:cs="Times New Roman"/>
                <w:sz w:val="21"/>
                <w:szCs w:val="21"/>
              </w:rPr>
              <w:t>μg/L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2L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2L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12</w:t>
            </w:r>
          </w:p>
        </w:tc>
        <w:tc>
          <w:tcPr>
            <w:tcW w:w="8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kern w:val="2"/>
                <w:sz w:val="21"/>
                <w:szCs w:val="21"/>
                <w:lang w:val="en-US" w:eastAsia="zh-CN" w:bidi="ar-SA"/>
              </w:rPr>
            </w:pPr>
            <w:r>
              <w:rPr>
                <w:rFonts w:hint="eastAsia"/>
              </w:rPr>
              <w:t>甲苯</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Style w:val="44"/>
                <w:rFonts w:hint="default" w:ascii="Times New Roman" w:hAnsi="Times New Roman" w:eastAsia="宋体" w:cs="Times New Roman"/>
                <w:sz w:val="21"/>
                <w:szCs w:val="21"/>
              </w:rPr>
              <w:t>μg/L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2L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2L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4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13</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rFonts w:hint="eastAsia"/>
              </w:rPr>
              <w:t>铜</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0.001L</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0.001L</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0.001L</w:t>
            </w:r>
          </w:p>
        </w:tc>
      </w:tr>
    </w:tbl>
    <w:p>
      <w:pPr>
        <w:pStyle w:val="2"/>
        <w:rPr>
          <w:rFonts w:hint="eastAsia"/>
          <w:lang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lang w:val="en-US" w:eastAsia="zh-CN"/>
        </w:rPr>
      </w:pPr>
      <w:r>
        <w:rPr>
          <w:rFonts w:hint="default" w:ascii="Times New Roman" w:hAnsi="Times New Roman" w:eastAsia="宋体" w:cs="Times New Roman"/>
          <w:b/>
          <w:color w:val="auto"/>
          <w:sz w:val="28"/>
          <w:szCs w:val="28"/>
          <w:highlight w:val="none"/>
          <w:lang w:val="en-US" w:eastAsia="zh-CN"/>
        </w:rPr>
        <w:t>表</w:t>
      </w:r>
      <w:r>
        <w:rPr>
          <w:rFonts w:hint="eastAsia" w:ascii="Times New Roman" w:hAnsi="Times New Roman" w:eastAsia="宋体" w:cs="Times New Roman"/>
          <w:b/>
          <w:color w:val="auto"/>
          <w:sz w:val="28"/>
          <w:szCs w:val="28"/>
          <w:highlight w:val="none"/>
          <w:lang w:val="en-US" w:eastAsia="zh-CN"/>
        </w:rPr>
        <w:t>5土壤</w:t>
      </w:r>
      <w:r>
        <w:rPr>
          <w:rFonts w:hint="default" w:ascii="Times New Roman" w:hAnsi="Times New Roman" w:eastAsia="宋体" w:cs="Times New Roman"/>
          <w:b/>
          <w:color w:val="auto"/>
          <w:sz w:val="28"/>
          <w:szCs w:val="28"/>
          <w:highlight w:val="none"/>
          <w:lang w:val="en-US" w:eastAsia="zh-CN"/>
        </w:rPr>
        <w:t>检测结果</w:t>
      </w:r>
    </w:p>
    <w:tbl>
      <w:tblPr>
        <w:tblStyle w:val="18"/>
        <w:tblW w:w="5041"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8"/>
        <w:gridCol w:w="383"/>
        <w:gridCol w:w="888"/>
        <w:gridCol w:w="1604"/>
        <w:gridCol w:w="1055"/>
        <w:gridCol w:w="1055"/>
        <w:gridCol w:w="1055"/>
        <w:gridCol w:w="1055"/>
        <w:gridCol w:w="106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5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编号</w:t>
            </w:r>
          </w:p>
        </w:tc>
        <w:tc>
          <w:tcPr>
            <w:tcW w:w="739"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检测项目</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932" w:type="pct"/>
            <w:vMerge w:val="restart"/>
            <w:tcBorders>
              <w:tl2br w:val="nil"/>
              <w:tr2bl w:val="nil"/>
            </w:tcBorders>
            <w:noWrap w:val="0"/>
            <w:vAlign w:val="center"/>
            <mc:AlternateContent>
              <mc:Choice Requires="wpsCustomData">
                <wpsCustomData:diagonals>
                  <wpsCustomData:diagonal from="30000" to="4100">
                    <wpsCustomData:border w:val="single" w:color="auto" w:sz="4" w:space="0"/>
                  </wpsCustomData:diagonal>
                  <wpsCustomData:diagonal from="30000" to="132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样品编号</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检测点位及取样日期</w:t>
            </w:r>
          </w:p>
        </w:tc>
        <w:tc>
          <w:tcPr>
            <w:tcW w:w="3073" w:type="pct"/>
            <w:gridSpan w:val="5"/>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2022.7.13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25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39"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93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613"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1#油泥库房西侧深层样</w:t>
            </w:r>
          </w:p>
        </w:tc>
        <w:tc>
          <w:tcPr>
            <w:tcW w:w="613"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2#生产车间南侧表层样</w:t>
            </w:r>
          </w:p>
        </w:tc>
        <w:tc>
          <w:tcPr>
            <w:tcW w:w="613"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3#储罐区北侧深层样</w:t>
            </w:r>
          </w:p>
        </w:tc>
        <w:tc>
          <w:tcPr>
            <w:tcW w:w="613"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4#厂界北侧表层样</w:t>
            </w:r>
          </w:p>
        </w:tc>
        <w:tc>
          <w:tcPr>
            <w:tcW w:w="619"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5#厂界南侧表层样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54"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739" w:type="pct"/>
            <w:gridSpan w:val="2"/>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93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613"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DW093040713-深层</w:t>
            </w:r>
          </w:p>
        </w:tc>
        <w:tc>
          <w:tcPr>
            <w:tcW w:w="613"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DW093050713-表层</w:t>
            </w:r>
          </w:p>
        </w:tc>
        <w:tc>
          <w:tcPr>
            <w:tcW w:w="613"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DW093060713-深层</w:t>
            </w:r>
          </w:p>
        </w:tc>
        <w:tc>
          <w:tcPr>
            <w:tcW w:w="613"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DW093070713-表层</w:t>
            </w:r>
          </w:p>
        </w:tc>
        <w:tc>
          <w:tcPr>
            <w:tcW w:w="619"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DW093080713-表层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54"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73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砷</w:t>
            </w:r>
          </w:p>
        </w:tc>
        <w:tc>
          <w:tcPr>
            <w:tcW w:w="932"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11.3</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13.4</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12.4</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14.4</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12.8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w:t>
            </w:r>
          </w:p>
        </w:tc>
        <w:tc>
          <w:tcPr>
            <w:tcW w:w="739" w:type="pct"/>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镉</w:t>
            </w:r>
          </w:p>
        </w:tc>
        <w:tc>
          <w:tcPr>
            <w:tcW w:w="93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0.119</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0.158</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0.127</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0.114</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0.139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3</w:t>
            </w:r>
          </w:p>
        </w:tc>
        <w:tc>
          <w:tcPr>
            <w:tcW w:w="739" w:type="pct"/>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000000"/>
                <w:sz w:val="21"/>
                <w:szCs w:val="21"/>
                <w:lang w:val="en-US" w:eastAsia="zh-CN" w:bidi="ar-SA"/>
              </w:rPr>
              <w:t>石油烃（C</w:t>
            </w:r>
            <w:r>
              <w:rPr>
                <w:rFonts w:hint="eastAsia" w:ascii="Times New Roman" w:hAnsi="Times New Roman" w:eastAsia="宋体" w:cs="Times New Roman"/>
                <w:color w:val="000000"/>
                <w:sz w:val="21"/>
                <w:szCs w:val="21"/>
                <w:vertAlign w:val="subscript"/>
                <w:lang w:val="en-US" w:eastAsia="zh-CN" w:bidi="ar-SA"/>
              </w:rPr>
              <w:t>10</w:t>
            </w:r>
            <w:r>
              <w:rPr>
                <w:rFonts w:hint="eastAsia" w:ascii="Times New Roman" w:hAnsi="Times New Roman" w:eastAsia="宋体" w:cs="Times New Roman"/>
                <w:color w:val="000000"/>
                <w:sz w:val="21"/>
                <w:szCs w:val="21"/>
                <w:lang w:val="en-US" w:eastAsia="zh-CN" w:bidi="ar-SA"/>
              </w:rPr>
              <w:t>-C</w:t>
            </w:r>
            <w:r>
              <w:rPr>
                <w:rFonts w:hint="eastAsia" w:ascii="Times New Roman" w:hAnsi="Times New Roman" w:eastAsia="宋体" w:cs="Times New Roman"/>
                <w:color w:val="000000"/>
                <w:sz w:val="21"/>
                <w:szCs w:val="21"/>
                <w:vertAlign w:val="subscript"/>
                <w:lang w:val="en-US" w:eastAsia="zh-CN" w:bidi="ar-SA"/>
              </w:rPr>
              <w:t>40</w:t>
            </w:r>
            <w:r>
              <w:rPr>
                <w:rFonts w:hint="eastAsia" w:ascii="Times New Roman" w:hAnsi="Times New Roman" w:eastAsia="宋体" w:cs="Times New Roman"/>
                <w:color w:val="000000"/>
                <w:sz w:val="21"/>
                <w:szCs w:val="21"/>
                <w:lang w:val="en-US" w:eastAsia="zh-CN" w:bidi="ar-SA"/>
              </w:rPr>
              <w:t>）</w:t>
            </w:r>
          </w:p>
        </w:tc>
        <w:tc>
          <w:tcPr>
            <w:tcW w:w="93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w:t>
            </w:r>
          </w:p>
        </w:tc>
        <w:tc>
          <w:tcPr>
            <w:tcW w:w="739" w:type="pct"/>
            <w:gridSpan w:val="2"/>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六价铬</w:t>
            </w:r>
          </w:p>
        </w:tc>
        <w:tc>
          <w:tcPr>
            <w:tcW w:w="93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2.6</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4.1</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2.6</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4.4</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5</w:t>
            </w:r>
          </w:p>
        </w:tc>
        <w:tc>
          <w:tcPr>
            <w:tcW w:w="7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color w:val="auto"/>
                <w:sz w:val="21"/>
                <w:szCs w:val="21"/>
                <w:highlight w:val="none"/>
                <w:lang w:val="en-US" w:eastAsia="zh-CN" w:bidi="ar-SA"/>
              </w:rPr>
              <w:t>铜</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34</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46</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36</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45</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6</w:t>
            </w:r>
          </w:p>
        </w:tc>
        <w:tc>
          <w:tcPr>
            <w:tcW w:w="7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铅</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kern w:val="2"/>
                <w:sz w:val="21"/>
                <w:szCs w:val="21"/>
                <w:highlight w:val="none"/>
                <w:lang w:val="en-US" w:eastAsia="zh-CN" w:bidi="ar-SA"/>
              </w:rPr>
              <w:t>58</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kern w:val="2"/>
                <w:sz w:val="21"/>
                <w:szCs w:val="21"/>
                <w:highlight w:val="none"/>
                <w:lang w:val="en-US" w:eastAsia="zh-CN" w:bidi="ar-SA"/>
              </w:rPr>
              <w:t>87</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kern w:val="2"/>
                <w:sz w:val="21"/>
                <w:szCs w:val="21"/>
                <w:highlight w:val="none"/>
                <w:lang w:val="en-US" w:eastAsia="zh-CN" w:bidi="ar-SA"/>
              </w:rPr>
              <w:t>59</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kern w:val="2"/>
                <w:sz w:val="21"/>
                <w:szCs w:val="21"/>
                <w:highlight w:val="none"/>
                <w:lang w:val="en-US" w:eastAsia="zh-CN" w:bidi="ar-SA"/>
              </w:rPr>
              <w:t>84</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kern w:val="2"/>
                <w:sz w:val="21"/>
                <w:szCs w:val="21"/>
                <w:highlight w:val="none"/>
                <w:lang w:val="en-US" w:eastAsia="zh-CN" w:bidi="ar-SA"/>
              </w:rPr>
              <w:t>79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7</w:t>
            </w:r>
          </w:p>
        </w:tc>
        <w:tc>
          <w:tcPr>
            <w:tcW w:w="7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color w:val="auto"/>
                <w:kern w:val="0"/>
                <w:sz w:val="21"/>
                <w:szCs w:val="21"/>
                <w:u w:val="none"/>
                <w:lang w:val="en-US" w:eastAsia="zh-CN" w:bidi="ar"/>
              </w:rPr>
              <w:t>汞</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0.011</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0.018</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0.011</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0.014</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0.014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8</w:t>
            </w:r>
          </w:p>
        </w:tc>
        <w:tc>
          <w:tcPr>
            <w:tcW w:w="7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镍</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51</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65</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52</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62</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67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9</w:t>
            </w:r>
          </w:p>
        </w:tc>
        <w:tc>
          <w:tcPr>
            <w:tcW w:w="7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rPr>
              <w:t>硝基苯</w:t>
            </w:r>
          </w:p>
        </w:tc>
        <w:tc>
          <w:tcPr>
            <w:tcW w:w="932"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tabs>
                <w:tab w:val="left" w:pos="411"/>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10</w:t>
            </w:r>
          </w:p>
        </w:tc>
        <w:tc>
          <w:tcPr>
            <w:tcW w:w="222"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苯胺</w:t>
            </w:r>
          </w:p>
        </w:tc>
        <w:tc>
          <w:tcPr>
            <w:tcW w:w="516"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pPr>
            <w:r>
              <w:rPr>
                <w:rFonts w:hint="eastAsia"/>
              </w:rPr>
              <w:t>4-氯苯胺</w:t>
            </w:r>
          </w:p>
        </w:tc>
        <w:tc>
          <w:tcPr>
            <w:tcW w:w="932"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11</w:t>
            </w:r>
          </w:p>
        </w:tc>
        <w:tc>
          <w:tcPr>
            <w:tcW w:w="222" w:type="pct"/>
            <w:vMerge w:val="continue"/>
            <w:noWrap w:val="0"/>
            <w:vAlign w:val="center"/>
          </w:tcPr>
          <w:p>
            <w:pPr>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516" w:type="pct"/>
            <w:noWrap w:val="0"/>
            <w:vAlign w:val="center"/>
          </w:tcPr>
          <w:p>
            <w:pPr>
              <w:jc w:val="center"/>
            </w:pPr>
            <w:r>
              <w:rPr>
                <w:rFonts w:hint="eastAsia"/>
              </w:rPr>
              <w:t>2-硝基苯胺</w:t>
            </w:r>
          </w:p>
        </w:tc>
        <w:tc>
          <w:tcPr>
            <w:tcW w:w="932"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12</w:t>
            </w:r>
          </w:p>
        </w:tc>
        <w:tc>
          <w:tcPr>
            <w:tcW w:w="222" w:type="pct"/>
            <w:vMerge w:val="continue"/>
            <w:noWrap w:val="0"/>
            <w:vAlign w:val="center"/>
          </w:tcPr>
          <w:p>
            <w:pPr>
              <w:jc w:val="center"/>
              <w:rPr>
                <w:rFonts w:hint="eastAsia" w:ascii="Times New Roman" w:hAnsi="Times New Roman" w:eastAsia="宋体" w:cs="Times New Roman"/>
                <w:i w:val="0"/>
                <w:color w:val="auto"/>
                <w:kern w:val="0"/>
                <w:sz w:val="21"/>
                <w:szCs w:val="21"/>
                <w:u w:val="none"/>
                <w:lang w:val="en-US" w:eastAsia="zh-CN" w:bidi="ar"/>
              </w:rPr>
            </w:pPr>
          </w:p>
        </w:tc>
        <w:tc>
          <w:tcPr>
            <w:tcW w:w="516" w:type="pct"/>
            <w:noWrap w:val="0"/>
            <w:vAlign w:val="center"/>
          </w:tcPr>
          <w:p>
            <w:pPr>
              <w:jc w:val="center"/>
            </w:pPr>
            <w:r>
              <w:rPr>
                <w:rFonts w:hint="eastAsia"/>
              </w:rPr>
              <w:t>4-硝基苯胺</w:t>
            </w:r>
          </w:p>
        </w:tc>
        <w:tc>
          <w:tcPr>
            <w:tcW w:w="932"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13</w:t>
            </w:r>
          </w:p>
        </w:tc>
        <w:tc>
          <w:tcPr>
            <w:tcW w:w="222" w:type="pct"/>
            <w:vMerge w:val="continue"/>
            <w:noWrap w:val="0"/>
            <w:vAlign w:val="center"/>
          </w:tcPr>
          <w:p>
            <w:pPr>
              <w:jc w:val="center"/>
              <w:rPr>
                <w:rFonts w:hint="eastAsia" w:ascii="Times New Roman" w:hAnsi="Times New Roman" w:eastAsia="宋体" w:cs="Times New Roman"/>
                <w:i w:val="0"/>
                <w:color w:val="auto"/>
                <w:kern w:val="0"/>
                <w:sz w:val="21"/>
                <w:szCs w:val="21"/>
                <w:u w:val="none"/>
                <w:lang w:val="en-US" w:eastAsia="zh-CN" w:bidi="ar"/>
              </w:rPr>
            </w:pPr>
          </w:p>
        </w:tc>
        <w:tc>
          <w:tcPr>
            <w:tcW w:w="516" w:type="pct"/>
            <w:noWrap w:val="0"/>
            <w:vAlign w:val="center"/>
          </w:tcPr>
          <w:p>
            <w:pPr>
              <w:jc w:val="center"/>
            </w:pPr>
            <w:r>
              <w:rPr>
                <w:rFonts w:hint="eastAsia"/>
              </w:rPr>
              <w:t>3-硝基苯胺</w:t>
            </w:r>
          </w:p>
        </w:tc>
        <w:tc>
          <w:tcPr>
            <w:tcW w:w="932"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14</w:t>
            </w:r>
          </w:p>
        </w:tc>
        <w:tc>
          <w:tcPr>
            <w:tcW w:w="7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rPr>
              <w:t>2-氯酚</w:t>
            </w:r>
          </w:p>
        </w:tc>
        <w:tc>
          <w:tcPr>
            <w:tcW w:w="932"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15</w:t>
            </w:r>
          </w:p>
        </w:tc>
        <w:tc>
          <w:tcPr>
            <w:tcW w:w="7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rPr>
              <w:t>苯并(a)蒽</w:t>
            </w:r>
          </w:p>
        </w:tc>
        <w:tc>
          <w:tcPr>
            <w:tcW w:w="932"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16</w:t>
            </w:r>
          </w:p>
        </w:tc>
        <w:tc>
          <w:tcPr>
            <w:tcW w:w="7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rPr>
              <w:t>苯并(a)芘</w:t>
            </w:r>
          </w:p>
        </w:tc>
        <w:tc>
          <w:tcPr>
            <w:tcW w:w="932"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17</w:t>
            </w:r>
          </w:p>
        </w:tc>
        <w:tc>
          <w:tcPr>
            <w:tcW w:w="7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rPr>
              <w:t>苯并(b)荧蒽</w:t>
            </w:r>
          </w:p>
        </w:tc>
        <w:tc>
          <w:tcPr>
            <w:tcW w:w="932"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18</w:t>
            </w:r>
          </w:p>
        </w:tc>
        <w:tc>
          <w:tcPr>
            <w:tcW w:w="73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rPr>
              <w:t>苯并(k)荧蒽</w:t>
            </w:r>
          </w:p>
        </w:tc>
        <w:tc>
          <w:tcPr>
            <w:tcW w:w="932"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19</w:t>
            </w:r>
          </w:p>
        </w:tc>
        <w:tc>
          <w:tcPr>
            <w:tcW w:w="739" w:type="pct"/>
            <w:gridSpan w:val="2"/>
            <w:noWrap w:val="0"/>
            <w:vAlign w:val="center"/>
          </w:tcPr>
          <w:p>
            <w:pPr>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rPr>
              <w:t>䓛</w:t>
            </w:r>
          </w:p>
        </w:tc>
        <w:tc>
          <w:tcPr>
            <w:tcW w:w="932"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20</w:t>
            </w:r>
          </w:p>
        </w:tc>
        <w:tc>
          <w:tcPr>
            <w:tcW w:w="739" w:type="pct"/>
            <w:gridSpan w:val="2"/>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rPr>
              <w:t>二苯并(a，h)蒽</w:t>
            </w:r>
          </w:p>
        </w:tc>
        <w:tc>
          <w:tcPr>
            <w:tcW w:w="932"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4"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w:t>
            </w:r>
            <w:r>
              <w:rPr>
                <w:rFonts w:hint="default" w:ascii="Times New Roman" w:hAnsi="Times New Roman" w:eastAsia="宋体" w:cs="Times New Roman"/>
                <w:b w:val="0"/>
                <w:bCs/>
                <w:color w:val="auto"/>
                <w:sz w:val="21"/>
                <w:szCs w:val="21"/>
                <w:highlight w:val="none"/>
                <w:vertAlign w:val="baseline"/>
                <w:lang w:val="en-US" w:eastAsia="zh-CN"/>
              </w:rPr>
              <w:t>1</w:t>
            </w:r>
          </w:p>
        </w:tc>
        <w:tc>
          <w:tcPr>
            <w:tcW w:w="739" w:type="pct"/>
            <w:gridSpan w:val="2"/>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rPr>
              <w:t>茚并(1,2,3-cd)芘</w:t>
            </w:r>
          </w:p>
        </w:tc>
        <w:tc>
          <w:tcPr>
            <w:tcW w:w="932"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22</w:t>
            </w:r>
          </w:p>
        </w:tc>
        <w:tc>
          <w:tcPr>
            <w:tcW w:w="739" w:type="pct"/>
            <w:gridSpan w:val="2"/>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rPr>
              <w:t>萘</w:t>
            </w:r>
          </w:p>
        </w:tc>
        <w:tc>
          <w:tcPr>
            <w:tcW w:w="932" w:type="pct"/>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bl>
    <w:p>
      <w:pPr>
        <w:rPr>
          <w:rFonts w:hint="eastAsia"/>
          <w:lang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lang w:val="en-US" w:eastAsia="zh-CN"/>
        </w:rPr>
      </w:pPr>
      <w:r>
        <w:rPr>
          <w:rFonts w:hint="default" w:ascii="Times New Roman" w:hAnsi="Times New Roman" w:eastAsia="宋体" w:cs="Times New Roman"/>
          <w:b/>
          <w:color w:val="auto"/>
          <w:sz w:val="28"/>
          <w:szCs w:val="28"/>
          <w:highlight w:val="none"/>
          <w:lang w:val="en-US" w:eastAsia="zh-CN"/>
        </w:rPr>
        <w:t>表</w:t>
      </w:r>
      <w:r>
        <w:rPr>
          <w:rFonts w:hint="eastAsia" w:ascii="Times New Roman" w:hAnsi="Times New Roman" w:eastAsia="宋体" w:cs="Times New Roman"/>
          <w:b/>
          <w:color w:val="auto"/>
          <w:sz w:val="28"/>
          <w:szCs w:val="28"/>
          <w:highlight w:val="none"/>
          <w:lang w:val="en-US" w:eastAsia="zh-CN"/>
        </w:rPr>
        <w:t>6土壤</w:t>
      </w:r>
      <w:r>
        <w:rPr>
          <w:rFonts w:hint="default" w:ascii="Times New Roman" w:hAnsi="Times New Roman" w:eastAsia="宋体" w:cs="Times New Roman"/>
          <w:b/>
          <w:color w:val="auto"/>
          <w:sz w:val="28"/>
          <w:szCs w:val="28"/>
          <w:highlight w:val="none"/>
          <w:lang w:val="en-US" w:eastAsia="zh-CN"/>
        </w:rPr>
        <w:t>检测结果</w:t>
      </w:r>
    </w:p>
    <w:tbl>
      <w:tblPr>
        <w:tblStyle w:val="18"/>
        <w:tblW w:w="4994"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63"/>
        <w:gridCol w:w="1561"/>
        <w:gridCol w:w="1092"/>
        <w:gridCol w:w="1092"/>
        <w:gridCol w:w="1092"/>
        <w:gridCol w:w="1092"/>
        <w:gridCol w:w="110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编号</w:t>
            </w:r>
          </w:p>
        </w:tc>
        <w:tc>
          <w:tcPr>
            <w:tcW w:w="62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检测项目</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916" w:type="pct"/>
            <w:vMerge w:val="restart"/>
            <w:tcBorders>
              <w:tl2br w:val="nil"/>
              <w:tr2bl w:val="nil"/>
            </w:tcBorders>
            <w:noWrap w:val="0"/>
            <w:vAlign w:val="center"/>
            <mc:AlternateContent>
              <mc:Choice Requires="wpsCustomData">
                <wpsCustomData:diagonals>
                  <wpsCustomData:diagonal from="30000" to="4100">
                    <wpsCustomData:border w:val="single" w:color="auto" w:sz="4" w:space="0"/>
                  </wpsCustomData:diagonal>
                  <wpsCustomData:diagonal from="30000" to="132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样品编号</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检测点位及取样日期</w:t>
            </w:r>
          </w:p>
        </w:tc>
        <w:tc>
          <w:tcPr>
            <w:tcW w:w="3209" w:type="pct"/>
            <w:gridSpan w:val="5"/>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2022.7.13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6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9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641"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1#油泥库房西侧深层样</w:t>
            </w:r>
          </w:p>
        </w:tc>
        <w:tc>
          <w:tcPr>
            <w:tcW w:w="641"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2#生产车间南侧表层样</w:t>
            </w:r>
          </w:p>
        </w:tc>
        <w:tc>
          <w:tcPr>
            <w:tcW w:w="641"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3#储罐区北侧深层样</w:t>
            </w:r>
          </w:p>
        </w:tc>
        <w:tc>
          <w:tcPr>
            <w:tcW w:w="641"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4#厂界北侧表层样</w:t>
            </w:r>
          </w:p>
        </w:tc>
        <w:tc>
          <w:tcPr>
            <w:tcW w:w="1100" w:type="dxa"/>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5#厂界南侧表层样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624"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91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641"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DW093040713-深层-VOCs</w:t>
            </w:r>
          </w:p>
        </w:tc>
        <w:tc>
          <w:tcPr>
            <w:tcW w:w="641"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DW093050713-表层-VOCs</w:t>
            </w:r>
          </w:p>
        </w:tc>
        <w:tc>
          <w:tcPr>
            <w:tcW w:w="641"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DW093060713-深层-VOCs</w:t>
            </w:r>
          </w:p>
        </w:tc>
        <w:tc>
          <w:tcPr>
            <w:tcW w:w="641"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DW093070713-表层-VOCs</w:t>
            </w:r>
          </w:p>
        </w:tc>
        <w:tc>
          <w:tcPr>
            <w:tcW w:w="1100" w:type="dxa"/>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DW093080713-表层-VOCs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624"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rPr>
              <w:t>四氯化碳</w:t>
            </w:r>
          </w:p>
        </w:tc>
        <w:tc>
          <w:tcPr>
            <w:tcW w:w="916" w:type="pct"/>
            <w:noWrap w:val="0"/>
            <w:vAlign w:val="center"/>
          </w:tcPr>
          <w:p>
            <w:pPr>
              <w:spacing w:line="240" w:lineRule="auto"/>
              <w:jc w:val="center"/>
              <w:rPr>
                <w:rFonts w:hint="default" w:ascii="Times New Roman" w:hAnsi="Times New Roman" w:eastAsia="宋体" w:cs="Times New Roman"/>
                <w:color w:val="000000"/>
                <w:kern w:val="2"/>
                <w:sz w:val="21"/>
                <w:szCs w:val="21"/>
                <w:u w:val="none"/>
                <w:lang w:val="en-US" w:eastAsia="zh-CN" w:bidi="ar-SA"/>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w:t>
            </w:r>
          </w:p>
        </w:tc>
        <w:tc>
          <w:tcPr>
            <w:tcW w:w="624" w:type="pct"/>
            <w:noWrap w:val="0"/>
            <w:vAlign w:val="center"/>
          </w:tcPr>
          <w:p>
            <w:pPr>
              <w:jc w:val="center"/>
              <w:rPr>
                <w:rFonts w:hint="default"/>
                <w:kern w:val="2"/>
                <w:sz w:val="21"/>
                <w:szCs w:val="24"/>
                <w:lang w:val="en-US" w:eastAsia="zh-CN" w:bidi="ar-SA"/>
              </w:rPr>
            </w:pPr>
            <w:r>
              <w:rPr>
                <w:rFonts w:hint="eastAsia"/>
              </w:rPr>
              <w:t>氯仿</w:t>
            </w:r>
          </w:p>
        </w:tc>
        <w:tc>
          <w:tcPr>
            <w:tcW w:w="916" w:type="pct"/>
            <w:noWrap w:val="0"/>
            <w:vAlign w:val="center"/>
          </w:tcPr>
          <w:p>
            <w:pPr>
              <w:spacing w:line="240" w:lineRule="auto"/>
              <w:jc w:val="center"/>
              <w:rPr>
                <w:rFonts w:hint="default" w:ascii="Times New Roman" w:hAnsi="Times New Roman" w:eastAsia="宋体" w:cs="Times New Roman"/>
                <w:color w:val="000000"/>
                <w:kern w:val="2"/>
                <w:sz w:val="21"/>
                <w:szCs w:val="21"/>
                <w:u w:val="none"/>
                <w:lang w:val="en-US" w:eastAsia="zh-CN" w:bidi="ar-SA"/>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3</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kern w:val="2"/>
                <w:sz w:val="21"/>
                <w:szCs w:val="24"/>
                <w:lang w:val="en-US" w:eastAsia="zh-CN" w:bidi="ar-SA"/>
              </w:rPr>
            </w:pPr>
            <w:r>
              <w:rPr>
                <w:rFonts w:hint="eastAsia"/>
              </w:rPr>
              <w:t>氯甲烷</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eastAsia="宋体"/>
                <w:kern w:val="2"/>
                <w:sz w:val="21"/>
                <w:szCs w:val="24"/>
                <w:lang w:val="en-US" w:eastAsia="zh-CN" w:bidi="ar-SA"/>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kern w:val="2"/>
                <w:sz w:val="21"/>
                <w:szCs w:val="24"/>
                <w:lang w:val="en-US" w:eastAsia="zh-CN" w:bidi="ar-SA"/>
              </w:rPr>
            </w:pPr>
            <w:r>
              <w:rPr>
                <w:rFonts w:hint="eastAsia"/>
              </w:rPr>
              <w:t>1,1-二氯乙烷</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5</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kern w:val="2"/>
                <w:sz w:val="21"/>
                <w:szCs w:val="24"/>
                <w:lang w:val="en-US" w:eastAsia="zh-CN" w:bidi="ar-SA"/>
              </w:rPr>
            </w:pPr>
            <w:r>
              <w:rPr>
                <w:rFonts w:hint="eastAsia"/>
              </w:rPr>
              <w:t>1,2-二氯乙烷</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6</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rPr>
              <w:t>1,1-二氯乙烯</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7</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rPr>
              <w:t>顺-1,2-二氯乙烯</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8</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rPr>
              <w:t>反-1,2-二氯乙烯</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9</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auto"/>
                <w:kern w:val="0"/>
                <w:sz w:val="21"/>
                <w:szCs w:val="21"/>
                <w:u w:val="none"/>
                <w:lang w:val="en-US" w:eastAsia="zh-CN" w:bidi="ar"/>
              </w:rPr>
            </w:pPr>
            <w:r>
              <w:rPr>
                <w:rFonts w:hint="eastAsia"/>
              </w:rPr>
              <w:t>二氯甲烷</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10</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auto"/>
                <w:kern w:val="0"/>
                <w:sz w:val="21"/>
                <w:szCs w:val="21"/>
                <w:u w:val="none"/>
                <w:lang w:val="en-US" w:eastAsia="zh-CN" w:bidi="ar"/>
              </w:rPr>
            </w:pPr>
            <w:r>
              <w:rPr>
                <w:rFonts w:hint="eastAsia"/>
              </w:rPr>
              <w:t>1,2-二氯丙烷</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11</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rPr>
              <w:t>1,1,1,2,-四氯乙烷</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12</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auto"/>
                <w:kern w:val="0"/>
                <w:sz w:val="21"/>
                <w:szCs w:val="21"/>
                <w:u w:val="none"/>
                <w:lang w:val="en-US" w:eastAsia="zh-CN" w:bidi="ar"/>
              </w:rPr>
            </w:pPr>
            <w:r>
              <w:rPr>
                <w:rFonts w:hint="eastAsia"/>
              </w:rPr>
              <w:t>1,1,2,2,-四氯乙烷</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13</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auto"/>
                <w:kern w:val="0"/>
                <w:sz w:val="21"/>
                <w:szCs w:val="21"/>
                <w:u w:val="none"/>
                <w:lang w:val="en-US" w:eastAsia="zh-CN" w:bidi="ar"/>
              </w:rPr>
            </w:pPr>
            <w:r>
              <w:rPr>
                <w:rFonts w:hint="eastAsia"/>
              </w:rPr>
              <w:t>四氯乙烯</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14</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rPr>
              <w:t>1,1,1-三氯乙烷</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15</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rPr>
              <w:t>1,1,2-三氯乙烷</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16</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rPr>
              <w:t>三氯乙烯</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17</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auto"/>
                <w:kern w:val="0"/>
                <w:sz w:val="21"/>
                <w:szCs w:val="21"/>
                <w:u w:val="none"/>
                <w:lang w:val="en-US" w:eastAsia="zh-CN" w:bidi="ar"/>
              </w:rPr>
            </w:pPr>
            <w:r>
              <w:rPr>
                <w:rFonts w:hint="eastAsia"/>
              </w:rPr>
              <w:t>1,2,3-三氯丙烷</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18</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auto"/>
                <w:kern w:val="0"/>
                <w:sz w:val="21"/>
                <w:szCs w:val="21"/>
                <w:u w:val="none"/>
                <w:lang w:val="en-US" w:eastAsia="zh-CN" w:bidi="ar"/>
              </w:rPr>
            </w:pPr>
            <w:r>
              <w:rPr>
                <w:rFonts w:hint="eastAsia"/>
              </w:rPr>
              <w:t>氯乙烯</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19</w:t>
            </w:r>
          </w:p>
        </w:tc>
        <w:tc>
          <w:tcPr>
            <w:tcW w:w="62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auto"/>
                <w:kern w:val="0"/>
                <w:sz w:val="21"/>
                <w:szCs w:val="21"/>
                <w:u w:val="none"/>
                <w:lang w:val="en-US" w:eastAsia="zh-CN" w:bidi="ar"/>
              </w:rPr>
            </w:pPr>
            <w:r>
              <w:rPr>
                <w:rFonts w:hint="eastAsia"/>
              </w:rPr>
              <w:t>苯</w:t>
            </w:r>
          </w:p>
        </w:tc>
        <w:tc>
          <w:tcPr>
            <w:tcW w:w="91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bl>
    <w:p>
      <w:pPr>
        <w:pStyle w:val="2"/>
        <w:rPr>
          <w:rFonts w:hint="eastAsia"/>
          <w:lang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lang w:val="en-US" w:eastAsia="zh-CN"/>
        </w:rPr>
      </w:pPr>
      <w:r>
        <w:rPr>
          <w:rFonts w:hint="default" w:ascii="Times New Roman" w:hAnsi="Times New Roman" w:eastAsia="宋体" w:cs="Times New Roman"/>
          <w:b/>
          <w:color w:val="auto"/>
          <w:sz w:val="28"/>
          <w:szCs w:val="28"/>
          <w:highlight w:val="none"/>
          <w:lang w:val="en-US" w:eastAsia="zh-CN"/>
        </w:rPr>
        <w:t>表</w:t>
      </w:r>
      <w:r>
        <w:rPr>
          <w:rFonts w:hint="eastAsia" w:ascii="Times New Roman" w:hAnsi="Times New Roman" w:eastAsia="宋体" w:cs="Times New Roman"/>
          <w:b/>
          <w:color w:val="auto"/>
          <w:sz w:val="28"/>
          <w:szCs w:val="28"/>
          <w:highlight w:val="none"/>
          <w:lang w:val="en-US" w:eastAsia="zh-CN"/>
        </w:rPr>
        <w:t>7土壤</w:t>
      </w:r>
      <w:r>
        <w:rPr>
          <w:rFonts w:hint="default" w:ascii="Times New Roman" w:hAnsi="Times New Roman" w:eastAsia="宋体" w:cs="Times New Roman"/>
          <w:b/>
          <w:color w:val="auto"/>
          <w:sz w:val="28"/>
          <w:szCs w:val="28"/>
          <w:highlight w:val="none"/>
          <w:lang w:val="en-US" w:eastAsia="zh-CN"/>
        </w:rPr>
        <w:t>检测结果</w:t>
      </w:r>
    </w:p>
    <w:tbl>
      <w:tblPr>
        <w:tblStyle w:val="18"/>
        <w:tblW w:w="4994"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89"/>
        <w:gridCol w:w="1503"/>
        <w:gridCol w:w="1057"/>
        <w:gridCol w:w="1057"/>
        <w:gridCol w:w="1057"/>
        <w:gridCol w:w="1057"/>
        <w:gridCol w:w="106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编号</w:t>
            </w:r>
          </w:p>
        </w:tc>
        <w:tc>
          <w:tcPr>
            <w:tcW w:w="75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检测项目</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884" w:type="pct"/>
            <w:vMerge w:val="restart"/>
            <w:tcBorders>
              <w:tl2br w:val="nil"/>
              <w:tr2bl w:val="nil"/>
            </w:tcBorders>
            <w:noWrap w:val="0"/>
            <w:vAlign w:val="center"/>
            <mc:AlternateContent>
              <mc:Choice Requires="wpsCustomData">
                <wpsCustomData:diagonals>
                  <wpsCustomData:diagonal from="30000" to="4100">
                    <wpsCustomData:border w:val="single" w:color="auto" w:sz="4" w:space="0"/>
                  </wpsCustomData:diagonal>
                  <wpsCustomData:diagonal from="30000" to="132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样品编号</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检测点位及取样日期</w:t>
            </w:r>
          </w:p>
        </w:tc>
        <w:tc>
          <w:tcPr>
            <w:tcW w:w="3107" w:type="pct"/>
            <w:gridSpan w:val="5"/>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2022.7.13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5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8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621"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1#油泥库房西侧深层样</w:t>
            </w:r>
          </w:p>
        </w:tc>
        <w:tc>
          <w:tcPr>
            <w:tcW w:w="621"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2#生产车间南侧表层样</w:t>
            </w:r>
          </w:p>
        </w:tc>
        <w:tc>
          <w:tcPr>
            <w:tcW w:w="621"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3#储罐区北侧深层样</w:t>
            </w:r>
          </w:p>
        </w:tc>
        <w:tc>
          <w:tcPr>
            <w:tcW w:w="621"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4#厂界北侧表层样</w:t>
            </w:r>
          </w:p>
        </w:tc>
        <w:tc>
          <w:tcPr>
            <w:tcW w:w="623"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5#厂界南侧表层样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758"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884"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621"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DW093040713-深层-VOCs</w:t>
            </w:r>
          </w:p>
        </w:tc>
        <w:tc>
          <w:tcPr>
            <w:tcW w:w="621"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DW093050713-表层-VOCs</w:t>
            </w:r>
          </w:p>
        </w:tc>
        <w:tc>
          <w:tcPr>
            <w:tcW w:w="621"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DW093060713-深层-VOCs</w:t>
            </w:r>
          </w:p>
        </w:tc>
        <w:tc>
          <w:tcPr>
            <w:tcW w:w="621"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DW093070713-表层-VOCs</w:t>
            </w:r>
          </w:p>
        </w:tc>
        <w:tc>
          <w:tcPr>
            <w:tcW w:w="623"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DW093080713-表层-VOCs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0"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758"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eastAsia"/>
              </w:rPr>
              <w:t>氯苯</w:t>
            </w:r>
          </w:p>
        </w:tc>
        <w:tc>
          <w:tcPr>
            <w:tcW w:w="884"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w:t>
            </w:r>
          </w:p>
        </w:tc>
        <w:tc>
          <w:tcPr>
            <w:tcW w:w="75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eastAsia"/>
              </w:rPr>
              <w:t>1,2-二氯苯</w:t>
            </w:r>
          </w:p>
        </w:tc>
        <w:tc>
          <w:tcPr>
            <w:tcW w:w="88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3</w:t>
            </w:r>
          </w:p>
        </w:tc>
        <w:tc>
          <w:tcPr>
            <w:tcW w:w="75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rPr>
              <w:t>1,4-二氯苯</w:t>
            </w:r>
          </w:p>
        </w:tc>
        <w:tc>
          <w:tcPr>
            <w:tcW w:w="88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w:t>
            </w:r>
          </w:p>
        </w:tc>
        <w:tc>
          <w:tcPr>
            <w:tcW w:w="75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rPr>
              <w:t>乙苯</w:t>
            </w:r>
          </w:p>
        </w:tc>
        <w:tc>
          <w:tcPr>
            <w:tcW w:w="88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5</w:t>
            </w:r>
          </w:p>
        </w:tc>
        <w:tc>
          <w:tcPr>
            <w:tcW w:w="75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rPr>
              <w:t>苯乙烯</w:t>
            </w:r>
          </w:p>
        </w:tc>
        <w:tc>
          <w:tcPr>
            <w:tcW w:w="88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6</w:t>
            </w:r>
          </w:p>
        </w:tc>
        <w:tc>
          <w:tcPr>
            <w:tcW w:w="75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rPr>
              <w:t>甲苯</w:t>
            </w:r>
          </w:p>
        </w:tc>
        <w:tc>
          <w:tcPr>
            <w:tcW w:w="88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7</w:t>
            </w:r>
          </w:p>
        </w:tc>
        <w:tc>
          <w:tcPr>
            <w:tcW w:w="75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rPr>
              <w:t>间二甲苯+对二甲苯</w:t>
            </w:r>
          </w:p>
        </w:tc>
        <w:tc>
          <w:tcPr>
            <w:tcW w:w="88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8</w:t>
            </w:r>
          </w:p>
        </w:tc>
        <w:tc>
          <w:tcPr>
            <w:tcW w:w="75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rPr>
              <w:t>邻二甲苯</w:t>
            </w:r>
          </w:p>
        </w:tc>
        <w:tc>
          <w:tcPr>
            <w:tcW w:w="88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Style w:val="44"/>
                <w:rFonts w:hint="default" w:ascii="Times New Roman" w:hAnsi="Times New Roman" w:eastAsia="宋体" w:cs="Times New Roman"/>
                <w:sz w:val="21"/>
                <w:szCs w:val="21"/>
              </w:rPr>
              <w:t>μg</w:t>
            </w:r>
            <w:r>
              <w:rPr>
                <w:rFonts w:hint="default" w:ascii="Times New Roman" w:hAnsi="Times New Roman" w:eastAsia="宋体" w:cs="Times New Roman"/>
                <w:i w:val="0"/>
                <w:color w:val="auto"/>
                <w:kern w:val="0"/>
                <w:sz w:val="21"/>
                <w:szCs w:val="21"/>
                <w:highlight w:val="none"/>
                <w:u w:val="none"/>
                <w:lang w:val="en-US" w:eastAsia="zh-CN" w:bidi="ar"/>
              </w:rPr>
              <w:t>/kg</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未检出</w:t>
            </w:r>
          </w:p>
        </w:tc>
      </w:tr>
    </w:tbl>
    <w:p>
      <w:pPr>
        <w:pStyle w:val="2"/>
        <w:ind w:left="0" w:leftChars="0" w:firstLine="480" w:firstLineChars="200"/>
        <w:rPr>
          <w:rFonts w:hint="eastAsia"/>
          <w:lang w:val="en-US" w:eastAsia="zh-CN"/>
        </w:rPr>
      </w:pPr>
      <w:r>
        <w:rPr>
          <w:rFonts w:hint="eastAsia"/>
          <w:lang w:eastAsia="zh-CN"/>
        </w:rPr>
        <w:t>由上表</w:t>
      </w:r>
      <w:r>
        <w:rPr>
          <w:rFonts w:hint="eastAsia"/>
          <w:lang w:val="en-US" w:eastAsia="zh-CN"/>
        </w:rPr>
        <w:t>检测数据可知，该公司各生产隐患单元经防护措施处理后，对土壤及地下水的污染影响较小。</w:t>
      </w:r>
      <w:bookmarkStart w:id="29" w:name="_GoBack"/>
      <w:bookmarkEnd w:id="29"/>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30"/>
        <w:tabs>
          <w:tab w:val="clear" w:pos="0"/>
        </w:tabs>
        <w:adjustRightInd/>
        <w:snapToGrid/>
        <w:spacing w:before="0" w:after="0" w:line="360" w:lineRule="auto"/>
        <w:rPr>
          <w:rFonts w:hint="default" w:ascii="Times New Roman" w:hAnsi="Times New Roman" w:eastAsia="宋体" w:cs="Times New Roman"/>
          <w:b/>
          <w:bCs/>
          <w:color w:val="auto"/>
          <w:lang w:val="en-US" w:eastAsia="zh-CN"/>
        </w:rPr>
      </w:pPr>
      <w:bookmarkStart w:id="28" w:name="_Toc15284"/>
      <w:r>
        <w:rPr>
          <w:rFonts w:hint="eastAsia" w:ascii="Times New Roman" w:hAnsi="Times New Roman" w:eastAsia="宋体" w:cs="Times New Roman"/>
          <w:b/>
          <w:bCs/>
          <w:color w:val="auto"/>
          <w:lang w:eastAsia="zh-CN"/>
        </w:rPr>
        <w:t>十、</w:t>
      </w:r>
      <w:r>
        <w:rPr>
          <w:rFonts w:hint="eastAsia" w:ascii="Times New Roman" w:hAnsi="Times New Roman" w:eastAsia="宋体" w:cs="Times New Roman"/>
          <w:b/>
          <w:bCs/>
          <w:color w:val="auto"/>
          <w:lang w:val="en-US" w:eastAsia="zh-CN"/>
        </w:rPr>
        <w:t>结论</w:t>
      </w:r>
      <w:bookmarkEnd w:id="28"/>
    </w:p>
    <w:p>
      <w:pPr>
        <w:spacing w:line="360" w:lineRule="auto"/>
        <w:ind w:firstLine="480" w:firstLineChars="200"/>
        <w:rPr>
          <w:rFonts w:hint="default"/>
          <w:sz w:val="24"/>
          <w:szCs w:val="24"/>
          <w:lang w:val="en-US" w:eastAsia="zh-CN"/>
        </w:rPr>
      </w:pPr>
      <w:r>
        <w:rPr>
          <w:rFonts w:hint="eastAsia"/>
          <w:sz w:val="24"/>
          <w:szCs w:val="24"/>
          <w:lang w:val="en-US" w:eastAsia="zh-CN"/>
        </w:rPr>
        <w:t>根据监测报告数据可知，该公司土壤1#油泥库房西侧深层样、2#生产车间南侧表层样、3#储罐区北侧深层样、4#厂界北侧表层样、5#厂界南侧表层样点位中各监测因子均符合《土壤环境质量建设用地土壤污染风险管控标准（试行）》（GB36600-2018）标准限值要求；地下水1#厂区北侧水井；2#厂区南侧水井；3#坟台村白加文家水井点位中各监测因子均符合《地下水质量标准》（GB/T 14848）标准限值要求。</w:t>
      </w:r>
    </w:p>
    <w:sectPr>
      <w:pgSz w:w="11906" w:h="16838"/>
      <w:pgMar w:top="1440" w:right="1803" w:bottom="1440" w:left="180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II</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II</w:t>
                    </w:r>
                    <w:r>
                      <w:fldChar w:fldCharType="end"/>
                    </w:r>
                    <w:r>
                      <w:t xml:space="preserve"> 页 共 </w:t>
                    </w:r>
                    <w:r>
                      <w:rPr>
                        <w:rFonts w:hint="eastAsia"/>
                        <w:lang w:val="en-US" w:eastAsia="zh-CN"/>
                      </w:rPr>
                      <w:t>16</w:t>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eastAsia="zh-CN"/>
      </w:rPr>
    </w:pP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pPr>
                          <w:r>
                            <w:t xml:space="preserve">第 </w:t>
                          </w:r>
                          <w:r>
                            <w:fldChar w:fldCharType="begin"/>
                          </w:r>
                          <w:r>
                            <w:instrText xml:space="preserve"> PAGE  \* MERGEFORMAT </w:instrText>
                          </w:r>
                          <w:r>
                            <w:fldChar w:fldCharType="separate"/>
                          </w:r>
                          <w:r>
                            <w:t>2</w:t>
                          </w:r>
                          <w:r>
                            <w:fldChar w:fldCharType="end"/>
                          </w:r>
                          <w:r>
                            <w:t xml:space="preserve"> 页 </w:t>
                          </w:r>
                          <w:r>
                            <w:rPr>
                              <w:rFonts w:hint="eastAsia"/>
                              <w:lang w:val="en-US" w:eastAsia="zh-CN"/>
                            </w:rPr>
                            <w:t>23</w:t>
                          </w:r>
                          <w:r>
                            <w:t>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ns3SLSAQAAow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pikcRi7DZZcdgNE7Wda0/I&#10;rMcVaKjFjadEP1pUOG3LbITZ2M3GwQe17/I6pVbAvztEbCd3mSqMsFNhnF3mOe1ZWo6//Zz1/G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yezdItIBAACjAwAADgAAAAAAAAABACAAAAAi&#10;AQAAZHJzL2Uyb0RvYy54bWxQSwUGAAAAAAYABgBZAQAAZgUAAAAA&#10;">
              <v:fill on="f" focussize="0,0"/>
              <v:stroke on="f" weight="1.2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2</w:t>
                    </w:r>
                    <w:r>
                      <w:fldChar w:fldCharType="end"/>
                    </w:r>
                    <w:r>
                      <w:t xml:space="preserve"> 页 </w:t>
                    </w:r>
                    <w:r>
                      <w:rPr>
                        <w:rFonts w:hint="eastAsia"/>
                        <w:lang w:val="en-US" w:eastAsia="zh-CN"/>
                      </w:rPr>
                      <w:t>23</w:t>
                    </w:r>
                    <w:r>
                      <w:t>页</w:t>
                    </w:r>
                  </w:p>
                </w:txbxContent>
              </v:textbox>
            </v:shape>
          </w:pict>
        </mc:Fallback>
      </mc:AlternateContent>
    </w:r>
  </w:p>
  <w:p>
    <w:pPr>
      <w:jc w:val="right"/>
      <w:rPr>
        <w:rFonts w:hint="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Ansi="宋体"/>
      </w:rPr>
    </w:pPr>
    <w:r>
      <w:rPr>
        <w:rFonts w:hint="eastAsia" w:hAnsi="宋体"/>
        <w:lang w:eastAsia="zh-CN"/>
      </w:rPr>
      <w:t>桐柏润祥工贸有限公司</w:t>
    </w:r>
    <w:r>
      <w:rPr>
        <w:rFonts w:hint="eastAsia" w:hAnsi="宋体"/>
      </w:rPr>
      <w:t>土壤及地下水自行监测方案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lYjA1NzhlNDc0ZGY3MDkxYWIzOGNhNzkzNTQxODYifQ=="/>
  </w:docVars>
  <w:rsids>
    <w:rsidRoot w:val="00552751"/>
    <w:rsid w:val="00000217"/>
    <w:rsid w:val="00000434"/>
    <w:rsid w:val="00011516"/>
    <w:rsid w:val="00040B3C"/>
    <w:rsid w:val="00053C20"/>
    <w:rsid w:val="0006312C"/>
    <w:rsid w:val="000638B5"/>
    <w:rsid w:val="0007388D"/>
    <w:rsid w:val="00075F44"/>
    <w:rsid w:val="000A0BB9"/>
    <w:rsid w:val="000B5AA7"/>
    <w:rsid w:val="000D7136"/>
    <w:rsid w:val="000F1FE8"/>
    <w:rsid w:val="0012657F"/>
    <w:rsid w:val="001756B3"/>
    <w:rsid w:val="0019574C"/>
    <w:rsid w:val="0020407B"/>
    <w:rsid w:val="002311AA"/>
    <w:rsid w:val="0025362F"/>
    <w:rsid w:val="00254686"/>
    <w:rsid w:val="002B3539"/>
    <w:rsid w:val="002E135E"/>
    <w:rsid w:val="00316BE5"/>
    <w:rsid w:val="00326828"/>
    <w:rsid w:val="00340FA2"/>
    <w:rsid w:val="00367C73"/>
    <w:rsid w:val="003C5BE0"/>
    <w:rsid w:val="003E1368"/>
    <w:rsid w:val="00410DBA"/>
    <w:rsid w:val="00481A84"/>
    <w:rsid w:val="004C2CCF"/>
    <w:rsid w:val="00533161"/>
    <w:rsid w:val="00552751"/>
    <w:rsid w:val="00561F8D"/>
    <w:rsid w:val="00563CAF"/>
    <w:rsid w:val="0068251A"/>
    <w:rsid w:val="00685F8F"/>
    <w:rsid w:val="006B10B7"/>
    <w:rsid w:val="006B4157"/>
    <w:rsid w:val="0071332D"/>
    <w:rsid w:val="00725194"/>
    <w:rsid w:val="00766F4E"/>
    <w:rsid w:val="00780052"/>
    <w:rsid w:val="00792EF2"/>
    <w:rsid w:val="007A3AA3"/>
    <w:rsid w:val="007B0278"/>
    <w:rsid w:val="00853A43"/>
    <w:rsid w:val="008620D7"/>
    <w:rsid w:val="008A34D9"/>
    <w:rsid w:val="008C0C61"/>
    <w:rsid w:val="008C4534"/>
    <w:rsid w:val="008E2734"/>
    <w:rsid w:val="00946BDB"/>
    <w:rsid w:val="00947E90"/>
    <w:rsid w:val="00963A12"/>
    <w:rsid w:val="009673F3"/>
    <w:rsid w:val="009837F8"/>
    <w:rsid w:val="00992352"/>
    <w:rsid w:val="009F38A8"/>
    <w:rsid w:val="00A16942"/>
    <w:rsid w:val="00A31F11"/>
    <w:rsid w:val="00A96FC2"/>
    <w:rsid w:val="00AA462D"/>
    <w:rsid w:val="00B25A2D"/>
    <w:rsid w:val="00BB3E04"/>
    <w:rsid w:val="00C13655"/>
    <w:rsid w:val="00C50F69"/>
    <w:rsid w:val="00CB4774"/>
    <w:rsid w:val="00CB71E9"/>
    <w:rsid w:val="00CE3B0A"/>
    <w:rsid w:val="00D46E07"/>
    <w:rsid w:val="00D5197D"/>
    <w:rsid w:val="00D5714C"/>
    <w:rsid w:val="00DB2C3A"/>
    <w:rsid w:val="00DF3B41"/>
    <w:rsid w:val="00E55D0B"/>
    <w:rsid w:val="00E92572"/>
    <w:rsid w:val="00EA1634"/>
    <w:rsid w:val="00F073E9"/>
    <w:rsid w:val="00FA409E"/>
    <w:rsid w:val="00FE17C6"/>
    <w:rsid w:val="00FF0FD5"/>
    <w:rsid w:val="00FF7F46"/>
    <w:rsid w:val="026B1259"/>
    <w:rsid w:val="02E10ED7"/>
    <w:rsid w:val="03535ED0"/>
    <w:rsid w:val="04926606"/>
    <w:rsid w:val="05202571"/>
    <w:rsid w:val="05ED602D"/>
    <w:rsid w:val="06395F46"/>
    <w:rsid w:val="0671705A"/>
    <w:rsid w:val="0699105D"/>
    <w:rsid w:val="07457569"/>
    <w:rsid w:val="0765056A"/>
    <w:rsid w:val="077427CF"/>
    <w:rsid w:val="07866556"/>
    <w:rsid w:val="079F38F7"/>
    <w:rsid w:val="08DE6D73"/>
    <w:rsid w:val="09207EA3"/>
    <w:rsid w:val="092B60B3"/>
    <w:rsid w:val="09432977"/>
    <w:rsid w:val="09977803"/>
    <w:rsid w:val="0A0F49BB"/>
    <w:rsid w:val="0A2E4A30"/>
    <w:rsid w:val="0AFE6524"/>
    <w:rsid w:val="0C746AC4"/>
    <w:rsid w:val="0CE57DD1"/>
    <w:rsid w:val="0D2A20C4"/>
    <w:rsid w:val="0D366982"/>
    <w:rsid w:val="0DE10B00"/>
    <w:rsid w:val="0EA04B01"/>
    <w:rsid w:val="0FB115E1"/>
    <w:rsid w:val="0FDB5272"/>
    <w:rsid w:val="100B7A68"/>
    <w:rsid w:val="1033163B"/>
    <w:rsid w:val="10347146"/>
    <w:rsid w:val="10CD52E9"/>
    <w:rsid w:val="121511E1"/>
    <w:rsid w:val="12CE4417"/>
    <w:rsid w:val="133959EA"/>
    <w:rsid w:val="13434F53"/>
    <w:rsid w:val="13B103A3"/>
    <w:rsid w:val="140A025E"/>
    <w:rsid w:val="14343305"/>
    <w:rsid w:val="14F127F2"/>
    <w:rsid w:val="154D5D2B"/>
    <w:rsid w:val="15AF321A"/>
    <w:rsid w:val="15DF4366"/>
    <w:rsid w:val="15EE7D7F"/>
    <w:rsid w:val="1633057F"/>
    <w:rsid w:val="167E1999"/>
    <w:rsid w:val="16F93979"/>
    <w:rsid w:val="17F6226D"/>
    <w:rsid w:val="1980041E"/>
    <w:rsid w:val="19855AE2"/>
    <w:rsid w:val="1A637516"/>
    <w:rsid w:val="1AED5F15"/>
    <w:rsid w:val="1BFC4C97"/>
    <w:rsid w:val="1CE01ECC"/>
    <w:rsid w:val="1D5A0FB9"/>
    <w:rsid w:val="1D881B8B"/>
    <w:rsid w:val="1DC84DD5"/>
    <w:rsid w:val="1DDE7C3B"/>
    <w:rsid w:val="1DFF73D8"/>
    <w:rsid w:val="1E075E82"/>
    <w:rsid w:val="1ECB29D3"/>
    <w:rsid w:val="1F0112D9"/>
    <w:rsid w:val="1F197B00"/>
    <w:rsid w:val="1F361877"/>
    <w:rsid w:val="1FED78E2"/>
    <w:rsid w:val="205150D8"/>
    <w:rsid w:val="20E60C8B"/>
    <w:rsid w:val="21096388"/>
    <w:rsid w:val="211B2BE5"/>
    <w:rsid w:val="21661328"/>
    <w:rsid w:val="217553A6"/>
    <w:rsid w:val="218617B3"/>
    <w:rsid w:val="21A90C6B"/>
    <w:rsid w:val="22BE2F8B"/>
    <w:rsid w:val="23392CA4"/>
    <w:rsid w:val="235A3C5F"/>
    <w:rsid w:val="243D7156"/>
    <w:rsid w:val="247B2D9C"/>
    <w:rsid w:val="252243D3"/>
    <w:rsid w:val="25361DCB"/>
    <w:rsid w:val="26AC6252"/>
    <w:rsid w:val="272E0129"/>
    <w:rsid w:val="27C72314"/>
    <w:rsid w:val="291D7050"/>
    <w:rsid w:val="296F1718"/>
    <w:rsid w:val="2A125DD4"/>
    <w:rsid w:val="2AF75C96"/>
    <w:rsid w:val="2B32236C"/>
    <w:rsid w:val="2B554A7A"/>
    <w:rsid w:val="2B560404"/>
    <w:rsid w:val="2B790267"/>
    <w:rsid w:val="2C2D04AE"/>
    <w:rsid w:val="2C48137D"/>
    <w:rsid w:val="2C87524B"/>
    <w:rsid w:val="2CBF387E"/>
    <w:rsid w:val="2CE84A71"/>
    <w:rsid w:val="2D54647B"/>
    <w:rsid w:val="2D7E0A5C"/>
    <w:rsid w:val="2D9559C9"/>
    <w:rsid w:val="2DB5045E"/>
    <w:rsid w:val="2DC1677B"/>
    <w:rsid w:val="2EC622A9"/>
    <w:rsid w:val="2FAD0E9F"/>
    <w:rsid w:val="30DC3E61"/>
    <w:rsid w:val="312501D6"/>
    <w:rsid w:val="325271AE"/>
    <w:rsid w:val="32DB20ED"/>
    <w:rsid w:val="33004895"/>
    <w:rsid w:val="3358439F"/>
    <w:rsid w:val="336244FF"/>
    <w:rsid w:val="33BD6F0A"/>
    <w:rsid w:val="34152BEC"/>
    <w:rsid w:val="34203E2A"/>
    <w:rsid w:val="344576A8"/>
    <w:rsid w:val="349A419B"/>
    <w:rsid w:val="34FD4211"/>
    <w:rsid w:val="35143F5C"/>
    <w:rsid w:val="383B3711"/>
    <w:rsid w:val="393735B3"/>
    <w:rsid w:val="39491F43"/>
    <w:rsid w:val="3A345DF9"/>
    <w:rsid w:val="3B5D6FFE"/>
    <w:rsid w:val="3B6751D7"/>
    <w:rsid w:val="3BF05D4F"/>
    <w:rsid w:val="3C0F7185"/>
    <w:rsid w:val="3CDA1F62"/>
    <w:rsid w:val="3DE10BB3"/>
    <w:rsid w:val="3DF65C15"/>
    <w:rsid w:val="3EF52086"/>
    <w:rsid w:val="3F742E53"/>
    <w:rsid w:val="404C0D0E"/>
    <w:rsid w:val="409606DE"/>
    <w:rsid w:val="4125452D"/>
    <w:rsid w:val="41543A22"/>
    <w:rsid w:val="41A95D0C"/>
    <w:rsid w:val="41B548DF"/>
    <w:rsid w:val="41CC1F6D"/>
    <w:rsid w:val="4216703F"/>
    <w:rsid w:val="428B1739"/>
    <w:rsid w:val="4347117C"/>
    <w:rsid w:val="436F3D4A"/>
    <w:rsid w:val="43D33061"/>
    <w:rsid w:val="440144F4"/>
    <w:rsid w:val="44981E56"/>
    <w:rsid w:val="44DC1D64"/>
    <w:rsid w:val="454F6915"/>
    <w:rsid w:val="45772F73"/>
    <w:rsid w:val="45C5302A"/>
    <w:rsid w:val="471E6B25"/>
    <w:rsid w:val="477C7218"/>
    <w:rsid w:val="480E5EDB"/>
    <w:rsid w:val="482D6803"/>
    <w:rsid w:val="488F069E"/>
    <w:rsid w:val="48DC411E"/>
    <w:rsid w:val="49864D07"/>
    <w:rsid w:val="4A7B2DF2"/>
    <w:rsid w:val="4ABF1D2C"/>
    <w:rsid w:val="4BDF12E5"/>
    <w:rsid w:val="4C2C3F0F"/>
    <w:rsid w:val="4D084060"/>
    <w:rsid w:val="4DDE0F4B"/>
    <w:rsid w:val="4E352664"/>
    <w:rsid w:val="4E9B7300"/>
    <w:rsid w:val="4F1B7ECD"/>
    <w:rsid w:val="4F325672"/>
    <w:rsid w:val="50184995"/>
    <w:rsid w:val="50832318"/>
    <w:rsid w:val="53E94120"/>
    <w:rsid w:val="545F11AC"/>
    <w:rsid w:val="547F0676"/>
    <w:rsid w:val="54AC773D"/>
    <w:rsid w:val="54F925B7"/>
    <w:rsid w:val="552F5653"/>
    <w:rsid w:val="55691955"/>
    <w:rsid w:val="55CC0C01"/>
    <w:rsid w:val="562D55D1"/>
    <w:rsid w:val="566D5D92"/>
    <w:rsid w:val="571A7346"/>
    <w:rsid w:val="57473883"/>
    <w:rsid w:val="57EC7D0C"/>
    <w:rsid w:val="58A77F99"/>
    <w:rsid w:val="5919175A"/>
    <w:rsid w:val="5AE54504"/>
    <w:rsid w:val="5B036AE0"/>
    <w:rsid w:val="5BE26085"/>
    <w:rsid w:val="5BFB3FFB"/>
    <w:rsid w:val="5C2B112F"/>
    <w:rsid w:val="5C670557"/>
    <w:rsid w:val="5C787AB7"/>
    <w:rsid w:val="5C943BE2"/>
    <w:rsid w:val="5CD32EEC"/>
    <w:rsid w:val="5D3C4C2F"/>
    <w:rsid w:val="5DA63095"/>
    <w:rsid w:val="5E2F2305"/>
    <w:rsid w:val="5EBB33FB"/>
    <w:rsid w:val="5EC23B28"/>
    <w:rsid w:val="5F08686A"/>
    <w:rsid w:val="5F3B57AB"/>
    <w:rsid w:val="60B535DE"/>
    <w:rsid w:val="60D75190"/>
    <w:rsid w:val="611B4725"/>
    <w:rsid w:val="61373E63"/>
    <w:rsid w:val="62195745"/>
    <w:rsid w:val="624D2976"/>
    <w:rsid w:val="624E4600"/>
    <w:rsid w:val="62D66B7D"/>
    <w:rsid w:val="634560D1"/>
    <w:rsid w:val="63A30676"/>
    <w:rsid w:val="65470F70"/>
    <w:rsid w:val="65A66D1A"/>
    <w:rsid w:val="661F70B8"/>
    <w:rsid w:val="668D5887"/>
    <w:rsid w:val="67FA7EE3"/>
    <w:rsid w:val="681F20D5"/>
    <w:rsid w:val="68E54B38"/>
    <w:rsid w:val="690D16FE"/>
    <w:rsid w:val="69D2199E"/>
    <w:rsid w:val="6A33074B"/>
    <w:rsid w:val="6A346104"/>
    <w:rsid w:val="6AEA0CCD"/>
    <w:rsid w:val="6AF85560"/>
    <w:rsid w:val="6B097231"/>
    <w:rsid w:val="6C4C2E2A"/>
    <w:rsid w:val="6C8B5EF3"/>
    <w:rsid w:val="6D600346"/>
    <w:rsid w:val="6D7F4E97"/>
    <w:rsid w:val="6DBD43BF"/>
    <w:rsid w:val="6EC9701A"/>
    <w:rsid w:val="6F4238AF"/>
    <w:rsid w:val="6F790273"/>
    <w:rsid w:val="6F7F6492"/>
    <w:rsid w:val="6F821B92"/>
    <w:rsid w:val="710D2590"/>
    <w:rsid w:val="715F54AB"/>
    <w:rsid w:val="718B1BFC"/>
    <w:rsid w:val="719F355D"/>
    <w:rsid w:val="71BA5699"/>
    <w:rsid w:val="720506AE"/>
    <w:rsid w:val="72211217"/>
    <w:rsid w:val="72557032"/>
    <w:rsid w:val="727C4190"/>
    <w:rsid w:val="72AD281B"/>
    <w:rsid w:val="733D3F9A"/>
    <w:rsid w:val="7361614E"/>
    <w:rsid w:val="740B0D2E"/>
    <w:rsid w:val="75034B9F"/>
    <w:rsid w:val="7571744A"/>
    <w:rsid w:val="7615348A"/>
    <w:rsid w:val="76E2125B"/>
    <w:rsid w:val="78AD3B0E"/>
    <w:rsid w:val="78DF7A2F"/>
    <w:rsid w:val="794C238C"/>
    <w:rsid w:val="7A3251AA"/>
    <w:rsid w:val="7C7019E8"/>
    <w:rsid w:val="7CF94257"/>
    <w:rsid w:val="7D750783"/>
    <w:rsid w:val="7D84389F"/>
    <w:rsid w:val="7D9305D3"/>
    <w:rsid w:val="7DA06776"/>
    <w:rsid w:val="7DD24CD9"/>
    <w:rsid w:val="7E153109"/>
    <w:rsid w:val="7E2E64E4"/>
    <w:rsid w:val="7F7E5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1"/>
    <w:qFormat/>
    <w:uiPriority w:val="0"/>
    <w:pPr>
      <w:keepNext/>
      <w:keepLines/>
      <w:spacing w:before="260" w:after="260" w:line="413" w:lineRule="auto"/>
      <w:outlineLvl w:val="1"/>
    </w:pPr>
    <w:rPr>
      <w:rFonts w:ascii="Cambria" w:hAnsi="Cambria" w:eastAsia="黑体" w:cs="Times New Roman"/>
      <w:bCs/>
      <w:kern w:val="0"/>
      <w:sz w:val="30"/>
      <w:szCs w:val="32"/>
    </w:rPr>
  </w:style>
  <w:style w:type="paragraph" w:styleId="5">
    <w:name w:val="heading 3"/>
    <w:basedOn w:val="1"/>
    <w:next w:val="1"/>
    <w:link w:val="25"/>
    <w:qFormat/>
    <w:uiPriority w:val="0"/>
    <w:pPr>
      <w:keepNext/>
      <w:keepLines/>
      <w:spacing w:before="260" w:after="260" w:line="413" w:lineRule="auto"/>
      <w:outlineLvl w:val="2"/>
    </w:pPr>
    <w:rPr>
      <w:rFonts w:ascii="Times New Roman" w:hAnsi="Times New Roman" w:eastAsia="黑体" w:cs="Times New Roman"/>
      <w:bCs/>
      <w:kern w:val="0"/>
      <w:sz w:val="28"/>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lock Text"/>
    <w:basedOn w:val="1"/>
    <w:next w:val="1"/>
    <w:qFormat/>
    <w:uiPriority w:val="0"/>
    <w:pPr>
      <w:snapToGrid w:val="0"/>
      <w:spacing w:line="408" w:lineRule="auto"/>
      <w:ind w:left="-113" w:right="-510" w:firstLine="510"/>
    </w:pPr>
    <w:rPr>
      <w:sz w:val="24"/>
      <w:szCs w:val="20"/>
    </w:rPr>
  </w:style>
  <w:style w:type="paragraph" w:styleId="6">
    <w:name w:val="caption"/>
    <w:basedOn w:val="1"/>
    <w:next w:val="1"/>
    <w:qFormat/>
    <w:uiPriority w:val="0"/>
    <w:rPr>
      <w:rFonts w:ascii="Cambria" w:hAnsi="Cambria" w:eastAsia="黑体" w:cs="Times New Roman"/>
      <w:sz w:val="20"/>
      <w:szCs w:val="20"/>
    </w:rPr>
  </w:style>
  <w:style w:type="paragraph" w:styleId="7">
    <w:name w:val="Document Map"/>
    <w:basedOn w:val="1"/>
    <w:link w:val="35"/>
    <w:semiHidden/>
    <w:unhideWhenUsed/>
    <w:qFormat/>
    <w:uiPriority w:val="99"/>
    <w:rPr>
      <w:rFonts w:ascii="宋体" w:eastAsia="宋体"/>
      <w:sz w:val="18"/>
      <w:szCs w:val="18"/>
    </w:rPr>
  </w:style>
  <w:style w:type="paragraph" w:styleId="8">
    <w:name w:val="Body Text"/>
    <w:basedOn w:val="1"/>
    <w:qFormat/>
    <w:uiPriority w:val="1"/>
    <w:rPr>
      <w:rFonts w:ascii="宋体" w:hAnsi="宋体" w:eastAsia="宋体" w:cs="宋体"/>
      <w:sz w:val="24"/>
      <w:szCs w:val="24"/>
      <w:lang w:val="zh-CN" w:eastAsia="zh-CN" w:bidi="zh-CN"/>
    </w:rPr>
  </w:style>
  <w:style w:type="paragraph" w:styleId="9">
    <w:name w:val="Body Text Indent"/>
    <w:basedOn w:val="1"/>
    <w:semiHidden/>
    <w:unhideWhenUsed/>
    <w:qFormat/>
    <w:uiPriority w:val="99"/>
    <w:pPr>
      <w:spacing w:after="120" w:afterLines="0" w:afterAutospacing="0"/>
      <w:ind w:left="420" w:leftChars="200"/>
    </w:pPr>
  </w:style>
  <w:style w:type="paragraph" w:styleId="10">
    <w:name w:val="Plain Text"/>
    <w:basedOn w:val="1"/>
    <w:link w:val="40"/>
    <w:qFormat/>
    <w:uiPriority w:val="0"/>
    <w:rPr>
      <w:rFonts w:ascii="宋体" w:hAnsi="Courier New" w:eastAsia="宋体" w:cs="黑体"/>
      <w:szCs w:val="20"/>
    </w:rPr>
  </w:style>
  <w:style w:type="paragraph" w:styleId="11">
    <w:name w:val="Balloon Text"/>
    <w:basedOn w:val="1"/>
    <w:link w:val="31"/>
    <w:semiHidden/>
    <w:unhideWhenUsed/>
    <w:qFormat/>
    <w:uiPriority w:val="99"/>
    <w:rPr>
      <w:sz w:val="18"/>
      <w:szCs w:val="18"/>
    </w:rPr>
  </w:style>
  <w:style w:type="paragraph" w:styleId="12">
    <w:name w:val="footer"/>
    <w:basedOn w:val="1"/>
    <w:link w:val="24"/>
    <w:unhideWhenUsed/>
    <w:qFormat/>
    <w:uiPriority w:val="99"/>
    <w:pPr>
      <w:tabs>
        <w:tab w:val="center" w:pos="4153"/>
        <w:tab w:val="right" w:pos="8306"/>
      </w:tabs>
      <w:snapToGrid w:val="0"/>
      <w:jc w:val="left"/>
    </w:pPr>
    <w:rPr>
      <w:sz w:val="18"/>
      <w:szCs w:val="18"/>
    </w:rPr>
  </w:style>
  <w:style w:type="paragraph" w:styleId="13">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rPr>
      <w:rFonts w:ascii="Calibri" w:hAnsi="Calibri" w:eastAsia="宋体" w:cs="黑体"/>
    </w:rPr>
  </w:style>
  <w:style w:type="paragraph" w:styleId="15">
    <w:name w:val="toc 2"/>
    <w:basedOn w:val="1"/>
    <w:next w:val="1"/>
    <w:qFormat/>
    <w:uiPriority w:val="39"/>
    <w:pPr>
      <w:ind w:left="420" w:leftChars="200"/>
    </w:pPr>
    <w:rPr>
      <w:rFonts w:ascii="Calibri" w:hAnsi="Calibri" w:eastAsia="宋体" w:cs="黑体"/>
    </w:rPr>
  </w:style>
  <w:style w:type="paragraph" w:styleId="16">
    <w:name w:val="Body Text First Indent 2"/>
    <w:basedOn w:val="1"/>
    <w:next w:val="1"/>
    <w:semiHidden/>
    <w:unhideWhenUsed/>
    <w:qFormat/>
    <w:uiPriority w:val="99"/>
    <w:pPr>
      <w:ind w:firstLine="420" w:firstLineChars="200"/>
    </w:pPr>
  </w:style>
  <w:style w:type="table" w:styleId="18">
    <w:name w:val="Table Grid"/>
    <w:basedOn w:val="1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0">
    <w:name w:val="Hyperlink"/>
    <w:qFormat/>
    <w:uiPriority w:val="99"/>
    <w:rPr>
      <w:color w:val="0000FF"/>
      <w:u w:val="single"/>
    </w:rPr>
  </w:style>
  <w:style w:type="character" w:customStyle="1" w:styleId="21">
    <w:name w:val="标题 2 Char"/>
    <w:basedOn w:val="19"/>
    <w:link w:val="4"/>
    <w:qFormat/>
    <w:uiPriority w:val="0"/>
    <w:rPr>
      <w:rFonts w:ascii="Cambria" w:hAnsi="Cambria" w:eastAsia="黑体" w:cs="Times New Roman"/>
      <w:bCs/>
      <w:kern w:val="0"/>
      <w:sz w:val="30"/>
      <w:szCs w:val="32"/>
    </w:rPr>
  </w:style>
  <w:style w:type="character" w:customStyle="1" w:styleId="22">
    <w:name w:val="标题 1 Char"/>
    <w:basedOn w:val="19"/>
    <w:link w:val="3"/>
    <w:qFormat/>
    <w:uiPriority w:val="9"/>
    <w:rPr>
      <w:b/>
      <w:bCs/>
      <w:kern w:val="44"/>
      <w:sz w:val="44"/>
      <w:szCs w:val="44"/>
    </w:rPr>
  </w:style>
  <w:style w:type="character" w:customStyle="1" w:styleId="23">
    <w:name w:val="页眉 Char"/>
    <w:basedOn w:val="19"/>
    <w:link w:val="13"/>
    <w:qFormat/>
    <w:uiPriority w:val="0"/>
    <w:rPr>
      <w:sz w:val="18"/>
      <w:szCs w:val="18"/>
    </w:rPr>
  </w:style>
  <w:style w:type="character" w:customStyle="1" w:styleId="24">
    <w:name w:val="页脚 Char"/>
    <w:basedOn w:val="19"/>
    <w:link w:val="12"/>
    <w:qFormat/>
    <w:uiPriority w:val="99"/>
    <w:rPr>
      <w:sz w:val="18"/>
      <w:szCs w:val="18"/>
    </w:rPr>
  </w:style>
  <w:style w:type="character" w:customStyle="1" w:styleId="25">
    <w:name w:val="标题 3 Char"/>
    <w:basedOn w:val="19"/>
    <w:link w:val="5"/>
    <w:qFormat/>
    <w:uiPriority w:val="0"/>
    <w:rPr>
      <w:rFonts w:ascii="Times New Roman" w:hAnsi="Times New Roman" w:eastAsia="黑体" w:cs="Times New Roman"/>
      <w:bCs/>
      <w:kern w:val="0"/>
      <w:sz w:val="28"/>
      <w:szCs w:val="32"/>
    </w:rPr>
  </w:style>
  <w:style w:type="paragraph" w:customStyle="1" w:styleId="26">
    <w:name w:val="p16"/>
    <w:basedOn w:val="1"/>
    <w:qFormat/>
    <w:uiPriority w:val="0"/>
    <w:pPr>
      <w:widowControl/>
      <w:topLinePunct/>
      <w:snapToGrid w:val="0"/>
      <w:spacing w:line="520" w:lineRule="atLeast"/>
      <w:ind w:firstLine="567"/>
    </w:pPr>
    <w:rPr>
      <w:rFonts w:ascii="Calibri" w:hAnsi="Calibri" w:eastAsia="宋体" w:cs="宋体"/>
      <w:spacing w:val="6"/>
      <w:kern w:val="0"/>
      <w:sz w:val="24"/>
      <w:szCs w:val="24"/>
    </w:rPr>
  </w:style>
  <w:style w:type="paragraph" w:customStyle="1" w:styleId="27">
    <w:name w:val="TOC 标题1"/>
    <w:basedOn w:val="3"/>
    <w:next w:val="1"/>
    <w:qFormat/>
    <w:uiPriority w:val="0"/>
    <w:pPr>
      <w:widowControl/>
      <w:spacing w:before="480" w:after="0" w:line="276" w:lineRule="auto"/>
      <w:jc w:val="left"/>
      <w:outlineLvl w:val="9"/>
    </w:pPr>
    <w:rPr>
      <w:rFonts w:ascii="Cambria" w:hAnsi="Cambria" w:eastAsia="宋体" w:cs="黑体"/>
      <w:color w:val="365F90"/>
      <w:kern w:val="0"/>
      <w:sz w:val="28"/>
      <w:szCs w:val="28"/>
    </w:rPr>
  </w:style>
  <w:style w:type="paragraph" w:customStyle="1" w:styleId="28">
    <w:name w:val="报告书正文"/>
    <w:basedOn w:val="1"/>
    <w:link w:val="29"/>
    <w:qFormat/>
    <w:uiPriority w:val="0"/>
    <w:pPr>
      <w:autoSpaceDE w:val="0"/>
      <w:autoSpaceDN w:val="0"/>
      <w:spacing w:line="520" w:lineRule="exact"/>
      <w:ind w:firstLine="200" w:firstLineChars="200"/>
    </w:pPr>
    <w:rPr>
      <w:rFonts w:ascii="Times New Roman" w:hAnsi="Times New Roman" w:eastAsia="宋体" w:cs="Times New Roman"/>
      <w:sz w:val="28"/>
      <w:szCs w:val="28"/>
    </w:rPr>
  </w:style>
  <w:style w:type="character" w:customStyle="1" w:styleId="29">
    <w:name w:val="报告书正文 Char"/>
    <w:basedOn w:val="19"/>
    <w:link w:val="28"/>
    <w:qFormat/>
    <w:uiPriority w:val="0"/>
    <w:rPr>
      <w:rFonts w:ascii="Times New Roman" w:hAnsi="Times New Roman" w:eastAsia="宋体" w:cs="Times New Roman"/>
      <w:sz w:val="28"/>
      <w:szCs w:val="28"/>
    </w:rPr>
  </w:style>
  <w:style w:type="paragraph" w:customStyle="1" w:styleId="30">
    <w:name w:val="样式10"/>
    <w:basedOn w:val="3"/>
    <w:qFormat/>
    <w:uiPriority w:val="0"/>
    <w:pPr>
      <w:tabs>
        <w:tab w:val="left" w:pos="0"/>
      </w:tabs>
      <w:adjustRightInd w:val="0"/>
      <w:snapToGrid w:val="0"/>
      <w:spacing w:before="240" w:after="240" w:line="480" w:lineRule="atLeast"/>
      <w:jc w:val="left"/>
    </w:pPr>
    <w:rPr>
      <w:rFonts w:ascii="黑体" w:hAnsi="黑体" w:eastAsia="黑体" w:cs="Times New Roman"/>
      <w:b w:val="0"/>
      <w:bCs w:val="0"/>
      <w:color w:val="000000"/>
      <w:spacing w:val="6"/>
      <w:sz w:val="32"/>
      <w:szCs w:val="20"/>
    </w:rPr>
  </w:style>
  <w:style w:type="character" w:customStyle="1" w:styleId="31">
    <w:name w:val="批注框文本 Char"/>
    <w:basedOn w:val="19"/>
    <w:link w:val="11"/>
    <w:semiHidden/>
    <w:qFormat/>
    <w:uiPriority w:val="99"/>
    <w:rPr>
      <w:sz w:val="18"/>
      <w:szCs w:val="18"/>
    </w:rPr>
  </w:style>
  <w:style w:type="character" w:customStyle="1" w:styleId="32">
    <w:name w:val="段落 Char Char"/>
    <w:link w:val="33"/>
    <w:qFormat/>
    <w:uiPriority w:val="0"/>
    <w:rPr>
      <w:rFonts w:ascii="Times New Roman" w:hAnsi="Times New Roman" w:eastAsia="宋体" w:cs="宋体"/>
      <w:sz w:val="24"/>
      <w:szCs w:val="24"/>
      <w:lang w:val="zh-CN"/>
    </w:rPr>
  </w:style>
  <w:style w:type="paragraph" w:customStyle="1" w:styleId="33">
    <w:name w:val="段落"/>
    <w:basedOn w:val="1"/>
    <w:next w:val="1"/>
    <w:link w:val="32"/>
    <w:qFormat/>
    <w:uiPriority w:val="0"/>
    <w:pPr>
      <w:spacing w:line="360" w:lineRule="auto"/>
      <w:ind w:firstLine="480" w:firstLineChars="200"/>
    </w:pPr>
    <w:rPr>
      <w:rFonts w:ascii="Times New Roman" w:hAnsi="Times New Roman" w:eastAsia="宋体" w:cs="宋体"/>
      <w:sz w:val="24"/>
      <w:szCs w:val="24"/>
      <w:lang w:val="zh-CN"/>
    </w:rPr>
  </w:style>
  <w:style w:type="paragraph" w:customStyle="1" w:styleId="34">
    <w:name w:val="_Style 11"/>
    <w:basedOn w:val="1"/>
    <w:qFormat/>
    <w:uiPriority w:val="34"/>
    <w:pPr>
      <w:ind w:firstLine="420" w:firstLineChars="200"/>
    </w:pPr>
    <w:rPr>
      <w:rFonts w:ascii="Calibri" w:hAnsi="Calibri" w:eastAsia="宋体" w:cs="黑体"/>
    </w:rPr>
  </w:style>
  <w:style w:type="character" w:customStyle="1" w:styleId="35">
    <w:name w:val="文档结构图 Char"/>
    <w:basedOn w:val="19"/>
    <w:link w:val="7"/>
    <w:semiHidden/>
    <w:qFormat/>
    <w:uiPriority w:val="99"/>
    <w:rPr>
      <w:rFonts w:ascii="宋体" w:eastAsia="宋体"/>
      <w:sz w:val="18"/>
      <w:szCs w:val="18"/>
    </w:rPr>
  </w:style>
  <w:style w:type="character" w:customStyle="1" w:styleId="36">
    <w:name w:val="font11"/>
    <w:basedOn w:val="19"/>
    <w:qFormat/>
    <w:uiPriority w:val="0"/>
    <w:rPr>
      <w:rFonts w:hint="eastAsia" w:ascii="宋体" w:hAnsi="宋体" w:eastAsia="宋体" w:cs="宋体"/>
      <w:color w:val="000000"/>
      <w:sz w:val="21"/>
      <w:szCs w:val="21"/>
      <w:u w:val="none"/>
    </w:rPr>
  </w:style>
  <w:style w:type="character" w:customStyle="1" w:styleId="37">
    <w:name w:val="font21"/>
    <w:basedOn w:val="19"/>
    <w:qFormat/>
    <w:uiPriority w:val="0"/>
    <w:rPr>
      <w:rFonts w:hint="eastAsia" w:ascii="宋体" w:hAnsi="宋体" w:eastAsia="宋体" w:cs="宋体"/>
      <w:color w:val="000000"/>
      <w:sz w:val="21"/>
      <w:szCs w:val="21"/>
      <w:u w:val="none"/>
    </w:rPr>
  </w:style>
  <w:style w:type="character" w:customStyle="1" w:styleId="38">
    <w:name w:val="font41"/>
    <w:basedOn w:val="19"/>
    <w:qFormat/>
    <w:uiPriority w:val="0"/>
    <w:rPr>
      <w:rFonts w:hint="default" w:ascii="Times New Roman" w:hAnsi="Times New Roman" w:cs="Times New Roman"/>
      <w:color w:val="000000"/>
      <w:sz w:val="21"/>
      <w:szCs w:val="21"/>
      <w:u w:val="none"/>
    </w:rPr>
  </w:style>
  <w:style w:type="paragraph" w:customStyle="1" w:styleId="39">
    <w:name w:val="样式 样式11 + 黑色"/>
    <w:basedOn w:val="1"/>
    <w:qFormat/>
    <w:uiPriority w:val="0"/>
    <w:pPr>
      <w:keepNext/>
      <w:keepLines/>
      <w:tabs>
        <w:tab w:val="left" w:pos="360"/>
      </w:tabs>
      <w:spacing w:before="120" w:after="120" w:line="480" w:lineRule="atLeast"/>
      <w:jc w:val="left"/>
      <w:outlineLvl w:val="2"/>
    </w:pPr>
    <w:rPr>
      <w:rFonts w:ascii="Times New Roman" w:hAnsi="Times New Roman" w:eastAsia="黑体" w:cs="Times New Roman"/>
      <w:color w:val="000000"/>
      <w:sz w:val="24"/>
      <w:szCs w:val="20"/>
    </w:rPr>
  </w:style>
  <w:style w:type="character" w:customStyle="1" w:styleId="40">
    <w:name w:val="纯文本 Char"/>
    <w:basedOn w:val="19"/>
    <w:link w:val="10"/>
    <w:qFormat/>
    <w:uiPriority w:val="0"/>
    <w:rPr>
      <w:rFonts w:ascii="宋体" w:hAnsi="Courier New" w:eastAsia="宋体" w:cs="黑体"/>
      <w:szCs w:val="20"/>
    </w:rPr>
  </w:style>
  <w:style w:type="character" w:customStyle="1" w:styleId="41">
    <w:name w:val="font9155501"/>
    <w:basedOn w:val="19"/>
    <w:qFormat/>
    <w:uiPriority w:val="0"/>
    <w:rPr>
      <w:rFonts w:hint="eastAsia" w:ascii="宋体" w:hAnsi="宋体" w:eastAsia="宋体" w:cs="宋体"/>
      <w:color w:val="000000"/>
      <w:sz w:val="21"/>
      <w:szCs w:val="21"/>
      <w:u w:val="none"/>
    </w:rPr>
  </w:style>
  <w:style w:type="character" w:customStyle="1" w:styleId="42">
    <w:name w:val="font6155501"/>
    <w:basedOn w:val="19"/>
    <w:qFormat/>
    <w:uiPriority w:val="0"/>
    <w:rPr>
      <w:rFonts w:hint="default" w:ascii="Times New Roman" w:hAnsi="Times New Roman" w:cs="Times New Roman"/>
      <w:color w:val="000000"/>
      <w:sz w:val="21"/>
      <w:szCs w:val="21"/>
      <w:u w:val="none"/>
    </w:rPr>
  </w:style>
  <w:style w:type="character" w:customStyle="1" w:styleId="43">
    <w:name w:val="font10155501"/>
    <w:basedOn w:val="19"/>
    <w:qFormat/>
    <w:uiPriority w:val="0"/>
    <w:rPr>
      <w:rFonts w:hint="eastAsia" w:ascii="宋体" w:hAnsi="宋体" w:eastAsia="宋体" w:cs="宋体"/>
      <w:color w:val="000000"/>
      <w:sz w:val="22"/>
      <w:szCs w:val="22"/>
      <w:u w:val="none"/>
    </w:rPr>
  </w:style>
  <w:style w:type="character" w:customStyle="1" w:styleId="44">
    <w:name w:val="font5155501"/>
    <w:basedOn w:val="19"/>
    <w:qFormat/>
    <w:uiPriority w:val="0"/>
    <w:rPr>
      <w:rFonts w:hint="default" w:ascii="Times New Roman" w:hAnsi="Times New Roman" w:cs="Times New Roman"/>
      <w:color w:val="000000"/>
      <w:sz w:val="22"/>
      <w:szCs w:val="22"/>
      <w:u w:val="none"/>
    </w:rPr>
  </w:style>
  <w:style w:type="character" w:customStyle="1" w:styleId="45">
    <w:name w:val="font61"/>
    <w:qFormat/>
    <w:uiPriority w:val="0"/>
    <w:rPr>
      <w:rFonts w:hint="default" w:ascii="Times New Roman" w:hAnsi="Times New Roman" w:cs="Times New Roman"/>
      <w:color w:val="000000"/>
      <w:sz w:val="21"/>
      <w:szCs w:val="21"/>
      <w:u w:val="none"/>
    </w:rPr>
  </w:style>
  <w:style w:type="character" w:customStyle="1" w:styleId="46">
    <w:name w:val="font20155501"/>
    <w:basedOn w:val="19"/>
    <w:qFormat/>
    <w:uiPriority w:val="0"/>
    <w:rPr>
      <w:rFonts w:hint="eastAsia" w:ascii="宋体" w:hAnsi="宋体" w:eastAsia="宋体" w:cs="宋体"/>
      <w:b/>
      <w:color w:val="000000"/>
      <w:sz w:val="21"/>
      <w:szCs w:val="21"/>
      <w:u w:val="none"/>
    </w:rPr>
  </w:style>
  <w:style w:type="character" w:customStyle="1" w:styleId="47">
    <w:name w:val="font8155501"/>
    <w:basedOn w:val="19"/>
    <w:qFormat/>
    <w:uiPriority w:val="0"/>
    <w:rPr>
      <w:rFonts w:hint="eastAsia" w:ascii="宋体" w:hAnsi="宋体" w:eastAsia="宋体" w:cs="宋体"/>
      <w:color w:val="000000"/>
      <w:sz w:val="21"/>
      <w:szCs w:val="21"/>
      <w:u w:val="none"/>
    </w:rPr>
  </w:style>
  <w:style w:type="character" w:customStyle="1" w:styleId="48">
    <w:name w:val="font11155501"/>
    <w:basedOn w:val="19"/>
    <w:qFormat/>
    <w:uiPriority w:val="0"/>
    <w:rPr>
      <w:rFonts w:hint="default" w:ascii="Times New Roman" w:hAnsi="Times New Roman" w:cs="Times New Roman"/>
      <w:color w:val="000000"/>
      <w:sz w:val="21"/>
      <w:szCs w:val="21"/>
      <w:u w:val="none"/>
    </w:rPr>
  </w:style>
  <w:style w:type="character" w:customStyle="1" w:styleId="49">
    <w:name w:val="font21155501"/>
    <w:basedOn w:val="1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10129</Words>
  <Characters>14327</Characters>
  <Lines>56</Lines>
  <Paragraphs>15</Paragraphs>
  <TotalTime>6</TotalTime>
  <ScaleCrop>false</ScaleCrop>
  <LinksUpToDate>false</LinksUpToDate>
  <CharactersWithSpaces>14712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2018-10-24T09:11:00Z</dcterms:created>
  <dc:creator>dell</dc:creator>
  <cp:lastModifiedBy>琦</cp:lastModifiedBy>
  <cp:lastPrinted>2019-06-30T04:22:00Z</cp:lastPrinted>
  <dcterms:modified xsi:type="dcterms:W3CDTF">2022-11-10T06:02:29Z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8530C7A40B3F4C54A28413A41CBFECEE</vt:lpwstr>
  </property>
</Properties>
</file>