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黑体" w:hAnsi="黑体" w:eastAsia="黑体" w:cs="黑体"/>
          <w:color w:val="000000"/>
          <w:sz w:val="44"/>
          <w:szCs w:val="44"/>
          <w:lang w:val="en-US" w:eastAsia="zh-CN"/>
        </w:rPr>
      </w:pPr>
      <w:r>
        <w:rPr>
          <w:rFonts w:hint="eastAsia" w:ascii="黑体" w:hAnsi="黑体" w:eastAsia="黑体" w:cs="黑体"/>
          <w:i w:val="0"/>
          <w:iCs w:val="0"/>
          <w:caps w:val="0"/>
          <w:color w:val="333333"/>
          <w:spacing w:val="0"/>
          <w:sz w:val="44"/>
          <w:szCs w:val="44"/>
          <w:shd w:val="clear" w:fill="FFFFFF"/>
          <w:lang w:val="en-US" w:eastAsia="zh-CN"/>
        </w:rPr>
        <w:t>县工信局</w:t>
      </w:r>
      <w:r>
        <w:rPr>
          <w:rFonts w:hint="eastAsia" w:ascii="黑体" w:hAnsi="黑体" w:eastAsia="黑体" w:cs="黑体"/>
          <w:i w:val="0"/>
          <w:iCs w:val="0"/>
          <w:caps w:val="0"/>
          <w:color w:val="333333"/>
          <w:spacing w:val="0"/>
          <w:sz w:val="44"/>
          <w:szCs w:val="44"/>
          <w:shd w:val="clear" w:fill="FFFFFF"/>
        </w:rPr>
        <w:t>说“不”提级管理事项受理范围汇总表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190"/>
        <w:gridCol w:w="4095"/>
        <w:gridCol w:w="1515"/>
        <w:gridCol w:w="1500"/>
        <w:gridCol w:w="1500"/>
        <w:gridCol w:w="1215"/>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shd w:val="clear" w:fill="FFFFFF"/>
              </w:rPr>
              <w:t>说“不”事项名称</w:t>
            </w:r>
          </w:p>
        </w:tc>
        <w:tc>
          <w:tcPr>
            <w:tcW w:w="409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shd w:val="clear" w:fill="FFFFFF"/>
              </w:rPr>
              <w:t>办理依据</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shd w:val="clear" w:fill="FFFFFF"/>
              </w:rPr>
              <w:t>办理时限</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i w:val="0"/>
                <w:iCs w:val="0"/>
                <w:caps w:val="0"/>
                <w:color w:val="333333"/>
                <w:spacing w:val="0"/>
                <w:sz w:val="24"/>
                <w:szCs w:val="24"/>
                <w:shd w:val="clear" w:fill="FFFFFF"/>
              </w:rPr>
              <w:t>首问负责人</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股室负责人</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分管领导</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通信报装</w:t>
            </w:r>
          </w:p>
        </w:tc>
        <w:tc>
          <w:tcPr>
            <w:tcW w:w="4095" w:type="dxa"/>
            <w:vAlign w:val="center"/>
          </w:tcPr>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一、《中华人民共和国电信条例》（国务院令第291号公布，国务院令第653号、第666号修订）第四十五条；</w:t>
            </w:r>
          </w:p>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二、《住宅区和住宅建筑内光纤到户通信设施工程设计规范（GB50846—2012）》；</w:t>
            </w:r>
          </w:p>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三、《房屋建筑宽带网络设施技术标准（DBJ41/090)》；</w:t>
            </w:r>
          </w:p>
          <w:p>
            <w:pPr>
              <w:tabs>
                <w:tab w:val="left" w:pos="5376"/>
              </w:tabs>
              <w:rPr>
                <w:rFonts w:hint="eastAsia" w:ascii="宋体" w:hAnsi="宋体" w:eastAsia="宋体" w:cs="宋体"/>
                <w:sz w:val="22"/>
                <w:szCs w:val="22"/>
                <w:vertAlign w:val="baseline"/>
              </w:rPr>
            </w:pPr>
            <w:r>
              <w:rPr>
                <w:rFonts w:hint="eastAsia" w:ascii="宋体" w:hAnsi="宋体" w:eastAsia="宋体" w:cs="宋体"/>
                <w:b w:val="0"/>
                <w:bCs w:val="0"/>
                <w:sz w:val="22"/>
                <w:szCs w:val="22"/>
                <w:lang w:val="en-US" w:eastAsia="zh-CN"/>
              </w:rPr>
              <w:t>四、《河南省人民政府办公厅关于印发河南省住宅区宽带网络设施建设管理暂行办法的通知》（豫政办〔2016〕12号）</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法定时限</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刘麟强</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刘紫薇</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郭远忠</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甘草、麻黄草收购许可证核发</w:t>
            </w:r>
          </w:p>
        </w:tc>
        <w:tc>
          <w:tcPr>
            <w:tcW w:w="4095" w:type="dxa"/>
            <w:vAlign w:val="center"/>
          </w:tcPr>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一、《国务院关于禁止采集和销售发菜制止滥挖甘草和麻黄草有关问题的通知》（国发〔2000〕13号）</w:t>
            </w:r>
          </w:p>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二、严格管理，制止滥挖甘草和麻黄草。</w:t>
            </w:r>
          </w:p>
          <w:p>
            <w:pPr>
              <w:tabs>
                <w:tab w:val="left" w:pos="5376"/>
              </w:tabs>
              <w:rPr>
                <w:rFonts w:hint="eastAsia" w:ascii="宋体" w:hAnsi="宋体" w:eastAsia="宋体" w:cs="宋体"/>
                <w:sz w:val="22"/>
                <w:szCs w:val="22"/>
                <w:vertAlign w:val="baseline"/>
              </w:rPr>
            </w:pPr>
            <w:r>
              <w:rPr>
                <w:rFonts w:hint="eastAsia" w:ascii="宋体" w:hAnsi="宋体" w:eastAsia="宋体" w:cs="宋体"/>
                <w:b w:val="0"/>
                <w:bCs w:val="0"/>
                <w:sz w:val="22"/>
                <w:szCs w:val="22"/>
                <w:lang w:val="en-US" w:eastAsia="zh-CN"/>
              </w:rPr>
              <w:t>三、实行甘草和麻黄草专营、许可证管理制度。国家经贸委会同农业部、国家药品监督管理局等部门制定甘草和麻黄草年度收购计划，并据此向药品收购单位发放收购许可证。</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法定时限</w:t>
            </w:r>
            <w:bookmarkStart w:id="0" w:name="_GoBack"/>
            <w:bookmarkEnd w:id="0"/>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刘麟强</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程丹丹</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赵忠阁</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关闭煤矿和报废矿井许可</w:t>
            </w:r>
          </w:p>
        </w:tc>
        <w:tc>
          <w:tcPr>
            <w:tcW w:w="4095" w:type="dxa"/>
            <w:vAlign w:val="center"/>
          </w:tcPr>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一、《中华人民共和国煤炭法》（1996年12月1日主席令第七十五号，2016年11月7日予以修改）第二十六条：关闭煤矿和报废矿井，应当依照有关法律、法规和国务院煤炭管理部门的规定办理；</w:t>
            </w:r>
          </w:p>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二、《中华人民共和国矿产资源法》（1986年3月19日主席令第三十六号，2009年8月27日予以修改）第二十一条：关闭矿山，必须提出矿山闭坑报告及有关采掘工程、不安全隐患、土地复垦利用、环境保护的资料，并按照国家规定报请审查批准；</w:t>
            </w:r>
          </w:p>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三、《河南省煤炭条例》 第二十条： 煤矿企业关闭煤矿、报废矿井的，应当依法向省煤炭管理部门提交申请报告，并附矿井实际开采的实测图纸资料和矿井关闭后可能危及公共安全的事故隐患资料，经审核同意后，依法办理关闭、报废手续。</w:t>
            </w:r>
          </w:p>
          <w:p>
            <w:pPr>
              <w:tabs>
                <w:tab w:val="left" w:pos="5376"/>
              </w:tabs>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四、《煤矿安全规程》（国家安监总局令第87号）第二十一条：煤矿闭坑前，煤矿企业必须编制闭坑报告，并报省级煤炭行业管理部门批准。矿井闭坑报告必须有完善的各种地质资料，在相应图件上标注采空区、煤柱、井筒、巷道、火区、地面沉陷区等，情况不清的应当予以说明。</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法定时限</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刘麟强</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梁凯</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赵忠阁</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群众来信来访</w:t>
            </w:r>
          </w:p>
        </w:tc>
        <w:tc>
          <w:tcPr>
            <w:tcW w:w="409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国家、省信访工作条例</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60</w:t>
            </w:r>
            <w:r>
              <w:rPr>
                <w:rFonts w:hint="default" w:ascii="宋体" w:hAnsi="宋体" w:eastAsia="宋体" w:cs="宋体"/>
                <w:sz w:val="24"/>
                <w:szCs w:val="24"/>
                <w:vertAlign w:val="baseline"/>
                <w:lang w:val="en-US" w:eastAsia="zh-CN"/>
              </w:rPr>
              <w:t>个工作日</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王莉</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王莉</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朱西亮</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市长热线</w:t>
            </w:r>
          </w:p>
        </w:tc>
        <w:tc>
          <w:tcPr>
            <w:tcW w:w="409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相关法律法规</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5个工作日</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程丹丹</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程丹丹</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王守新</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政务公开</w:t>
            </w:r>
          </w:p>
        </w:tc>
        <w:tc>
          <w:tcPr>
            <w:tcW w:w="409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国务院、省政务公开工作要点</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15个工作日</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程丹丹</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程丹丹</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王守新</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219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党务政策咨询</w:t>
            </w:r>
          </w:p>
        </w:tc>
        <w:tc>
          <w:tcPr>
            <w:tcW w:w="409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中国共产党</w:t>
            </w:r>
            <w:r>
              <w:rPr>
                <w:rFonts w:hint="default" w:ascii="宋体" w:hAnsi="宋体" w:eastAsia="宋体" w:cs="宋体"/>
                <w:sz w:val="24"/>
                <w:szCs w:val="24"/>
                <w:vertAlign w:val="baseline"/>
                <w:lang w:val="en-US" w:eastAsia="zh-CN"/>
              </w:rPr>
              <w:t>发展党员工作细则</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即时回复</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陈咏琪</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汪博</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王守新</w:t>
            </w:r>
          </w:p>
        </w:tc>
        <w:tc>
          <w:tcPr>
            <w:tcW w:w="1241" w:type="dxa"/>
            <w:vAlign w:val="center"/>
          </w:tcPr>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杨建</w:t>
            </w:r>
          </w:p>
        </w:tc>
      </w:tr>
    </w:tbl>
    <w:p>
      <w: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YWJjZmZkOWYzNjlkMTJjYmNmNjE2MGQ4ZGUwNzQifQ=="/>
  </w:docVars>
  <w:rsids>
    <w:rsidRoot w:val="00000000"/>
    <w:rsid w:val="1017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2022-05-24T09:04:26Z</dcterms:created>
  <dc:creator>Administrator</dc:creator>
  <cp:lastModifiedBy>下一站 幸福</cp:lastModifiedBy>
  <dcterms:modified xsi:type="dcterms:W3CDTF">2022-05-24T09:05:00Z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24EE0FE6467B48ECA7C2A2BF4961864F</vt:lpwstr>
  </property>
</Properties>
</file>